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24/9/2019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9:30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Atanas Draganov (Chairman)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Zhao Qin (Tutor)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9:30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tutor on the setup document: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process section, the employee process is missing.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functional requirements for employee are missing.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functional requirements section, requirements relating to RFID should be removed and replaced by QR-code.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Employees are also included in users of the applications.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clear of how to use the QR-code in the process section.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 design and database design need to be included in the setup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and expectations from client on the wireframes and sample web pages: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Separate QR code for the camping spot.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on the database design: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important entities should be added.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Missing relationships between entities.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 from team members: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term “checking payment status” mean? Payment status allows a user to track whether the payment is processing, pending, failed, paid,...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loaned materials and food/drink be separated as different table in the database? It depends on the team’s design but separated tables are recommended.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the users allowed to reserve several camp spots? Yes, that’s possible.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yw93zx136186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discussion: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1glk1j6te59v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Misunderstanding of the term “camping spot”: One camping spot is for exactly one person. But in fact, one camping spot has 6 beds for a group which can be registered by one person.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uq1dfvl3j53p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 feature: Refundable ticket is another extra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ridltj83ur3b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Action Items: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