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0F172A"/>
          <w:sz w:val="52"/>
          <w:szCs w:val="52"/>
        </w:rPr>
        <w:t xml:space="preserve">CEI Accountant Playbook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4748B"/>
          <w:sz w:val="26"/>
          <w:szCs w:val="26"/>
        </w:rPr>
        <w:t xml:space="preserve">How to generate CBAM compliance reports for your manufacturing clients</w:t>
      </w:r>
    </w:p>
    <w:p>
      <w:pPr>
        <w:pBdr>
          <w:top w:val="single" w:color="22C55E" w:sz="6" w:space="1"/>
        </w:pBdr>
        <w:spacing w:after="0" w:before="20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For Commercialisti  ·  Tax Advisors  ·  Accountants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1. What CEI Does For Your Practice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CEI is an energy compliance platform that turns a factory's utility bills into regulatory-grade CBAM and ETS reports. As an accountant, you use CEI as an invisible engine behind your own client service — the reports carry your studio name, not CEI's.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Why CBAM Matters For Your Clients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From September 2027, every Italian manufacturing SME exporting or importing CBAM-regulated goods (ceramics, cement, steel, aluminium, fertilizers, hydrogen) must file an annual declaration with verified CO2 emission data. Factories that file without a verified baseline pay using EU default emission factors — which are consistently higher than actual figures, costing them thousands of euros in unnecessary carbon costs.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 verified energy baseline produced from existing utility bills can save a typical ceramics factory EUR 8,000-25,000 per year in CBAM compliance costs. No hardware installation required.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What You Deliver To Clients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CBAM Exposure Summary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Plain-language report: CO2 position, financial exposure in euros, default vs. verified cost gap, CBAM timeline to September 2027.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Compliance Readiness Assessment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Red/Amber/Green scorecard across 7 areas: baseline, emissions config, CBAM registration, ETS position, benchmark, data coverage, documentation.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Both co-branded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Your studio name appears in the header. CEI is the invisible engine. The factory sees your practice as the author.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2. Setting Up Your CEI Account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Go to app.carbonefficiencyintel.com and click Create account.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Choose 'Energy manager / consultant'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This creates a managing organization that can oversee multiple factory clients.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Choose 'Commercialista / Accountant'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CEI asks which type of consultant you are. Select this option.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Enter your studio name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Enter your practice name (e.g. Studio Pincelli &amp; Associati). This name appears on all co-branded client reports.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Complete registration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Enter your email and password. You land on the Compliance Portal dashboard.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Your studio name can be updated at any time from Settings. Every report generated after the update will use the new name.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3. Onboarding a Factory Client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There are two ways to connect a factory to your CEI account.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Path A — Invite Link (Recommended)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Go to Partner Invite Links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At the bottom of your Compliance Portal dashboard, find the Partner Invite Links panel.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Enter factory details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Enter the factory name and optionally their email. Click '+ New Invite Link'.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Copy and send the link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Click 'Copy Link' next to the active invite. Send it to the factory manager by email or WhatsApp.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Factory signs up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The factory manager clicks the link, creates their account, and is automatically connected to your studio.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5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Factory appears in your portal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Within seconds, the factory appears as a client card in your Compliance Portal.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Invite links are valid for 30 days. If the factory has not signed up by then, generate a new link. Used or expired links cannot be reused.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4. Generating Co-Branded Reports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Open your Compliance Portal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Go to app.carbonefficiencyintel.com/commercialista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Find the factory client card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Each connected factory appears as a card showing compliance status and data health.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Click 'CBAM Exposure' or 'Compliance Check'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The button generates the report in seconds from the factory's live energy data.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PDF downloads automatically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The PDF includes your studio name in the header — ready to share with the client.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5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Share with the client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Attach to an email, present in a client meeting, or include in a tax advisory package.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What Each Report Contains</w:t>
      </w:r>
    </w:p>
    <w:p>
      <w:pPr>
        <w:spacing w:after="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CBAM Exposure Summary (3 pages)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Executive summary: CO2 position and financial exposure in euros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CBAM &amp; ETS Position table: verified CO2, projected annual, free allocation, ETS surplus/deficit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Default vs. Verified Baseline: cost of filing without a verified baseline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EU Sector Benchmark Position: Red/Amber/Green vs. EU average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CBAM Compliance Timeline: key deadlines to September 2027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Recommended Actions: prioritized action table with timelines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Professional Sign-Off block: signature line for your studio</w:t>
      </w:r>
    </w:p>
    <w:p>
      <w:pPr>
        <w:spacing w:after="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Compliance Readiness Assessment (4 pages)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Overall Readiness Score: 0-100 with Red/Amber/Green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7-area scorecard with finding and recommended action per area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Priority Action Plan: sorted by urgency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Professional Sign-Off block: signature line for your studio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5. Understanding the Compliance Status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22C55E" w:sz="4"/>
              <w:left w:val="single" w:color="22C55E" w:sz="4"/>
              <w:bottom w:val="single" w:color="22C55E" w:sz="4"/>
              <w:right w:val="single" w:color="22C55E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GREEN</w:t>
            </w:r>
          </w:p>
        </w:tc>
        <w:tc>
          <w:tcPr>
            <w:tcW w:type="dxa" w:w="72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READY — Factory has 90+ days of energy data, emissions configured, ETS position calculated, key documents generated.</w:t>
            </w:r>
          </w:p>
        </w:tc>
      </w:tr>
      <w:tr>
        <w:tc>
          <w:tcPr>
            <w:tcW w:type="dxa" w:w="1800"/>
            <w:tcBorders>
              <w:top w:val="single" w:color="F59E0B" w:sz="4"/>
              <w:left w:val="single" w:color="F59E0B" w:sz="4"/>
              <w:bottom w:val="single" w:color="F59E0B" w:sz="4"/>
              <w:right w:val="single" w:color="F59E0B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AMBER</w:t>
            </w:r>
          </w:p>
        </w:tc>
        <w:tc>
          <w:tcPr>
            <w:tcW w:type="dxa" w:w="72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PARTIAL — Some elements are in place but gaps remain. Typical: data window is 30-89 days, or ETS position not calculated.</w:t>
            </w:r>
          </w:p>
        </w:tc>
      </w:tr>
      <w:tr>
        <w:tc>
          <w:tcPr>
            <w:tcW w:type="dxa" w:w="1800"/>
            <w:tcBorders>
              <w:top w:val="single" w:color="EF4444" w:sz="4"/>
              <w:left w:val="single" w:color="EF4444" w:sz="4"/>
              <w:bottom w:val="single" w:color="EF4444" w:sz="4"/>
              <w:right w:val="single" w:color="EF4444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RED</w:t>
            </w:r>
          </w:p>
        </w:tc>
        <w:tc>
          <w:tcPr>
            <w:tcW w:type="dxa" w:w="72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AT RISK — Critical gaps. Factory cannot file a compliant CBAM declaration without immediate action.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6. CBAM &amp; ETS Key Concepts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CBAM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Carbon Border Adjustment Mechanism (EU Regulation 2023/956). Requires declaration of embedded CO2 content for imports of carbon-intensive goods.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ETS Phase 4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EU Emissions Trading System, 2021-2030. Factories receive free allowances; excess emissions must be purchased at ~EUR 65/tCO2.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Free allocation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Tonnes of CO2 a factory may emit without buying allowances. Decreasing 4.4% per year until 2030.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ETS surplus/deficit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Surplus = actual &lt; allocation (can sell/bank). Deficit = actual &gt; allocation (must purchase).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Benchmark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EU reference intensity per sector (tCO2/tonne product). Factories above benchmark face higher ETS costs.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Verified baseline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Energy data verified by accredited third party. Enables CBAM declarations using actual (lower) emission factors.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September 2027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Deadline for first full CBAM declaration covering the 2026 reporting year.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7. Getting Help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Technical support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support@carbonefficiencyintel.com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Platform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app.carbonefficiencyintel.com/commercialista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CBAM/ETS regulatory guidance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FIRE — federazione.it  |  FEDERESCO — federesco.org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EU CBAM regulation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Regulation (EU) 2023/956 — eur-lex.europa.eu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top w:val="single" w:color="E2E8F0" w:sz="4" w:space="4"/>
        </w:pBdr>
        <w:spacing w:after="0" w:before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CEI — Carbon Efficiency Intelligence  |  carbonefficiencyintel.com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17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a7568c038f9c3925f9aeebd96e6fca053181ea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2026-06-20T20:00:00.549Z</dcterms:created>
  <dcterms:modified xsi:type="dcterms:W3CDTF">2026-06-20T20:00:00.562Z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