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aps/>
          <w:color w:val="38BDF8"/>
          <w:sz w:val="20"/>
          <w:szCs w:val="20"/>
        </w:rPr>
        <w:t xml:space="preserve">CARBON EFFICIENCY INTELLIGENCE</w:t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0F172A"/>
          <w:sz w:val="52"/>
          <w:szCs w:val="52"/>
        </w:rPr>
        <w:t xml:space="preserve">Manuale CEI per Commercialisti</w:t>
      </w:r>
    </w:p>
    <w:p>
      <w:pPr>
        <w:spacing w:after="400" w:before="0"/>
        <w:jc w:val="center"/>
      </w:pPr>
      <w:r>
        <w:rPr>
          <w:rFonts w:ascii="Arial" w:cs="Arial" w:eastAsia="Arial" w:hAnsi="Arial"/>
          <w:color w:val="64748B"/>
          <w:sz w:val="26"/>
          <w:szCs w:val="26"/>
        </w:rPr>
        <w:t xml:space="preserve">Come generare report di conformità CBAM per i tuoi clienti manifatturieri</w:t>
      </w:r>
    </w:p>
    <w:p>
      <w:pPr>
        <w:pBdr>
          <w:top w:val="single" w:color="22C55E" w:sz="6" w:space="1"/>
        </w:pBdr>
        <w:spacing w:after="0" w:before="200"/>
        <w:jc w:val="center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Per Commercialisti · Consulenti Fiscali · Dottori Commercialisti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pBdr>
          <w:bottom w:val="single" w:color="38BDF8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1. Cosa Fa CEI Per Il Tuo Studio</w:t>
      </w:r>
    </w:p>
    <w:p>
      <w:pPr>
        <w:spacing w:after="6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CEI è una piattaforma di conformità energetica che trasforma le bollette di uno stabilimento industriale in report CBAM e ETS di livello regolatorio. Come commercialista, usi CEI come motore invisibile dietro il tuo servizio clienti — i report portano il nome del tuo studio, non quello di CEI.</w:t>
      </w:r>
    </w:p>
    <w:p>
      <w:pPr>
        <w:spacing w:after="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Perché il CBAM Riguarda i Tuoi Clienti</w:t>
      </w:r>
    </w:p>
    <w:p>
      <w:pPr>
        <w:spacing w:after="6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Dal settembre 2027, ogni PMI manifatturiera italiana che importa o esporta beni soggetti a CBAM (ceramica, cemento, acciaio, alluminio, fertilizzanti, idrogeno) deve presentare una dichiarazione annuale con dati verificati sulle emissioni di CO₂. Le aziende che dichiarano senza una baseline verificata pagano usando i fattori di emissione predefiniti UE — sistematicamente più alti dei valori reali — con un costo aggiuntivo di migliaia di euro.</w:t>
      </w:r>
    </w:p>
    <w:p>
      <w:pPr>
        <w:spacing w:after="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8BDF8" w:sz="4"/>
              <w:left w:val="single" w:color="38BDF8" w:sz="16"/>
              <w:bottom w:val="single" w:color="38BDF8" w:sz="4"/>
              <w:right w:val="single" w:color="38BDF8" w:sz="4"/>
            </w:tcBorders>
            <w:shd w:fill="F0F9FF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Una baseline energetica verificata, prodotta dalle bollette esistenti, può far risparmiare a un tipico stabilimento ceramico tra €8.000 e €25.000 all'anno in costi di conformità CBAM. Nessun hardware richiesto.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Cosa Consegni ai Clienti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Sintesi Esposizione CBAM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Report in linguaggio semplice: posizione CO₂, esposizione finanziaria in euro, divario tra valori predefiniti e verificati, scadenze CBAM.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Valutazione Conformità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Scorecard Rosso/Giallo/Verde su 7 aree: baseline, configurazione emissioni, registrazione CBAM, posizione ETS, benchmark, copertura dati, documentazione.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Entrambi co-brandizzati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Il nome del tuo studio appare nell'intestazione. CEI è il motore invisibile. Lo stabilimento vede il tuo studio come autore.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pBdr>
          <w:bottom w:val="single" w:color="38BDF8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2. Configurare il Tuo Account CEI</w:t>
      </w:r>
    </w:p>
    <w:p>
      <w:pPr>
        <w:spacing w:after="6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Vai su app.carbonefficiencyintel.com e clicca Crea account.</w:t>
      </w:r>
    </w:p>
    <w:p>
      <w:pPr>
        <w:spacing w:after="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1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Scegli 'Energy manager / consulente'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Questo crea un'organizzazione gestionale che può supervisionare più clienti stabilimento.</w:t>
            </w:r>
          </w:p>
        </w:tc>
      </w:tr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2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Scegli 'Commercialista / Contabile'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CEI chiede che tipo di consulente sei. Seleziona questa opzione.</w:t>
            </w:r>
          </w:p>
        </w:tc>
      </w:tr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3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Inserisci il nome del tuo studio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Inserisci il nome del tuo studio (es. Studio Pincelli &amp; Associati). Questo nome appare su tutti i report co-brandizzati.</w:t>
            </w:r>
          </w:p>
        </w:tc>
      </w:tr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4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Completa la registrazione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Inserisci email e password. Atterri sulla dashboard del Portale Commercialista.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8BDF8" w:sz="4"/>
              <w:left w:val="single" w:color="38BDF8" w:sz="16"/>
              <w:bottom w:val="single" w:color="38BDF8" w:sz="4"/>
              <w:right w:val="single" w:color="38BDF8" w:sz="4"/>
            </w:tcBorders>
            <w:shd w:fill="F0F9FF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Il nome del tuo studio può essere aggiornato in qualsiasi momento dalle Impostazioni. Tutti i report generati dopo l'aggiornamento useranno il nuovo nome.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pBdr>
          <w:bottom w:val="single" w:color="38BDF8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3. Acquisire un Cliente Stabilimento</w:t>
      </w:r>
    </w:p>
    <w:p>
      <w:pPr>
        <w:spacing w:after="6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Ci sono due modi per collegare uno stabilimento al tuo account CEI.</w:t>
      </w:r>
    </w:p>
    <w:p>
      <w:pPr>
        <w:spacing w:after="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Percorso A — Link di Invito (Consigliato)</w:t>
      </w:r>
    </w:p>
    <w:p>
      <w:pPr>
        <w:spacing w:after="6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Genera un link sicuro e invialo allo stabilimento. Quando cliccano e si registrano, il loro account si collega automaticamente al tuo.</w:t>
      </w:r>
    </w:p>
    <w:p>
      <w:pPr>
        <w:spacing w:after="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1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Vai su Partner Invite Links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In fondo alla dashboard del Portale Commercialista, trova il pannello Link di Invito Partner.</w:t>
            </w:r>
          </w:p>
        </w:tc>
      </w:tr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2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Inserisci i dettagli dello stabilimento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Inserisci il nome dello stabilimento e opzionalmente la loro email. Clicca '+ Nuovo Link di Invito'.</w:t>
            </w:r>
          </w:p>
        </w:tc>
      </w:tr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3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Copia e invia il link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Clicca 'Copia Link' accanto all'invito attivo. Invialo al responsabile dello stabilimento via email o WhatsApp.</w:t>
            </w:r>
          </w:p>
        </w:tc>
      </w:tr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4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Lo stabilimento si registra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Il responsabile clicca il link, crea il suo account, e viene collegato automaticamente al tuo studio.</w:t>
            </w:r>
          </w:p>
        </w:tc>
      </w:tr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5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Lo stabilimento appare nel portale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In pochi secondi, lo stabilimento appare come scheda cliente nel tuo Portale Commercialista.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8BDF8" w:sz="4"/>
              <w:left w:val="single" w:color="38BDF8" w:sz="16"/>
              <w:bottom w:val="single" w:color="38BDF8" w:sz="4"/>
              <w:right w:val="single" w:color="38BDF8" w:sz="4"/>
            </w:tcBorders>
            <w:shd w:fill="F0F9FF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I link di invito sono validi 30 giorni. Se lo stabilimento non si è registrato entro quel termine, genera un nuovo link. I link usati o scaduti non possono essere riutilizzati.</w:t>
            </w:r>
          </w:p>
        </w:tc>
      </w:tr>
    </w:tbl>
    <w:p>
      <w:pPr>
        <w:spacing w:after="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Percorso B — Crea l'Organizzazione Cliente Direttamente</w:t>
      </w:r>
    </w:p>
    <w:p>
      <w:pPr>
        <w:spacing w:after="6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Se lo stabilimento non ha un account CEI e vuoi configurare tutto tu stesso, puoi creare l'organizzazione per loro dalla dashboard tecnica Gestisci.</w:t>
      </w:r>
    </w:p>
    <w:p>
      <w:pPr>
        <w:spacing w:after="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1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Vai alla dashboard Gestisci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Clicca 'Dashboard tecnica →' in fondo al Portale Commercialista, o naviga su /manage.</w:t>
            </w:r>
          </w:p>
        </w:tc>
      </w:tr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2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Clicca + Aggiungi org cliente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Trova il pulsante accanto all'intestazione Organizzazioni clienti.</w:t>
            </w:r>
          </w:p>
        </w:tc>
      </w:tr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3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Inserisci i dettagli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Inserisci il nome dello stabilimento, la fonte energetica primaria (elettricità/gas) e la valuta.</w:t>
            </w:r>
          </w:p>
        </w:tc>
      </w:tr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4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Carica le bollette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Apri l'org cliente, vai su Siti e carica i dati energetici CSV dello stabilimento.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pBdr>
          <w:bottom w:val="single" w:color="38BDF8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4. Generare Report Co-Brandizzati</w:t>
      </w:r>
    </w:p>
    <w:p>
      <w:pPr>
        <w:spacing w:after="6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Una volta che uno stabilimento è collegato al tuo account e ha dati energetici, puoi generare report dal tuo Portale Commercialista con un clic.</w:t>
      </w:r>
    </w:p>
    <w:p>
      <w:pPr>
        <w:spacing w:after="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1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Apri il Portale Commercialista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Vai su app.carbonefficiencyintel.com/commercialista</w:t>
            </w:r>
          </w:p>
        </w:tc>
      </w:tr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2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Trova la scheda del cliente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Ogni stabilimento connesso appare come scheda con stato di conformità e salute dei dati.</w:t>
            </w:r>
          </w:p>
        </w:tc>
      </w:tr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3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Clicca 'CBAM Exposure' o 'Compliance Check'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Il pulsante genera il report in pochi secondi dai dati energetici live dello stabilimento.</w:t>
            </w:r>
          </w:p>
        </w:tc>
      </w:tr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4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Il PDF si scarica automaticamente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Il PDF include il nome del tuo studio nell'intestazione e 'A product of Carbon Efficiency Intelligence' nel footer.</w:t>
            </w:r>
          </w:p>
        </w:tc>
      </w:tr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5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Condividi con il cliente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Il PDF è pronto da allegare a un'email, presentare in una riunione o includere in un pacchetto di consulenza fiscale.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pBdr>
          <w:bottom w:val="single" w:color="38BDF8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5. Interpretare lo Stato di Conformità</w:t>
      </w:r>
    </w:p>
    <w:p>
      <w:pPr>
        <w:spacing w:after="6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Ogni scheda cliente nel tuo portale mostra un badge di stato di conformità derivato dai dati disponibili.</w:t>
      </w:r>
    </w:p>
    <w:p>
      <w:pPr>
        <w:spacing w:after="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22C55E" w:sz="4"/>
              <w:left w:val="single" w:color="22C55E" w:sz="4"/>
              <w:bottom w:val="single" w:color="22C55E" w:sz="4"/>
              <w:right w:val="single" w:color="22C55E" w:sz="4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C55E"/>
                <w:sz w:val="20"/>
                <w:szCs w:val="20"/>
              </w:rPr>
              <w:t xml:space="preserve">GREEN</w:t>
            </w:r>
          </w:p>
        </w:tc>
        <w:tc>
          <w:tcPr>
            <w:tcW w:type="dxa" w:w="72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PRONTO — Lo stabilimento ha 90+ giorni di dati energetici, emissioni configurate, posizione ETS calcolata, documenti chiave generati.</w:t>
            </w:r>
          </w:p>
        </w:tc>
      </w:tr>
      <w:tr>
        <w:tc>
          <w:tcPr>
            <w:tcW w:type="dxa" w:w="1800"/>
            <w:tcBorders>
              <w:top w:val="single" w:color="F59E0B" w:sz="4"/>
              <w:left w:val="single" w:color="F59E0B" w:sz="4"/>
              <w:bottom w:val="single" w:color="F59E0B" w:sz="4"/>
              <w:right w:val="single" w:color="F59E0B" w:sz="4"/>
            </w:tcBorders>
            <w:shd w:fill="FFFB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9E0B"/>
                <w:sz w:val="20"/>
                <w:szCs w:val="20"/>
              </w:rPr>
              <w:t xml:space="preserve">AMBER</w:t>
            </w:r>
          </w:p>
        </w:tc>
        <w:tc>
          <w:tcPr>
            <w:tcW w:type="dxa" w:w="72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PARZIALE — Alcuni elementi sono a posto ma ci sono lacune. Tipico: finestra dati 30-89 giorni, o posizione ETS non calcolata.</w:t>
            </w:r>
          </w:p>
        </w:tc>
      </w:tr>
      <w:tr>
        <w:tc>
          <w:tcPr>
            <w:tcW w:type="dxa" w:w="1800"/>
            <w:tcBorders>
              <w:top w:val="single" w:color="EF4444" w:sz="4"/>
              <w:left w:val="single" w:color="EF4444" w:sz="4"/>
              <w:bottom w:val="single" w:color="EF4444" w:sz="4"/>
              <w:right w:val="single" w:color="EF4444" w:sz="4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20"/>
                <w:szCs w:val="20"/>
              </w:rPr>
              <w:t xml:space="preserve">RED</w:t>
            </w:r>
          </w:p>
        </w:tc>
        <w:tc>
          <w:tcPr>
            <w:tcW w:type="dxa" w:w="72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A RISCHIO — Lacune critiche identificate. Lo stabilimento non può presentare una dichiarazione CBAM conforme senza azione immediata.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38BDF8" w:sz="4"/>
              <w:left w:val="single" w:color="38BDF8" w:sz="16"/>
              <w:bottom w:val="single" w:color="38BDF8" w:sz="4"/>
              <w:right w:val="single" w:color="38BDF8" w:sz="4"/>
            </w:tcBorders>
            <w:shd w:fill="F0F9FF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Lo stato di conformità è la valutazione CEI basata sui dati disponibili. È un segnale di prodotto, non una certificazione legale. Per le dichiarazioni CBAM ufficiali, lo stabilimento deve presentare con il proprio verificatore autorizzato.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pBdr>
          <w:bottom w:val="single" w:color="38BDF8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6. Concetti Chiave CBAM e ETS</w:t>
      </w:r>
    </w:p>
    <w:p>
      <w:pPr>
        <w:spacing w:after="6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Non è necessario essere un esperto energetico per usare CEI. Ecco i termini chiave che appaiono nei report.</w:t>
      </w:r>
    </w:p>
    <w:p>
      <w:pPr>
        <w:spacing w:after="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CBAM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Meccanismo di Adeguamento del Carbonio alle Frontiere (Regolamento UE 2023/956). Richiede a chi importa beni ad alta intensità di carbonio di dichiarare il contenuto di CO₂ e pagare per i costi del carbonio non sostenuti nel paese di produzione.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ETS Fase 4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Sistema EU di Scambio Quote di Emissione, 2021-2030. Gli stabilimenti sopra certe soglie ricevono quote di carbonio gratuite; se emettono più della loro quota, devono acquistare quote aggiuntive.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Quote gratuite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Le tonnellate di CO₂ che uno stabilimento può emettere ogni anno senza acquistare quote. Pubblicate annualmente dall'autorità EU ETS (EUTL). In diminuzione del 4,4% all'anno fino al 2030.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Surplus/deficit ETS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Se emissioni reali &lt; quote gratuite = surplus (lo stabilimento può vendere o accantonare quote). Se reali &gt; gratuite = deficit (deve acquistare quote a ~€65/tCO₂).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Benchmark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L'intensità di riferimento UE per ciascun settore (tCO₂ per tonnellata di prodotto). Gli stabilimenti sopra il benchmark affrontano costi ETS più elevati sotto il ratcheting Fase 4.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Baseline verificata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Dati energetici e di emissioni verificati da una terza parte accreditata. Consente dichiarazioni CBAM usando fattori di emissione reali anziché i valori predefiniti UE più elevati.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tCO₂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Tonnellate di CO₂ equivalente — l'unità usata per tutti i calcoli CBAM e ETS.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Settembre 2027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La scadenza per la prima dichiarazione CBAM completa che copre l'anno di rendicontazione 2026.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pBdr>
          <w:bottom w:val="single" w:color="38BDF8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7. Gestire il Portfolio Clienti</w:t>
      </w:r>
    </w:p>
    <w:p>
      <w:pPr>
        <w:spacing w:after="6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Il Portale Commercialista mostra tutti gli stabilimenti cliente connessi. Per una vista tecnica più approfondita di qualsiasi cliente, clicca il suo nome per aprire la pagina di gestione completa.</w:t>
      </w:r>
    </w:p>
    <w:p>
      <w:pPr>
        <w:spacing w:after="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Portale Commercialista (/commercialista)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La tua pagina di atterraggio predefinita. Schede conformità clienti, pulsanti generazione PDF, gestione link di invito.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Dashboard Tecnica (/manage)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Vista portfolio completa con statistiche di ingestione, conteggi alert, token di integrazione, caricamento dati. Per lavoro tecnico approfondito stile ESCO.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Dettaglio cliente (/manage/client-orgs/{id})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Pagina di gestione a 8 schede: Panoramica, Siti, Token, Utenti, Soglie, Energia, Alert, Report.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pBdr>
          <w:bottom w:val="single" w:color="38BDF8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8. Caricamento Dati Energetici</w:t>
      </w:r>
    </w:p>
    <w:p>
      <w:pPr>
        <w:spacing w:after="60" w:before="60"/>
      </w:pPr>
      <w:r>
        <w:rPr>
          <w:rFonts w:ascii="Arial" w:cs="Arial" w:eastAsia="Arial" w:hAnsi="Arial"/>
          <w:color w:val="0F172A"/>
          <w:sz w:val="22"/>
          <w:szCs w:val="22"/>
        </w:rPr>
        <w:t xml:space="preserve">CEI funziona con le bollette esistenti — nessun hardware richiesto. Il modo più rapido per inserire dati nel sistema è il caricamento CSV.</w:t>
      </w:r>
    </w:p>
    <w:p>
      <w:pPr>
        <w:spacing w:after="0" w:before="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F172A"/>
          <w:sz w:val="26"/>
          <w:szCs w:val="26"/>
        </w:rPr>
        <w:t xml:space="preserve">Formato 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Colonna timestamp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Qualsiasi formato standard: timestamp, datetime, date, ts. Supporta ISO 8601, formati data italiani, date seriali Excel.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Colonna energia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Qualsiasi tra: value, kwh, energy, consumption. Valori in kWh. Le altre colonne vengono ignorate.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Fuso orario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Italia: includi il fuso orario o CEI assume Europe/Rome.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Duplicati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CEI ignora silenziosamente le righe duplicate. Sicuro ricaricare lo stesso file.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1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Vai all'org cliente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Dalla dashboard Gestisci, clicca il nome dello stabilimento.</w:t>
            </w:r>
          </w:p>
        </w:tc>
      </w:tr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2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Apri la scheda Siti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Verifica che lo stabilimento abbia almeno un sito configurato.</w:t>
            </w:r>
          </w:p>
        </w:tc>
      </w:tr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3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Clicca il nome del sito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Apre la vista sito completa.</w:t>
            </w:r>
          </w:p>
        </w:tc>
      </w:tr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4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Usa Carica CSV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Carica i dati delle bollette dello stabilimento. CEI li elabora immediatamente.</w:t>
            </w:r>
          </w:p>
        </w:tc>
      </w:tr>
      <w:tr>
        <w:tc>
          <w:tcPr>
            <w:tcW w:type="dxa" w:w="700"/>
            <w:tcBorders>
              <w:top w:val="single" w:color="38BDF8" w:sz="4"/>
              <w:left w:val="single" w:color="38BDF8" w:sz="4"/>
              <w:bottom w:val="single" w:color="38BDF8" w:sz="4"/>
              <w:right w:val="single" w:color="38BDF8" w:sz="4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8BDF8"/>
                <w:sz w:val="24"/>
                <w:szCs w:val="24"/>
              </w:rPr>
              <w:t xml:space="preserve">5</w:t>
            </w:r>
          </w:p>
        </w:tc>
        <w:tc>
          <w:tcPr>
            <w:tcW w:type="dxa" w:w="83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2"/>
                <w:szCs w:val="22"/>
              </w:rPr>
              <w:t xml:space="preserve">Controlla la scheda Energia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La scheda cliente nel tuo portale si aggiorna in pochi secondi.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pStyle w:val="Heading1"/>
        <w:pBdr>
          <w:bottom w:val="single" w:color="38BDF8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9. Assistenza</w:t>
      </w:r>
    </w:p>
    <w:p>
      <w:pPr>
        <w:spacing w:after="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Supporto tecnico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support@carbonefficiencyintel.com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Piattaforma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app.carbonefficiencyintel.com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Guida normativa CBAM/ETS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FIRE — federazione.it · FEDERESCO — federesco.org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Regolamento UE CBAM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Regolamento (UE) 2023/956 — eur-lex.europa.eu</w:t>
            </w:r>
          </w:p>
        </w:tc>
      </w:tr>
      <w:tr>
        <w:tc>
          <w:tcPr>
            <w:tcW w:type="dxa" w:w="30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172A"/>
                <w:sz w:val="20"/>
                <w:szCs w:val="20"/>
              </w:rPr>
              <w:t xml:space="preserve">Quote gratuite ETS</w:t>
            </w:r>
          </w:p>
        </w:tc>
        <w:tc>
          <w:tcPr>
            <w:tcW w:type="dxa" w:w="6026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F172A"/>
                <w:sz w:val="20"/>
                <w:szCs w:val="20"/>
              </w:rPr>
              <w:t xml:space="preserve">EU Transaction Log — eutl.eea.europa.eu</w:t>
            </w:r>
          </w:p>
        </w:tc>
      </w:tr>
    </w:tbl>
    <w:p>
      <w:pPr>
        <w:spacing w:after="0" w:before="0"/>
      </w:pPr>
      <w:r>
        <w:t xml:space="preserve"/>
      </w:r>
    </w:p>
    <w:p>
      <w:pPr>
        <w:pBdr>
          <w:top w:val="single" w:color="E2E8F0" w:sz="4" w:space="4"/>
        </w:pBdr>
        <w:spacing w:after="0" w:before="200"/>
        <w:jc w:val="center"/>
      </w:pPr>
      <w:r>
        <w:rPr>
          <w:rFonts w:ascii="Arial" w:cs="Arial" w:eastAsia="Arial" w:hAnsi="Arial"/>
          <w:i/>
          <w:iCs/>
          <w:color w:val="64748B"/>
          <w:sz w:val="18"/>
          <w:szCs w:val="18"/>
        </w:rPr>
        <w:t xml:space="preserve">CEI — Carbon Efficiency Intelligence · carbonefficiencyintel.com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0F172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F172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2026-06-19T07:39:33.093Z</dcterms:created>
  <dcterms:modified xsi:type="dcterms:W3CDTF">2026-06-19T07:39:33.093Z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