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8C99" w14:textId="71574C0C" w:rsidR="006B229F" w:rsidRDefault="006B229F" w:rsidP="006B229F">
      <w:pPr>
        <w:spacing w:line="259" w:lineRule="auto"/>
        <w:jc w:val="center"/>
        <w:rPr>
          <w:b/>
          <w:bCs/>
          <w:i/>
          <w:iCs/>
        </w:rPr>
      </w:pPr>
      <w:r w:rsidRPr="00180AD2">
        <w:rPr>
          <w:b/>
          <w:bCs/>
          <w:i/>
          <w:iCs/>
        </w:rPr>
        <w:t>Internet Appendix</w:t>
      </w:r>
    </w:p>
    <w:p w14:paraId="1D338FA4" w14:textId="77777777" w:rsidR="006B229F" w:rsidRDefault="006B229F" w:rsidP="006B229F">
      <w:pPr>
        <w:spacing w:line="259" w:lineRule="auto"/>
        <w:jc w:val="center"/>
        <w:rPr>
          <w:b/>
          <w:bCs/>
          <w:i/>
          <w:iCs/>
        </w:rPr>
      </w:pPr>
    </w:p>
    <w:p w14:paraId="5E1A5A0C" w14:textId="1C17B4A8" w:rsidR="006B229F" w:rsidRDefault="006B229F" w:rsidP="006B22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Climate change risk and the cost of mortgage credit</w:t>
      </w:r>
    </w:p>
    <w:p w14:paraId="3775DA34" w14:textId="77777777" w:rsidR="006B229F" w:rsidRPr="001479C1" w:rsidRDefault="006B229F" w:rsidP="006B229F">
      <w:pPr>
        <w:tabs>
          <w:tab w:val="left" w:pos="3744"/>
        </w:tabs>
        <w:jc w:val="left"/>
      </w:pPr>
      <w:r>
        <w:tab/>
      </w:r>
    </w:p>
    <w:p w14:paraId="32A63632" w14:textId="42234785" w:rsidR="006B229F" w:rsidRDefault="006B229F" w:rsidP="006B229F">
      <w:pPr>
        <w:spacing w:line="259" w:lineRule="auto"/>
        <w:jc w:val="center"/>
      </w:pPr>
    </w:p>
    <w:p w14:paraId="5E7B9746" w14:textId="2738324F" w:rsidR="006B229F" w:rsidRPr="00D4084A" w:rsidRDefault="00361E7C" w:rsidP="00361E7C">
      <w:pPr>
        <w:tabs>
          <w:tab w:val="left" w:pos="3686"/>
        </w:tabs>
        <w:spacing w:line="259" w:lineRule="auto"/>
      </w:pPr>
      <w:r>
        <w:tab/>
      </w:r>
    </w:p>
    <w:p w14:paraId="3B359228" w14:textId="2B96D148" w:rsidR="006B229F" w:rsidRDefault="006B229F" w:rsidP="006B229F">
      <w:pPr>
        <w:spacing w:line="259" w:lineRule="auto"/>
      </w:pPr>
      <w:r w:rsidRPr="0089204B">
        <w:t xml:space="preserve">This </w:t>
      </w:r>
      <w:r>
        <w:t xml:space="preserve">internet </w:t>
      </w:r>
      <w:r w:rsidRPr="0089204B">
        <w:t xml:space="preserve">appendix contains information on </w:t>
      </w:r>
      <w:r>
        <w:t xml:space="preserve">lenders’ pricing of sea level rise risk. </w:t>
      </w:r>
    </w:p>
    <w:p w14:paraId="53760DCA" w14:textId="77777777" w:rsidR="007402E4" w:rsidRPr="00D4084A" w:rsidRDefault="007402E4" w:rsidP="006B229F">
      <w:pPr>
        <w:spacing w:line="259" w:lineRule="auto"/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804"/>
      </w:tblGrid>
      <w:tr w:rsidR="006B229F" w:rsidRPr="004048E8" w14:paraId="7259C995" w14:textId="77777777" w:rsidTr="005E13FC">
        <w:tc>
          <w:tcPr>
            <w:tcW w:w="2835" w:type="dxa"/>
          </w:tcPr>
          <w:p w14:paraId="59AA53D8" w14:textId="77777777" w:rsidR="00595A08" w:rsidRDefault="00595A08" w:rsidP="004965DF">
            <w:pPr>
              <w:spacing w:line="240" w:lineRule="auto"/>
              <w:jc w:val="left"/>
              <w:rPr>
                <w:rFonts w:eastAsia="Times New Roman"/>
                <w:color w:val="000000"/>
                <w:lang w:eastAsia="en-GB" w:bidi="th-TH"/>
              </w:rPr>
            </w:pPr>
          </w:p>
          <w:p w14:paraId="46872C76" w14:textId="49F50AC3" w:rsidR="006B229F" w:rsidRDefault="00595A08" w:rsidP="004965DF">
            <w:pPr>
              <w:spacing w:line="240" w:lineRule="auto"/>
              <w:jc w:val="left"/>
              <w:rPr>
                <w:rFonts w:eastAsia="Times New Roman"/>
                <w:color w:val="000000"/>
                <w:lang w:eastAsia="en-GB" w:bidi="th-TH"/>
              </w:rPr>
            </w:pPr>
            <w:r>
              <w:rPr>
                <w:rFonts w:eastAsia="Times New Roman"/>
                <w:color w:val="000000"/>
                <w:lang w:eastAsia="en-GB" w:bidi="th-TH"/>
              </w:rPr>
              <w:t xml:space="preserve">Table </w:t>
            </w:r>
            <w:r w:rsidR="006B229F" w:rsidRPr="004048E8">
              <w:rPr>
                <w:rFonts w:eastAsia="Times New Roman"/>
                <w:color w:val="000000"/>
                <w:lang w:eastAsia="en-GB" w:bidi="th-TH"/>
              </w:rPr>
              <w:t>IA</w:t>
            </w:r>
            <w:r w:rsidR="005E13FC">
              <w:rPr>
                <w:rFonts w:eastAsia="Times New Roman"/>
                <w:color w:val="000000"/>
                <w:lang w:eastAsia="en-GB" w:bidi="th-TH"/>
              </w:rPr>
              <w:t>-I</w:t>
            </w:r>
          </w:p>
          <w:p w14:paraId="1134D962" w14:textId="765F7136" w:rsidR="00595A08" w:rsidRPr="004048E8" w:rsidRDefault="00595A08" w:rsidP="004965DF">
            <w:pPr>
              <w:spacing w:line="240" w:lineRule="auto"/>
              <w:jc w:val="left"/>
              <w:rPr>
                <w:rFonts w:eastAsia="Times New Roman"/>
                <w:color w:val="000000"/>
                <w:lang w:eastAsia="en-GB" w:bidi="th-TH"/>
              </w:rPr>
            </w:pPr>
          </w:p>
        </w:tc>
        <w:tc>
          <w:tcPr>
            <w:tcW w:w="6804" w:type="dxa"/>
          </w:tcPr>
          <w:p w14:paraId="22711F17" w14:textId="77777777" w:rsidR="006B229F" w:rsidRDefault="006B229F" w:rsidP="004965DF">
            <w:pPr>
              <w:spacing w:line="240" w:lineRule="auto"/>
              <w:jc w:val="left"/>
            </w:pPr>
          </w:p>
          <w:p w14:paraId="338437B4" w14:textId="2157E970" w:rsidR="00595A08" w:rsidRPr="004048E8" w:rsidRDefault="00595A08" w:rsidP="004965DF">
            <w:pPr>
              <w:spacing w:line="240" w:lineRule="auto"/>
              <w:jc w:val="left"/>
            </w:pPr>
            <w:r>
              <w:t>Sample construction</w:t>
            </w:r>
          </w:p>
        </w:tc>
      </w:tr>
      <w:tr w:rsidR="005E13FC" w:rsidRPr="004048E8" w14:paraId="583F6714" w14:textId="77777777" w:rsidTr="005E13FC">
        <w:tc>
          <w:tcPr>
            <w:tcW w:w="2835" w:type="dxa"/>
          </w:tcPr>
          <w:p w14:paraId="77337F62" w14:textId="77777777" w:rsidR="00595A08" w:rsidRDefault="00595A08" w:rsidP="004965DF">
            <w:pPr>
              <w:spacing w:line="240" w:lineRule="auto"/>
              <w:jc w:val="left"/>
              <w:rPr>
                <w:rFonts w:eastAsia="Times New Roman"/>
                <w:color w:val="000000"/>
                <w:lang w:eastAsia="en-GB" w:bidi="th-TH"/>
              </w:rPr>
            </w:pPr>
          </w:p>
          <w:p w14:paraId="69DF6330" w14:textId="5EC9AB03" w:rsidR="005E13FC" w:rsidRDefault="00595A08" w:rsidP="004965DF">
            <w:pPr>
              <w:spacing w:line="240" w:lineRule="auto"/>
              <w:jc w:val="left"/>
              <w:rPr>
                <w:rFonts w:eastAsia="Times New Roman"/>
                <w:color w:val="000000"/>
                <w:lang w:eastAsia="en-GB" w:bidi="th-TH"/>
              </w:rPr>
            </w:pPr>
            <w:r>
              <w:rPr>
                <w:rFonts w:eastAsia="Times New Roman"/>
                <w:color w:val="000000"/>
                <w:lang w:eastAsia="en-GB" w:bidi="th-TH"/>
              </w:rPr>
              <w:t xml:space="preserve">Table </w:t>
            </w:r>
            <w:r w:rsidR="005E13FC">
              <w:rPr>
                <w:rFonts w:eastAsia="Times New Roman"/>
                <w:color w:val="000000"/>
                <w:lang w:eastAsia="en-GB" w:bidi="th-TH"/>
              </w:rPr>
              <w:t>IA-II</w:t>
            </w:r>
          </w:p>
          <w:p w14:paraId="488CFC40" w14:textId="0DAABB48" w:rsidR="00595A08" w:rsidRDefault="00595A08" w:rsidP="004965DF">
            <w:pPr>
              <w:spacing w:line="240" w:lineRule="auto"/>
              <w:jc w:val="left"/>
              <w:rPr>
                <w:rFonts w:eastAsia="Times New Roman"/>
                <w:color w:val="000000"/>
                <w:lang w:eastAsia="en-GB" w:bidi="th-TH"/>
              </w:rPr>
            </w:pPr>
          </w:p>
        </w:tc>
        <w:tc>
          <w:tcPr>
            <w:tcW w:w="6804" w:type="dxa"/>
          </w:tcPr>
          <w:p w14:paraId="783545E2" w14:textId="77777777" w:rsidR="005E13FC" w:rsidRDefault="005E13FC" w:rsidP="007C22FC">
            <w:pPr>
              <w:spacing w:line="240" w:lineRule="auto"/>
              <w:jc w:val="left"/>
              <w:rPr>
                <w:rFonts w:cs="Times New Roman"/>
                <w:lang w:val="en-US"/>
              </w:rPr>
            </w:pPr>
          </w:p>
          <w:p w14:paraId="63B60089" w14:textId="2EC6E4E4" w:rsidR="00595A08" w:rsidRDefault="00595A08" w:rsidP="007C22FC">
            <w:pPr>
              <w:spacing w:line="240" w:lineRule="auto"/>
              <w:jc w:val="left"/>
              <w:rPr>
                <w:rFonts w:cs="Times New Roman"/>
                <w:lang w:val="en-US"/>
              </w:rPr>
            </w:pPr>
            <w:r>
              <w:t>List of US hurricanes</w:t>
            </w:r>
          </w:p>
        </w:tc>
      </w:tr>
      <w:tr w:rsidR="006B229F" w:rsidRPr="004048E8" w14:paraId="4C6EDDEF" w14:textId="77777777" w:rsidTr="005E13FC">
        <w:tc>
          <w:tcPr>
            <w:tcW w:w="2835" w:type="dxa"/>
          </w:tcPr>
          <w:p w14:paraId="1DEA877C" w14:textId="77777777" w:rsidR="00595A08" w:rsidRDefault="00595A08" w:rsidP="004965DF">
            <w:pPr>
              <w:spacing w:line="240" w:lineRule="auto"/>
              <w:jc w:val="left"/>
              <w:rPr>
                <w:rFonts w:eastAsia="Times New Roman"/>
                <w:color w:val="000000"/>
                <w:lang w:eastAsia="en-GB" w:bidi="th-TH"/>
              </w:rPr>
            </w:pPr>
          </w:p>
          <w:p w14:paraId="584B399F" w14:textId="02B059DF" w:rsidR="006B229F" w:rsidRPr="004048E8" w:rsidRDefault="00595A08" w:rsidP="004965DF">
            <w:pPr>
              <w:spacing w:line="240" w:lineRule="auto"/>
              <w:jc w:val="left"/>
              <w:rPr>
                <w:rFonts w:eastAsia="Times New Roman"/>
                <w:color w:val="000000"/>
                <w:lang w:eastAsia="en-GB" w:bidi="th-TH"/>
              </w:rPr>
            </w:pPr>
            <w:r>
              <w:rPr>
                <w:rFonts w:eastAsia="Times New Roman"/>
                <w:color w:val="000000"/>
                <w:lang w:eastAsia="en-GB" w:bidi="th-TH"/>
              </w:rPr>
              <w:t>Figure IA-1</w:t>
            </w:r>
          </w:p>
        </w:tc>
        <w:tc>
          <w:tcPr>
            <w:tcW w:w="6804" w:type="dxa"/>
          </w:tcPr>
          <w:p w14:paraId="72DAC835" w14:textId="77777777" w:rsidR="00C41ABD" w:rsidRDefault="00C41ABD" w:rsidP="007C22FC">
            <w:pPr>
              <w:spacing w:line="240" w:lineRule="auto"/>
              <w:jc w:val="left"/>
              <w:rPr>
                <w:rFonts w:cs="Times New Roman"/>
                <w:lang w:val="en-US"/>
              </w:rPr>
            </w:pPr>
          </w:p>
          <w:p w14:paraId="3BD1F440" w14:textId="1AD4DACE" w:rsidR="00462FB6" w:rsidRDefault="00462FB6" w:rsidP="007C22FC">
            <w:pPr>
              <w:spacing w:line="240" w:lineRule="auto"/>
              <w:jc w:val="left"/>
              <w:rPr>
                <w:rFonts w:cs="Times New Roman"/>
                <w:lang w:val="en-US"/>
              </w:rPr>
            </w:pPr>
            <w:r w:rsidRPr="001D37BB">
              <w:rPr>
                <w:rFonts w:cs="Times New Roman"/>
                <w:lang w:val="en-US"/>
              </w:rPr>
              <w:t xml:space="preserve">Relationship between distance to the coast and average interest rate </w:t>
            </w:r>
            <w:proofErr w:type="gramStart"/>
            <w:r w:rsidRPr="001D37BB">
              <w:rPr>
                <w:rFonts w:cs="Times New Roman"/>
                <w:lang w:val="en-US"/>
              </w:rPr>
              <w:t>spread</w:t>
            </w:r>
            <w:proofErr w:type="gramEnd"/>
          </w:p>
          <w:p w14:paraId="58EE6393" w14:textId="0BC5BC35" w:rsidR="006B229F" w:rsidRPr="00462FB6" w:rsidRDefault="006B229F" w:rsidP="004965DF">
            <w:pPr>
              <w:spacing w:line="240" w:lineRule="auto"/>
              <w:rPr>
                <w:lang w:val="en-US"/>
              </w:rPr>
            </w:pPr>
          </w:p>
        </w:tc>
      </w:tr>
    </w:tbl>
    <w:p w14:paraId="0E53BB5D" w14:textId="77777777" w:rsidR="006B229F" w:rsidRDefault="006B229F" w:rsidP="006B229F">
      <w:pPr>
        <w:keepNext/>
        <w:jc w:val="center"/>
        <w:rPr>
          <w:b/>
        </w:rPr>
      </w:pPr>
    </w:p>
    <w:p w14:paraId="3D478B4B" w14:textId="77777777" w:rsidR="006B229F" w:rsidRDefault="006B229F" w:rsidP="006B229F">
      <w:pPr>
        <w:keepNext/>
        <w:jc w:val="center"/>
        <w:rPr>
          <w:b/>
        </w:rPr>
      </w:pPr>
    </w:p>
    <w:p w14:paraId="7CB79209" w14:textId="75AAAC6B" w:rsidR="008E7EC4" w:rsidRDefault="008E7EC4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14:paraId="4592561C" w14:textId="48F44E04" w:rsidR="00A158FE" w:rsidRDefault="00595A08" w:rsidP="00A158FE">
      <w:pPr>
        <w:spacing w:after="0" w:line="240" w:lineRule="auto"/>
        <w:rPr>
          <w:rFonts w:cs="Times New Roman"/>
          <w:lang w:val="en-US"/>
        </w:rPr>
      </w:pPr>
      <w:bookmarkStart w:id="0" w:name="OLE_LINK15"/>
      <w:bookmarkStart w:id="1" w:name="OLE_LINK16"/>
      <w:r>
        <w:rPr>
          <w:rFonts w:cs="Times New Roman"/>
          <w:b/>
          <w:bCs/>
          <w:lang w:val="en-US"/>
        </w:rPr>
        <w:lastRenderedPageBreak/>
        <w:t>Table</w:t>
      </w:r>
      <w:r w:rsidR="00A158FE" w:rsidRPr="002C2B7B">
        <w:rPr>
          <w:rFonts w:cs="Times New Roman"/>
          <w:b/>
          <w:bCs/>
          <w:lang w:val="en-US"/>
        </w:rPr>
        <w:t xml:space="preserve"> </w:t>
      </w:r>
      <w:r w:rsidR="00A158FE">
        <w:rPr>
          <w:rFonts w:cs="Times New Roman"/>
          <w:b/>
          <w:bCs/>
          <w:lang w:val="en-US"/>
        </w:rPr>
        <w:t>IA</w:t>
      </w:r>
      <w:r w:rsidR="00074229">
        <w:rPr>
          <w:rFonts w:cs="Times New Roman"/>
          <w:b/>
          <w:bCs/>
          <w:lang w:val="en-US"/>
        </w:rPr>
        <w:t>-I</w:t>
      </w:r>
      <w:r w:rsidR="00A158FE">
        <w:rPr>
          <w:rFonts w:cs="Times New Roman"/>
          <w:b/>
          <w:bCs/>
          <w:lang w:val="en-US"/>
        </w:rPr>
        <w:t xml:space="preserve">. </w:t>
      </w:r>
      <w:r w:rsidR="00A158FE">
        <w:rPr>
          <w:rFonts w:cs="Times New Roman"/>
          <w:lang w:val="en-US"/>
        </w:rPr>
        <w:t>Sample construction</w:t>
      </w:r>
    </w:p>
    <w:p w14:paraId="408630AC" w14:textId="77777777" w:rsidR="00A158FE" w:rsidRDefault="00A158FE" w:rsidP="00A158FE">
      <w:pPr>
        <w:pStyle w:val="TableFonts"/>
        <w:rPr>
          <w:lang w:val="en-US"/>
        </w:rPr>
      </w:pPr>
    </w:p>
    <w:tbl>
      <w:tblPr>
        <w:tblStyle w:val="TableGrid"/>
        <w:tblW w:w="9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1447"/>
      </w:tblGrid>
      <w:tr w:rsidR="00A158FE" w14:paraId="39131638" w14:textId="77777777" w:rsidTr="00A158FE">
        <w:trPr>
          <w:trHeight w:val="340"/>
        </w:trPr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204C6480" w14:textId="044449EA" w:rsidR="00A158FE" w:rsidRDefault="00A158FE" w:rsidP="00A158FE">
            <w:pPr>
              <w:pStyle w:val="TableFonts"/>
              <w:rPr>
                <w:lang w:val="en-US"/>
              </w:rPr>
            </w:pP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</w:tcPr>
          <w:p w14:paraId="2DB84663" w14:textId="4AEC048D" w:rsidR="00A158FE" w:rsidRDefault="00A158FE" w:rsidP="00ED6E1D">
            <w:pPr>
              <w:pStyle w:val="TableFonts"/>
              <w:jc w:val="center"/>
              <w:rPr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# o</w:t>
            </w:r>
            <w:r w:rsidRPr="00FA51CF">
              <w:rPr>
                <w:rFonts w:cs="Times New Roman"/>
                <w:sz w:val="20"/>
                <w:szCs w:val="20"/>
              </w:rPr>
              <w:t>bservations</w:t>
            </w:r>
          </w:p>
        </w:tc>
      </w:tr>
      <w:tr w:rsidR="00A158FE" w14:paraId="5C4DCF7C" w14:textId="77777777" w:rsidTr="00A158FE">
        <w:trPr>
          <w:trHeight w:val="340"/>
        </w:trPr>
        <w:tc>
          <w:tcPr>
            <w:tcW w:w="7797" w:type="dxa"/>
            <w:tcBorders>
              <w:top w:val="single" w:sz="4" w:space="0" w:color="auto"/>
            </w:tcBorders>
          </w:tcPr>
          <w:p w14:paraId="2C4835E4" w14:textId="1A4075A8" w:rsidR="00A158FE" w:rsidRPr="002C7254" w:rsidRDefault="00A158FE" w:rsidP="00A158FE">
            <w:pPr>
              <w:pStyle w:val="TableFonts"/>
              <w:rPr>
                <w:b/>
                <w:bCs/>
                <w:lang w:val="en-US"/>
              </w:rPr>
            </w:pPr>
            <w:r w:rsidRPr="002C7254">
              <w:rPr>
                <w:rFonts w:cs="Times New Roman"/>
                <w:b/>
                <w:bCs/>
                <w:sz w:val="20"/>
                <w:szCs w:val="20"/>
              </w:rPr>
              <w:t xml:space="preserve">All </w:t>
            </w:r>
            <w:proofErr w:type="spellStart"/>
            <w:r w:rsidRPr="002C7254">
              <w:rPr>
                <w:rFonts w:cs="Times New Roman"/>
                <w:b/>
                <w:bCs/>
                <w:sz w:val="20"/>
                <w:szCs w:val="20"/>
              </w:rPr>
              <w:t>McDash</w:t>
            </w:r>
            <w:proofErr w:type="spellEnd"/>
            <w:r w:rsidRPr="002C7254">
              <w:rPr>
                <w:rFonts w:cs="Times New Roman"/>
                <w:b/>
                <w:bCs/>
                <w:sz w:val="20"/>
                <w:szCs w:val="20"/>
              </w:rPr>
              <w:t xml:space="preserve"> mortgages originated between January 1992 and June 2018 with available SLR, 5-digit ZIP code, distance-to-coast, and Elevation data. </w:t>
            </w:r>
          </w:p>
        </w:tc>
        <w:tc>
          <w:tcPr>
            <w:tcW w:w="1447" w:type="dxa"/>
            <w:tcBorders>
              <w:top w:val="single" w:sz="4" w:space="0" w:color="auto"/>
            </w:tcBorders>
          </w:tcPr>
          <w:p w14:paraId="6948339B" w14:textId="152B0962" w:rsidR="00A158FE" w:rsidRPr="002C7254" w:rsidRDefault="00A158FE" w:rsidP="00ED6E1D">
            <w:pPr>
              <w:pStyle w:val="TableFonts"/>
              <w:jc w:val="center"/>
              <w:rPr>
                <w:b/>
                <w:bCs/>
                <w:lang w:val="en-US"/>
              </w:rPr>
            </w:pPr>
            <w:r w:rsidRPr="002C7254">
              <w:rPr>
                <w:rFonts w:cs="Times New Roman"/>
                <w:b/>
                <w:bCs/>
                <w:sz w:val="20"/>
                <w:szCs w:val="20"/>
              </w:rPr>
              <w:t>32,650,000</w:t>
            </w:r>
          </w:p>
        </w:tc>
      </w:tr>
      <w:tr w:rsidR="00A158FE" w14:paraId="43CAE0CC" w14:textId="77777777" w:rsidTr="00A158FE">
        <w:trPr>
          <w:trHeight w:val="340"/>
        </w:trPr>
        <w:tc>
          <w:tcPr>
            <w:tcW w:w="7797" w:type="dxa"/>
          </w:tcPr>
          <w:p w14:paraId="301DAF13" w14:textId="3613AA16" w:rsidR="00A158FE" w:rsidRDefault="00A158FE" w:rsidP="00A158FE">
            <w:pPr>
              <w:pStyle w:val="TableFonts"/>
              <w:rPr>
                <w:lang w:val="en-US"/>
              </w:rPr>
            </w:pPr>
          </w:p>
        </w:tc>
        <w:tc>
          <w:tcPr>
            <w:tcW w:w="1447" w:type="dxa"/>
          </w:tcPr>
          <w:p w14:paraId="7DD23C5F" w14:textId="2B70DEC4" w:rsidR="00A158FE" w:rsidRDefault="00A158FE" w:rsidP="00ED6E1D">
            <w:pPr>
              <w:pStyle w:val="TableFonts"/>
              <w:jc w:val="center"/>
              <w:rPr>
                <w:lang w:val="en-US"/>
              </w:rPr>
            </w:pPr>
          </w:p>
        </w:tc>
      </w:tr>
      <w:tr w:rsidR="00A158FE" w14:paraId="5F3B3BDC" w14:textId="77777777" w:rsidTr="00A158FE">
        <w:trPr>
          <w:trHeight w:val="340"/>
        </w:trPr>
        <w:tc>
          <w:tcPr>
            <w:tcW w:w="7797" w:type="dxa"/>
          </w:tcPr>
          <w:p w14:paraId="591EBED6" w14:textId="2359F3F4" w:rsidR="00A158FE" w:rsidRDefault="00A158FE" w:rsidP="00A158FE">
            <w:pPr>
              <w:pStyle w:val="TableFonts"/>
              <w:rPr>
                <w:lang w:val="en-US"/>
              </w:rPr>
            </w:pPr>
            <w:r w:rsidRPr="00FA51CF">
              <w:rPr>
                <w:rFonts w:cs="Times New Roman"/>
                <w:i/>
                <w:iCs/>
                <w:sz w:val="20"/>
                <w:szCs w:val="20"/>
                <w:u w:val="single"/>
              </w:rPr>
              <w:t>Less</w:t>
            </w:r>
            <w:r w:rsidRPr="00FA51CF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1447" w:type="dxa"/>
          </w:tcPr>
          <w:p w14:paraId="0B8BF196" w14:textId="65FD4239" w:rsidR="00A158FE" w:rsidRDefault="00A158FE" w:rsidP="00ED6E1D">
            <w:pPr>
              <w:pStyle w:val="TableFonts"/>
              <w:jc w:val="center"/>
              <w:rPr>
                <w:lang w:val="en-US"/>
              </w:rPr>
            </w:pPr>
          </w:p>
        </w:tc>
      </w:tr>
      <w:tr w:rsidR="00A158FE" w14:paraId="3F328FAB" w14:textId="77777777" w:rsidTr="00A158FE">
        <w:trPr>
          <w:trHeight w:val="340"/>
        </w:trPr>
        <w:tc>
          <w:tcPr>
            <w:tcW w:w="7797" w:type="dxa"/>
          </w:tcPr>
          <w:p w14:paraId="7E745B82" w14:textId="121697FA" w:rsidR="00A158FE" w:rsidRDefault="002C7254" w:rsidP="00A158FE">
            <w:pPr>
              <w:pStyle w:val="TableFonts"/>
              <w:rPr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       </w:t>
            </w:r>
            <w:r w:rsidR="00A158FE" w:rsidRPr="00FA51CF">
              <w:rPr>
                <w:rFonts w:cs="Times New Roman"/>
                <w:sz w:val="20"/>
                <w:szCs w:val="20"/>
              </w:rPr>
              <w:t xml:space="preserve">Properties further than 30km from the coast </w:t>
            </w:r>
          </w:p>
        </w:tc>
        <w:tc>
          <w:tcPr>
            <w:tcW w:w="1447" w:type="dxa"/>
          </w:tcPr>
          <w:p w14:paraId="50E77C57" w14:textId="15D3FEC4" w:rsidR="00A158FE" w:rsidRDefault="00A158FE" w:rsidP="00ED6E1D">
            <w:pPr>
              <w:pStyle w:val="TableFonts"/>
              <w:jc w:val="center"/>
              <w:rPr>
                <w:lang w:val="en-US"/>
              </w:rPr>
            </w:pPr>
            <w:r w:rsidRPr="00FA51CF">
              <w:rPr>
                <w:rFonts w:cs="Times New Roman"/>
                <w:sz w:val="20"/>
                <w:szCs w:val="20"/>
              </w:rPr>
              <w:t>(</w:t>
            </w:r>
            <w:r w:rsidRPr="00FA51CF">
              <w:rPr>
                <w:rFonts w:cs="Times New Roman"/>
                <w:color w:val="000000"/>
                <w:sz w:val="20"/>
                <w:szCs w:val="20"/>
              </w:rPr>
              <w:t>18,198,267)</w:t>
            </w:r>
          </w:p>
        </w:tc>
      </w:tr>
      <w:tr w:rsidR="00A158FE" w14:paraId="2B3812DC" w14:textId="77777777" w:rsidTr="00A158FE">
        <w:trPr>
          <w:trHeight w:val="340"/>
        </w:trPr>
        <w:tc>
          <w:tcPr>
            <w:tcW w:w="7797" w:type="dxa"/>
          </w:tcPr>
          <w:p w14:paraId="11BE6386" w14:textId="490CAF68" w:rsidR="00A158FE" w:rsidRDefault="002C7254" w:rsidP="00A158FE">
            <w:pPr>
              <w:pStyle w:val="TableFonts"/>
              <w:rPr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       </w:t>
            </w:r>
            <w:r w:rsidR="00A158FE">
              <w:rPr>
                <w:rFonts w:cs="Times New Roman"/>
                <w:sz w:val="20"/>
                <w:szCs w:val="20"/>
              </w:rPr>
              <w:t>Non-conventional mortgages and mortgages that are not</w:t>
            </w:r>
            <w:r w:rsidR="00A158FE" w:rsidRPr="00FA51CF">
              <w:rPr>
                <w:rFonts w:cs="Times New Roman"/>
                <w:sz w:val="20"/>
                <w:szCs w:val="20"/>
              </w:rPr>
              <w:t xml:space="preserve"> 30-year fixed rate</w:t>
            </w:r>
          </w:p>
        </w:tc>
        <w:tc>
          <w:tcPr>
            <w:tcW w:w="1447" w:type="dxa"/>
          </w:tcPr>
          <w:p w14:paraId="4FFCBB55" w14:textId="21EDC1E0" w:rsidR="00A158FE" w:rsidRDefault="00A158FE" w:rsidP="00ED6E1D">
            <w:pPr>
              <w:pStyle w:val="TableFonts"/>
              <w:jc w:val="center"/>
              <w:rPr>
                <w:lang w:val="en-US"/>
              </w:rPr>
            </w:pPr>
            <w:r w:rsidRPr="00FA51CF">
              <w:rPr>
                <w:rFonts w:cs="Times New Roman"/>
                <w:sz w:val="20"/>
                <w:szCs w:val="20"/>
              </w:rPr>
              <w:t>(</w:t>
            </w:r>
            <w:r w:rsidRPr="00FA51CF">
              <w:rPr>
                <w:rFonts w:cs="Times New Roman"/>
                <w:color w:val="000000"/>
                <w:sz w:val="20"/>
                <w:szCs w:val="20"/>
              </w:rPr>
              <w:t>11,095,572)</w:t>
            </w:r>
          </w:p>
        </w:tc>
      </w:tr>
      <w:tr w:rsidR="00A158FE" w14:paraId="0177EB47" w14:textId="77777777" w:rsidTr="00A158FE">
        <w:trPr>
          <w:trHeight w:val="340"/>
        </w:trPr>
        <w:tc>
          <w:tcPr>
            <w:tcW w:w="7797" w:type="dxa"/>
          </w:tcPr>
          <w:p w14:paraId="21383D0B" w14:textId="126F3193" w:rsidR="00A158FE" w:rsidRDefault="002C7254" w:rsidP="00A158FE">
            <w:pPr>
              <w:pStyle w:val="TableFonts"/>
              <w:rPr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       </w:t>
            </w:r>
            <w:r w:rsidR="00A158FE" w:rsidRPr="00FA51CF">
              <w:rPr>
                <w:rFonts w:cs="Times New Roman"/>
                <w:sz w:val="20"/>
                <w:szCs w:val="20"/>
              </w:rPr>
              <w:t>Mortgages with FICO scores below 300 and 900 and reported loan-to-value above 100%</w:t>
            </w:r>
          </w:p>
        </w:tc>
        <w:tc>
          <w:tcPr>
            <w:tcW w:w="1447" w:type="dxa"/>
          </w:tcPr>
          <w:p w14:paraId="058A8E8A" w14:textId="6A92334A" w:rsidR="00A158FE" w:rsidRDefault="00A158FE" w:rsidP="00ED6E1D">
            <w:pPr>
              <w:pStyle w:val="TableFonts"/>
              <w:jc w:val="center"/>
              <w:rPr>
                <w:lang w:val="en-US"/>
              </w:rPr>
            </w:pPr>
            <w:r w:rsidRPr="00FA51CF">
              <w:rPr>
                <w:rFonts w:cs="Times New Roman"/>
                <w:sz w:val="20"/>
                <w:szCs w:val="20"/>
              </w:rPr>
              <w:t>(62,348)</w:t>
            </w:r>
          </w:p>
        </w:tc>
      </w:tr>
      <w:tr w:rsidR="00A158FE" w14:paraId="5F009B16" w14:textId="77777777" w:rsidTr="00A158FE">
        <w:trPr>
          <w:trHeight w:val="340"/>
        </w:trPr>
        <w:tc>
          <w:tcPr>
            <w:tcW w:w="7797" w:type="dxa"/>
          </w:tcPr>
          <w:p w14:paraId="7089C09B" w14:textId="68303414" w:rsidR="00A158FE" w:rsidRDefault="002C7254" w:rsidP="00A158FE">
            <w:pPr>
              <w:pStyle w:val="TableFonts"/>
              <w:rPr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       </w:t>
            </w:r>
            <w:r w:rsidR="00A158FE" w:rsidRPr="00FA51CF">
              <w:rPr>
                <w:rFonts w:cs="Times New Roman"/>
                <w:sz w:val="20"/>
                <w:szCs w:val="20"/>
              </w:rPr>
              <w:t xml:space="preserve">Mortgages with exotic features </w:t>
            </w:r>
          </w:p>
        </w:tc>
        <w:tc>
          <w:tcPr>
            <w:tcW w:w="1447" w:type="dxa"/>
          </w:tcPr>
          <w:p w14:paraId="6FAEF4E4" w14:textId="625F29AD" w:rsidR="00A158FE" w:rsidRDefault="00A158FE" w:rsidP="00ED6E1D">
            <w:pPr>
              <w:pStyle w:val="TableFonts"/>
              <w:jc w:val="center"/>
              <w:rPr>
                <w:lang w:val="en-US"/>
              </w:rPr>
            </w:pPr>
            <w:r w:rsidRPr="00FA51CF">
              <w:rPr>
                <w:rFonts w:cs="Times New Roman"/>
                <w:sz w:val="20"/>
                <w:szCs w:val="20"/>
              </w:rPr>
              <w:t>(93,453)</w:t>
            </w:r>
          </w:p>
        </w:tc>
      </w:tr>
      <w:tr w:rsidR="00A158FE" w14:paraId="374C975E" w14:textId="77777777" w:rsidTr="00A158FE">
        <w:trPr>
          <w:trHeight w:val="340"/>
        </w:trPr>
        <w:tc>
          <w:tcPr>
            <w:tcW w:w="7797" w:type="dxa"/>
          </w:tcPr>
          <w:p w14:paraId="5543D56C" w14:textId="440090EF" w:rsidR="00A158FE" w:rsidRPr="00FA51CF" w:rsidRDefault="002C7254" w:rsidP="00A158FE">
            <w:pPr>
              <w:pStyle w:val="TableFonts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   </w:t>
            </w:r>
            <w:r w:rsidR="00A158FE" w:rsidRPr="00FA51CF">
              <w:rPr>
                <w:rFonts w:cs="Times New Roman"/>
                <w:sz w:val="20"/>
                <w:szCs w:val="20"/>
              </w:rPr>
              <w:t>Missing FICO, loan-to-value ratio, interest rate, appraisal amount, and local income</w:t>
            </w:r>
          </w:p>
        </w:tc>
        <w:tc>
          <w:tcPr>
            <w:tcW w:w="1447" w:type="dxa"/>
          </w:tcPr>
          <w:p w14:paraId="265F765D" w14:textId="53CA74FD" w:rsidR="00A158FE" w:rsidRPr="00FA51CF" w:rsidRDefault="00A158FE" w:rsidP="00ED6E1D">
            <w:pPr>
              <w:pStyle w:val="TableFonts"/>
              <w:jc w:val="center"/>
              <w:rPr>
                <w:rFonts w:cs="Times New Roman"/>
                <w:sz w:val="20"/>
                <w:szCs w:val="20"/>
              </w:rPr>
            </w:pPr>
            <w:r w:rsidRPr="00FA51CF">
              <w:rPr>
                <w:rFonts w:cs="Times New Roman"/>
                <w:sz w:val="20"/>
                <w:szCs w:val="20"/>
              </w:rPr>
              <w:t>(679,486)</w:t>
            </w:r>
          </w:p>
        </w:tc>
      </w:tr>
      <w:tr w:rsidR="00A158FE" w14:paraId="2AD185BA" w14:textId="77777777" w:rsidTr="00A158FE">
        <w:trPr>
          <w:trHeight w:val="340"/>
        </w:trPr>
        <w:tc>
          <w:tcPr>
            <w:tcW w:w="7797" w:type="dxa"/>
          </w:tcPr>
          <w:p w14:paraId="1057B2DD" w14:textId="45188F3C" w:rsidR="00A158FE" w:rsidRPr="00FA51CF" w:rsidRDefault="002C7254" w:rsidP="00A158FE">
            <w:pPr>
              <w:pStyle w:val="TableFonts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   </w:t>
            </w:r>
            <w:r w:rsidR="00A158FE" w:rsidRPr="00FA51CF">
              <w:rPr>
                <w:rFonts w:cs="Times New Roman"/>
                <w:sz w:val="20"/>
                <w:szCs w:val="20"/>
              </w:rPr>
              <w:t>Missing debt-to-income</w:t>
            </w:r>
          </w:p>
        </w:tc>
        <w:tc>
          <w:tcPr>
            <w:tcW w:w="1447" w:type="dxa"/>
          </w:tcPr>
          <w:p w14:paraId="0F75873A" w14:textId="55D76362" w:rsidR="00A158FE" w:rsidRPr="00FA51CF" w:rsidRDefault="00A158FE" w:rsidP="00ED6E1D">
            <w:pPr>
              <w:pStyle w:val="TableFonts"/>
              <w:jc w:val="center"/>
              <w:rPr>
                <w:rFonts w:cs="Times New Roman"/>
                <w:sz w:val="20"/>
                <w:szCs w:val="20"/>
              </w:rPr>
            </w:pPr>
            <w:r w:rsidRPr="00FA51CF">
              <w:rPr>
                <w:rFonts w:cs="Times New Roman"/>
                <w:sz w:val="20"/>
                <w:szCs w:val="20"/>
              </w:rPr>
              <w:t>(917,537)</w:t>
            </w:r>
          </w:p>
        </w:tc>
      </w:tr>
      <w:tr w:rsidR="00A158FE" w14:paraId="1C0A855B" w14:textId="77777777" w:rsidTr="00A158FE">
        <w:trPr>
          <w:trHeight w:val="340"/>
        </w:trPr>
        <w:tc>
          <w:tcPr>
            <w:tcW w:w="7797" w:type="dxa"/>
          </w:tcPr>
          <w:p w14:paraId="4303F940" w14:textId="430C8862" w:rsidR="00A158FE" w:rsidRPr="00FA51CF" w:rsidRDefault="00A158FE" w:rsidP="00A158FE">
            <w:pPr>
              <w:pStyle w:val="TableFonts"/>
              <w:rPr>
                <w:rFonts w:cs="Times New Roman"/>
                <w:sz w:val="20"/>
                <w:szCs w:val="20"/>
              </w:rPr>
            </w:pPr>
            <w:r w:rsidRPr="00FA51CF">
              <w:rPr>
                <w:rFonts w:cs="Times New Roman"/>
                <w:b/>
                <w:bCs/>
                <w:sz w:val="20"/>
                <w:szCs w:val="20"/>
              </w:rPr>
              <w:t xml:space="preserve">Final sample: </w:t>
            </w:r>
          </w:p>
        </w:tc>
        <w:tc>
          <w:tcPr>
            <w:tcW w:w="1447" w:type="dxa"/>
          </w:tcPr>
          <w:p w14:paraId="0A7DED70" w14:textId="22BEA21B" w:rsidR="00A158FE" w:rsidRPr="00FA51CF" w:rsidRDefault="00A158FE" w:rsidP="00ED6E1D">
            <w:pPr>
              <w:pStyle w:val="TableFonts"/>
              <w:jc w:val="center"/>
              <w:rPr>
                <w:rFonts w:cs="Times New Roman"/>
                <w:sz w:val="20"/>
                <w:szCs w:val="20"/>
              </w:rPr>
            </w:pPr>
            <w:r w:rsidRPr="00FA51CF">
              <w:rPr>
                <w:b/>
                <w:bCs/>
                <w:sz w:val="20"/>
                <w:szCs w:val="20"/>
              </w:rPr>
              <w:t>1,603,337</w:t>
            </w:r>
          </w:p>
        </w:tc>
      </w:tr>
      <w:tr w:rsidR="00A158FE" w14:paraId="77536482" w14:textId="77777777" w:rsidTr="00A158FE">
        <w:trPr>
          <w:trHeight w:val="340"/>
        </w:trPr>
        <w:tc>
          <w:tcPr>
            <w:tcW w:w="7797" w:type="dxa"/>
          </w:tcPr>
          <w:p w14:paraId="034C66CB" w14:textId="77777777" w:rsidR="00A158FE" w:rsidRPr="00FA51CF" w:rsidRDefault="00A158FE" w:rsidP="00A158FE">
            <w:pPr>
              <w:pStyle w:val="TableFonts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5102475" w14:textId="77777777" w:rsidR="00A158FE" w:rsidRPr="00FA51CF" w:rsidRDefault="00A158FE" w:rsidP="00ED6E1D">
            <w:pPr>
              <w:pStyle w:val="TableFont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158FE" w14:paraId="49DFE642" w14:textId="77777777" w:rsidTr="002C7254">
        <w:trPr>
          <w:trHeight w:val="340"/>
        </w:trPr>
        <w:tc>
          <w:tcPr>
            <w:tcW w:w="7797" w:type="dxa"/>
          </w:tcPr>
          <w:p w14:paraId="06C558D6" w14:textId="533AF477" w:rsidR="00A158FE" w:rsidRPr="00FA51CF" w:rsidRDefault="002C7254" w:rsidP="00A158FE">
            <w:pPr>
              <w:pStyle w:val="TableFonts"/>
              <w:rPr>
                <w:rFonts w:cs="Times New Roman"/>
                <w:sz w:val="20"/>
                <w:szCs w:val="20"/>
              </w:rPr>
            </w:pPr>
            <w:r w:rsidRPr="002C7254">
              <w:rPr>
                <w:rFonts w:cs="Times New Roman"/>
                <w:i/>
                <w:iCs/>
                <w:sz w:val="20"/>
                <w:szCs w:val="20"/>
                <w:u w:val="single"/>
              </w:rPr>
              <w:t>Less: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A158FE" w:rsidRPr="00FA51CF">
              <w:rPr>
                <w:rFonts w:cs="Times New Roman"/>
                <w:sz w:val="20"/>
                <w:szCs w:val="20"/>
              </w:rPr>
              <w:t xml:space="preserve">Singleton observations </w:t>
            </w:r>
            <w:r w:rsidR="00C56351">
              <w:rPr>
                <w:rFonts w:cs="Times New Roman"/>
                <w:sz w:val="20"/>
                <w:szCs w:val="20"/>
              </w:rPr>
              <w:t>(</w:t>
            </w:r>
            <w:r w:rsidR="00A158FE">
              <w:rPr>
                <w:rFonts w:cs="Times New Roman"/>
                <w:sz w:val="20"/>
                <w:szCs w:val="20"/>
              </w:rPr>
              <w:t>as a result of interacted fixed effects</w:t>
            </w:r>
            <w:r w:rsidR="00C56351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447" w:type="dxa"/>
          </w:tcPr>
          <w:p w14:paraId="5BEDB905" w14:textId="70803B4C" w:rsidR="00A158FE" w:rsidRPr="00FA51CF" w:rsidRDefault="00A158FE" w:rsidP="00ED6E1D">
            <w:pPr>
              <w:pStyle w:val="TableFonts"/>
              <w:jc w:val="center"/>
              <w:rPr>
                <w:rFonts w:cs="Times New Roman"/>
                <w:sz w:val="20"/>
                <w:szCs w:val="20"/>
              </w:rPr>
            </w:pPr>
            <w:r w:rsidRPr="00FA51CF">
              <w:rPr>
                <w:rFonts w:cs="Times New Roman"/>
                <w:sz w:val="20"/>
                <w:szCs w:val="20"/>
              </w:rPr>
              <w:t>(983,093)</w:t>
            </w:r>
          </w:p>
        </w:tc>
      </w:tr>
      <w:tr w:rsidR="00A158FE" w14:paraId="645E34C0" w14:textId="77777777" w:rsidTr="002C7254">
        <w:trPr>
          <w:trHeight w:val="340"/>
        </w:trPr>
        <w:tc>
          <w:tcPr>
            <w:tcW w:w="7797" w:type="dxa"/>
            <w:tcBorders>
              <w:bottom w:val="single" w:sz="4" w:space="0" w:color="auto"/>
            </w:tcBorders>
          </w:tcPr>
          <w:p w14:paraId="2D914BF8" w14:textId="026FCF12" w:rsidR="00A158FE" w:rsidRPr="00FA51CF" w:rsidRDefault="00A158FE" w:rsidP="00A158FE">
            <w:pPr>
              <w:pStyle w:val="TableFonts"/>
              <w:rPr>
                <w:rFonts w:cs="Times New Roman"/>
                <w:sz w:val="20"/>
                <w:szCs w:val="20"/>
              </w:rPr>
            </w:pPr>
            <w:r w:rsidRPr="00FA51CF">
              <w:rPr>
                <w:rFonts w:cs="Times New Roman"/>
                <w:b/>
                <w:bCs/>
                <w:sz w:val="20"/>
                <w:szCs w:val="20"/>
              </w:rPr>
              <w:t xml:space="preserve">Effective observations in Column 4, Table 2 </w:t>
            </w:r>
          </w:p>
        </w:tc>
        <w:tc>
          <w:tcPr>
            <w:tcW w:w="1447" w:type="dxa"/>
            <w:tcBorders>
              <w:bottom w:val="single" w:sz="4" w:space="0" w:color="auto"/>
            </w:tcBorders>
          </w:tcPr>
          <w:p w14:paraId="3A1C2257" w14:textId="065DA1AE" w:rsidR="00A158FE" w:rsidRPr="00FA51CF" w:rsidRDefault="00A158FE" w:rsidP="00ED6E1D">
            <w:pPr>
              <w:pStyle w:val="TableFonts"/>
              <w:jc w:val="center"/>
              <w:rPr>
                <w:rFonts w:cs="Times New Roman"/>
                <w:sz w:val="20"/>
                <w:szCs w:val="20"/>
              </w:rPr>
            </w:pPr>
            <w:r w:rsidRPr="00FA51CF">
              <w:rPr>
                <w:b/>
                <w:bCs/>
                <w:sz w:val="20"/>
                <w:szCs w:val="20"/>
              </w:rPr>
              <w:t>620,244</w:t>
            </w:r>
          </w:p>
        </w:tc>
      </w:tr>
    </w:tbl>
    <w:p w14:paraId="354A8BFC" w14:textId="77777777" w:rsidR="00A158FE" w:rsidRPr="002C2B7B" w:rsidRDefault="00A158FE" w:rsidP="00A158FE">
      <w:pPr>
        <w:spacing w:line="240" w:lineRule="auto"/>
        <w:rPr>
          <w:rFonts w:cs="Times New Roman"/>
          <w:b/>
          <w:bCs/>
          <w:lang w:val="en-US"/>
        </w:rPr>
      </w:pPr>
      <w:r w:rsidRPr="002C2B7B">
        <w:rPr>
          <w:rFonts w:cs="Times New Roman"/>
          <w:b/>
          <w:bCs/>
          <w:lang w:val="en-US"/>
        </w:rPr>
        <w:t xml:space="preserve"> </w:t>
      </w:r>
    </w:p>
    <w:p w14:paraId="07E91918" w14:textId="77777777" w:rsidR="00A158FE" w:rsidRDefault="00A158FE" w:rsidP="00A158FE">
      <w:pPr>
        <w:spacing w:line="259" w:lineRule="auto"/>
        <w:jc w:val="left"/>
      </w:pPr>
      <w:r>
        <w:br w:type="page"/>
      </w:r>
    </w:p>
    <w:p w14:paraId="076844E1" w14:textId="64B9FB8E" w:rsidR="00FB4D88" w:rsidRDefault="00595A08" w:rsidP="00D435AE">
      <w:pPr>
        <w:spacing w:after="0" w:line="240" w:lineRule="auto"/>
        <w:rPr>
          <w:rFonts w:cs="Times New Roman"/>
          <w:lang w:val="en-US"/>
        </w:rPr>
      </w:pPr>
      <w:bookmarkStart w:id="2" w:name="OLE_LINK130"/>
      <w:bookmarkStart w:id="3" w:name="OLE_LINK131"/>
      <w:r>
        <w:rPr>
          <w:rFonts w:cs="Times New Roman"/>
          <w:b/>
          <w:bCs/>
          <w:lang w:val="en-US"/>
        </w:rPr>
        <w:lastRenderedPageBreak/>
        <w:t>Table</w:t>
      </w:r>
      <w:r w:rsidR="00FB4D88" w:rsidRPr="002C2B7B">
        <w:rPr>
          <w:rFonts w:cs="Times New Roman"/>
          <w:b/>
          <w:bCs/>
          <w:lang w:val="en-US"/>
        </w:rPr>
        <w:t xml:space="preserve"> </w:t>
      </w:r>
      <w:r w:rsidR="00FB4D88">
        <w:rPr>
          <w:rFonts w:cs="Times New Roman"/>
          <w:b/>
          <w:bCs/>
          <w:lang w:val="en-US"/>
        </w:rPr>
        <w:t>IA</w:t>
      </w:r>
      <w:r w:rsidR="00074229">
        <w:rPr>
          <w:rFonts w:cs="Times New Roman"/>
          <w:b/>
          <w:bCs/>
          <w:lang w:val="en-US"/>
        </w:rPr>
        <w:t>-II</w:t>
      </w:r>
      <w:bookmarkEnd w:id="2"/>
      <w:bookmarkEnd w:id="3"/>
      <w:r w:rsidR="00FB4D88">
        <w:rPr>
          <w:rFonts w:cs="Times New Roman"/>
          <w:b/>
          <w:bCs/>
          <w:lang w:val="en-US"/>
        </w:rPr>
        <w:t xml:space="preserve">. </w:t>
      </w:r>
      <w:r w:rsidR="00FB4D88" w:rsidRPr="0036773C">
        <w:rPr>
          <w:rFonts w:cs="Times New Roman"/>
          <w:lang w:val="en-US"/>
        </w:rPr>
        <w:t>List of US hurricanes</w:t>
      </w:r>
    </w:p>
    <w:p w14:paraId="04F8D17E" w14:textId="77777777" w:rsidR="00D435AE" w:rsidRDefault="00D435AE" w:rsidP="00D435AE">
      <w:pPr>
        <w:spacing w:after="0" w:line="240" w:lineRule="auto"/>
        <w:rPr>
          <w:rFonts w:cs="Times New Roman"/>
          <w:b/>
          <w:bCs/>
          <w:lang w:val="en-US"/>
        </w:rPr>
      </w:pPr>
    </w:p>
    <w:p w14:paraId="46271B18" w14:textId="4E1B1E03" w:rsidR="00FB4D88" w:rsidRPr="0039318F" w:rsidRDefault="00FB4D88" w:rsidP="00FB4D88">
      <w:pPr>
        <w:pStyle w:val="TableFonts"/>
        <w:rPr>
          <w:sz w:val="20"/>
          <w:szCs w:val="20"/>
          <w:lang w:val="en-US"/>
        </w:rPr>
      </w:pPr>
      <w:r w:rsidRPr="0039318F">
        <w:rPr>
          <w:sz w:val="20"/>
          <w:szCs w:val="20"/>
          <w:lang w:val="en-US"/>
        </w:rPr>
        <w:t>This table list</w:t>
      </w:r>
      <w:r w:rsidR="00A158FE">
        <w:rPr>
          <w:sz w:val="20"/>
          <w:szCs w:val="20"/>
          <w:lang w:val="en-US"/>
        </w:rPr>
        <w:t>s</w:t>
      </w:r>
      <w:r w:rsidRPr="0039318F">
        <w:rPr>
          <w:sz w:val="20"/>
          <w:szCs w:val="20"/>
          <w:lang w:val="en-US"/>
        </w:rPr>
        <w:t xml:space="preserve"> name, date, and affected states of</w:t>
      </w:r>
      <w:r w:rsidR="008D1B4E">
        <w:rPr>
          <w:sz w:val="20"/>
          <w:szCs w:val="20"/>
          <w:lang w:val="en-US"/>
        </w:rPr>
        <w:t xml:space="preserve"> the</w:t>
      </w:r>
      <w:r w:rsidRPr="0039318F">
        <w:rPr>
          <w:sz w:val="20"/>
          <w:szCs w:val="20"/>
          <w:lang w:val="en-US"/>
        </w:rPr>
        <w:t xml:space="preserve"> </w:t>
      </w:r>
      <w:r w:rsidR="008D1B4E" w:rsidRPr="00D42463">
        <w:rPr>
          <w:sz w:val="20"/>
          <w:szCs w:val="20"/>
          <w:lang w:val="en-US"/>
        </w:rPr>
        <w:t>hurricanes that cause at least $30 billion in damage as reported by the National Hurricane Center</w:t>
      </w:r>
      <w:r w:rsidR="00F37057" w:rsidRPr="00D42463">
        <w:rPr>
          <w:sz w:val="20"/>
          <w:szCs w:val="20"/>
          <w:lang w:val="en-US"/>
        </w:rPr>
        <w:t>.</w:t>
      </w:r>
    </w:p>
    <w:p w14:paraId="654739C3" w14:textId="77777777" w:rsidR="00FB4D88" w:rsidRDefault="00FB4D88" w:rsidP="00FB4D88">
      <w:pPr>
        <w:pStyle w:val="TableFonts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984"/>
        <w:gridCol w:w="5619"/>
      </w:tblGrid>
      <w:tr w:rsidR="00FB4D88" w14:paraId="2AECBEF1" w14:textId="77777777" w:rsidTr="00E15696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787FEA11" w14:textId="77777777" w:rsidR="00FB4D88" w:rsidRDefault="00FB4D88" w:rsidP="00E15696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E439485" w14:textId="77777777" w:rsidR="00FB4D88" w:rsidRDefault="00FB4D88" w:rsidP="00E15696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19" w:type="dxa"/>
            <w:tcBorders>
              <w:top w:val="single" w:sz="4" w:space="0" w:color="auto"/>
              <w:bottom w:val="single" w:sz="4" w:space="0" w:color="auto"/>
            </w:tcBorders>
          </w:tcPr>
          <w:p w14:paraId="61A5A661" w14:textId="77777777" w:rsidR="00FB4D88" w:rsidRDefault="00FB4D88" w:rsidP="00E15696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>Affected states</w:t>
            </w:r>
          </w:p>
        </w:tc>
      </w:tr>
      <w:tr w:rsidR="00FB4D88" w14:paraId="3D8B8F5E" w14:textId="77777777" w:rsidTr="00E15696">
        <w:tc>
          <w:tcPr>
            <w:tcW w:w="1413" w:type="dxa"/>
            <w:tcBorders>
              <w:top w:val="single" w:sz="4" w:space="0" w:color="auto"/>
            </w:tcBorders>
          </w:tcPr>
          <w:p w14:paraId="5765E603" w14:textId="77777777" w:rsidR="00FB4D88" w:rsidRDefault="00FB4D88" w:rsidP="00E15696">
            <w:pPr>
              <w:pStyle w:val="TableFonts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7B35DF59" w14:textId="77777777" w:rsidR="00FB4D88" w:rsidRDefault="00FB4D88" w:rsidP="00E15696">
            <w:pPr>
              <w:pStyle w:val="TableFonts"/>
              <w:rPr>
                <w:lang w:val="en-US"/>
              </w:rPr>
            </w:pPr>
          </w:p>
        </w:tc>
        <w:tc>
          <w:tcPr>
            <w:tcW w:w="5619" w:type="dxa"/>
            <w:tcBorders>
              <w:top w:val="single" w:sz="4" w:space="0" w:color="auto"/>
            </w:tcBorders>
          </w:tcPr>
          <w:p w14:paraId="5CC64680" w14:textId="77777777" w:rsidR="00FB4D88" w:rsidRDefault="00FB4D88" w:rsidP="00E15696">
            <w:pPr>
              <w:pStyle w:val="TableFonts"/>
              <w:rPr>
                <w:lang w:val="en-US"/>
              </w:rPr>
            </w:pPr>
          </w:p>
        </w:tc>
      </w:tr>
      <w:tr w:rsidR="00FB4D88" w14:paraId="4F5C5E43" w14:textId="77777777" w:rsidTr="00E15696">
        <w:tc>
          <w:tcPr>
            <w:tcW w:w="1413" w:type="dxa"/>
          </w:tcPr>
          <w:p w14:paraId="46D74FC8" w14:textId="77777777" w:rsidR="00FB4D88" w:rsidRDefault="00FB4D88" w:rsidP="00E15696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>Katrina</w:t>
            </w:r>
          </w:p>
        </w:tc>
        <w:tc>
          <w:tcPr>
            <w:tcW w:w="1984" w:type="dxa"/>
          </w:tcPr>
          <w:p w14:paraId="4D1C85B8" w14:textId="2AE0E6AB" w:rsidR="00FB4D88" w:rsidRDefault="00FB4D88" w:rsidP="00E15696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>August 2</w:t>
            </w:r>
            <w:r w:rsidR="00141510">
              <w:rPr>
                <w:lang w:val="en-US"/>
              </w:rPr>
              <w:t>5</w:t>
            </w:r>
            <w:r>
              <w:rPr>
                <w:lang w:val="en-US"/>
              </w:rPr>
              <w:t>, 2005</w:t>
            </w:r>
          </w:p>
        </w:tc>
        <w:tc>
          <w:tcPr>
            <w:tcW w:w="5619" w:type="dxa"/>
          </w:tcPr>
          <w:p w14:paraId="5A42CA6B" w14:textId="77777777" w:rsidR="00FB4D88" w:rsidRDefault="00FB4D88" w:rsidP="00E15696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>Alabama, Louisiana, Mississippi, Florida</w:t>
            </w:r>
          </w:p>
        </w:tc>
      </w:tr>
      <w:tr w:rsidR="00FB4D88" w14:paraId="18B35B43" w14:textId="77777777" w:rsidTr="00E15696">
        <w:tc>
          <w:tcPr>
            <w:tcW w:w="1413" w:type="dxa"/>
          </w:tcPr>
          <w:p w14:paraId="722B3876" w14:textId="77777777" w:rsidR="00FB4D88" w:rsidRDefault="00FB4D88" w:rsidP="00E15696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>Ike</w:t>
            </w:r>
          </w:p>
        </w:tc>
        <w:tc>
          <w:tcPr>
            <w:tcW w:w="1984" w:type="dxa"/>
          </w:tcPr>
          <w:p w14:paraId="7F21FC93" w14:textId="10FE0AF6" w:rsidR="00FB4D88" w:rsidRDefault="00FB4D88" w:rsidP="00E15696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>September 1</w:t>
            </w:r>
            <w:r w:rsidR="00141510">
              <w:rPr>
                <w:lang w:val="en-US"/>
              </w:rPr>
              <w:t>2</w:t>
            </w:r>
            <w:r>
              <w:rPr>
                <w:lang w:val="en-US"/>
              </w:rPr>
              <w:t>, 2008</w:t>
            </w:r>
          </w:p>
        </w:tc>
        <w:tc>
          <w:tcPr>
            <w:tcW w:w="5619" w:type="dxa"/>
          </w:tcPr>
          <w:p w14:paraId="55E3A164" w14:textId="77777777" w:rsidR="00FB4D88" w:rsidRDefault="00FB4D88" w:rsidP="00E15696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>Louisiana, Texas</w:t>
            </w:r>
          </w:p>
        </w:tc>
      </w:tr>
      <w:tr w:rsidR="00FB4D88" w14:paraId="2B224CA2" w14:textId="77777777" w:rsidTr="00E15696">
        <w:tc>
          <w:tcPr>
            <w:tcW w:w="1413" w:type="dxa"/>
          </w:tcPr>
          <w:p w14:paraId="69D1C1B5" w14:textId="77777777" w:rsidR="00FB4D88" w:rsidRDefault="00FB4D88" w:rsidP="00E15696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>Sandy</w:t>
            </w:r>
          </w:p>
        </w:tc>
        <w:tc>
          <w:tcPr>
            <w:tcW w:w="1984" w:type="dxa"/>
          </w:tcPr>
          <w:p w14:paraId="2F012821" w14:textId="47D14F2A" w:rsidR="00FB4D88" w:rsidRDefault="00FB4D88" w:rsidP="00E15696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 xml:space="preserve">October </w:t>
            </w:r>
            <w:r w:rsidR="00141510">
              <w:rPr>
                <w:lang w:val="en-US"/>
              </w:rPr>
              <w:t>30</w:t>
            </w:r>
            <w:r>
              <w:rPr>
                <w:lang w:val="en-US"/>
              </w:rPr>
              <w:t>, 2012</w:t>
            </w:r>
          </w:p>
        </w:tc>
        <w:tc>
          <w:tcPr>
            <w:tcW w:w="5619" w:type="dxa"/>
          </w:tcPr>
          <w:p w14:paraId="5A6D38A1" w14:textId="77777777" w:rsidR="00FB4D88" w:rsidRDefault="00FB4D88" w:rsidP="00E15696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>Connecticut, Delaware, Florida, Georgia, Maryland, New Jersey, Massachusetts, Maine, North Carolina, Philadelphia, Rhode Island, South Carolina, Virginia</w:t>
            </w:r>
          </w:p>
        </w:tc>
      </w:tr>
      <w:tr w:rsidR="00FB4D88" w14:paraId="1729AAFE" w14:textId="77777777" w:rsidTr="00BB08A4">
        <w:tc>
          <w:tcPr>
            <w:tcW w:w="1413" w:type="dxa"/>
          </w:tcPr>
          <w:p w14:paraId="4B53FFE1" w14:textId="77777777" w:rsidR="00FB4D88" w:rsidRDefault="00FB4D88" w:rsidP="00E15696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>Harvey</w:t>
            </w:r>
          </w:p>
        </w:tc>
        <w:tc>
          <w:tcPr>
            <w:tcW w:w="1984" w:type="dxa"/>
          </w:tcPr>
          <w:p w14:paraId="708C46B6" w14:textId="19F580F5" w:rsidR="00FB4D88" w:rsidRDefault="00FB4D88" w:rsidP="00E15696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 xml:space="preserve">August </w:t>
            </w:r>
            <w:r w:rsidR="00141510">
              <w:rPr>
                <w:lang w:val="en-US"/>
              </w:rPr>
              <w:t>25</w:t>
            </w:r>
            <w:r>
              <w:rPr>
                <w:lang w:val="en-US"/>
              </w:rPr>
              <w:t>, 2017</w:t>
            </w:r>
          </w:p>
        </w:tc>
        <w:tc>
          <w:tcPr>
            <w:tcW w:w="5619" w:type="dxa"/>
          </w:tcPr>
          <w:p w14:paraId="50819B25" w14:textId="77777777" w:rsidR="00FB4D88" w:rsidRDefault="00FB4D88" w:rsidP="00E15696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>Louisiana, Texas</w:t>
            </w:r>
          </w:p>
        </w:tc>
      </w:tr>
      <w:tr w:rsidR="00141510" w14:paraId="3FC95020" w14:textId="77777777" w:rsidTr="00BB08A4">
        <w:tc>
          <w:tcPr>
            <w:tcW w:w="1413" w:type="dxa"/>
          </w:tcPr>
          <w:p w14:paraId="1452A50D" w14:textId="773DD810" w:rsidR="00141510" w:rsidRDefault="00141510" w:rsidP="00141510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>Irma</w:t>
            </w:r>
          </w:p>
        </w:tc>
        <w:tc>
          <w:tcPr>
            <w:tcW w:w="1984" w:type="dxa"/>
          </w:tcPr>
          <w:p w14:paraId="41929FF7" w14:textId="50121D42" w:rsidR="00141510" w:rsidRDefault="00141510" w:rsidP="00141510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>September 6, 2017</w:t>
            </w:r>
          </w:p>
        </w:tc>
        <w:tc>
          <w:tcPr>
            <w:tcW w:w="5619" w:type="dxa"/>
          </w:tcPr>
          <w:p w14:paraId="310FA212" w14:textId="2F1F13B3" w:rsidR="00141510" w:rsidRDefault="00141510" w:rsidP="00141510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 xml:space="preserve">Florida, </w:t>
            </w:r>
            <w:r w:rsidR="00A12F1D">
              <w:rPr>
                <w:lang w:val="en-US"/>
              </w:rPr>
              <w:t>South Carolina</w:t>
            </w:r>
          </w:p>
        </w:tc>
      </w:tr>
      <w:tr w:rsidR="009D2932" w14:paraId="63AA3467" w14:textId="77777777" w:rsidTr="00E15696">
        <w:tc>
          <w:tcPr>
            <w:tcW w:w="1413" w:type="dxa"/>
            <w:tcBorders>
              <w:bottom w:val="single" w:sz="4" w:space="0" w:color="auto"/>
            </w:tcBorders>
          </w:tcPr>
          <w:p w14:paraId="1FF80E60" w14:textId="79259827" w:rsidR="009D2932" w:rsidRDefault="009D2932" w:rsidP="009D2932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A4C3977" w14:textId="51267617" w:rsidR="009D2932" w:rsidRDefault="009D2932" w:rsidP="009D2932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>September 19, 2017</w:t>
            </w:r>
          </w:p>
        </w:tc>
        <w:tc>
          <w:tcPr>
            <w:tcW w:w="5619" w:type="dxa"/>
            <w:tcBorders>
              <w:bottom w:val="single" w:sz="4" w:space="0" w:color="auto"/>
            </w:tcBorders>
          </w:tcPr>
          <w:p w14:paraId="294553BD" w14:textId="7893A7AE" w:rsidR="009D2932" w:rsidRDefault="00DA4094" w:rsidP="009D2932">
            <w:pPr>
              <w:pStyle w:val="TableFonts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A4094">
              <w:rPr>
                <w:lang w:val="en-US"/>
              </w:rPr>
              <w:t xml:space="preserve">uerto </w:t>
            </w:r>
            <w:r>
              <w:rPr>
                <w:lang w:val="en-US"/>
              </w:rPr>
              <w:t>R</w:t>
            </w:r>
            <w:r w:rsidRPr="00DA4094">
              <w:rPr>
                <w:lang w:val="en-US"/>
              </w:rPr>
              <w:t>ico</w:t>
            </w:r>
          </w:p>
        </w:tc>
      </w:tr>
    </w:tbl>
    <w:p w14:paraId="34918FDE" w14:textId="77777777" w:rsidR="00FB4D88" w:rsidRPr="002C2B7B" w:rsidRDefault="00FB4D88" w:rsidP="00FB4D88">
      <w:pPr>
        <w:spacing w:line="240" w:lineRule="auto"/>
        <w:rPr>
          <w:rFonts w:cs="Times New Roman"/>
          <w:b/>
          <w:bCs/>
          <w:lang w:val="en-US"/>
        </w:rPr>
      </w:pPr>
      <w:r w:rsidRPr="002C2B7B">
        <w:rPr>
          <w:rFonts w:cs="Times New Roman"/>
          <w:b/>
          <w:bCs/>
          <w:lang w:val="en-US"/>
        </w:rPr>
        <w:t xml:space="preserve"> </w:t>
      </w:r>
    </w:p>
    <w:p w14:paraId="7D253B5D" w14:textId="77777777" w:rsidR="00A158FE" w:rsidRDefault="00A158FE">
      <w:pPr>
        <w:spacing w:line="259" w:lineRule="auto"/>
        <w:jc w:val="left"/>
      </w:pPr>
      <w:r>
        <w:br w:type="page"/>
      </w:r>
    </w:p>
    <w:bookmarkEnd w:id="0"/>
    <w:bookmarkEnd w:id="1"/>
    <w:p w14:paraId="0C423621" w14:textId="72200E4A" w:rsidR="001D37BB" w:rsidRDefault="00595A08" w:rsidP="00D435AE">
      <w:pPr>
        <w:spacing w:after="0" w:line="240" w:lineRule="auto"/>
        <w:jc w:val="left"/>
        <w:rPr>
          <w:rFonts w:cs="Times New Roman"/>
          <w:szCs w:val="24"/>
          <w:lang w:val="en-US"/>
        </w:rPr>
      </w:pPr>
      <w:r>
        <w:rPr>
          <w:rFonts w:cs="Times New Roman"/>
          <w:b/>
          <w:bCs/>
          <w:lang w:val="en-US"/>
        </w:rPr>
        <w:lastRenderedPageBreak/>
        <w:t>Figure</w:t>
      </w:r>
      <w:r w:rsidR="005E13FC" w:rsidRPr="002C2B7B">
        <w:rPr>
          <w:rFonts w:cs="Times New Roman"/>
          <w:b/>
          <w:bCs/>
          <w:lang w:val="en-US"/>
        </w:rPr>
        <w:t xml:space="preserve"> </w:t>
      </w:r>
      <w:r w:rsidR="005E13FC">
        <w:rPr>
          <w:rFonts w:cs="Times New Roman"/>
          <w:b/>
          <w:bCs/>
          <w:lang w:val="en-US"/>
        </w:rPr>
        <w:t>IA-</w:t>
      </w:r>
      <w:r>
        <w:rPr>
          <w:rFonts w:cs="Times New Roman"/>
          <w:b/>
          <w:bCs/>
          <w:lang w:val="en-US"/>
        </w:rPr>
        <w:t>1</w:t>
      </w:r>
      <w:r w:rsidR="00A43CE6" w:rsidRPr="001D37BB">
        <w:rPr>
          <w:b/>
          <w:bCs/>
        </w:rPr>
        <w:t>.</w:t>
      </w:r>
      <w:r w:rsidR="001D37BB" w:rsidRPr="001D37BB">
        <w:rPr>
          <w:rFonts w:cs="Times New Roman"/>
          <w:szCs w:val="24"/>
          <w:lang w:val="en-US"/>
        </w:rPr>
        <w:t xml:space="preserve"> Relationship between </w:t>
      </w:r>
      <w:proofErr w:type="spellStart"/>
      <w:r w:rsidR="001D37BB" w:rsidRPr="001D37BB">
        <w:rPr>
          <w:rFonts w:cs="Times New Roman"/>
          <w:szCs w:val="24"/>
          <w:lang w:val="en-US"/>
        </w:rPr>
        <w:t>dista</w:t>
      </w:r>
      <w:proofErr w:type="spellEnd"/>
      <w:r w:rsidR="005E0342">
        <w:rPr>
          <w:rFonts w:cs="Times New Roman"/>
          <w:szCs w:val="24"/>
          <w:lang w:val="en-US"/>
        </w:rPr>
        <w:tab/>
      </w:r>
      <w:proofErr w:type="spellStart"/>
      <w:r w:rsidR="001D37BB" w:rsidRPr="001D37BB">
        <w:rPr>
          <w:rFonts w:cs="Times New Roman"/>
          <w:szCs w:val="24"/>
          <w:lang w:val="en-US"/>
        </w:rPr>
        <w:t>nce</w:t>
      </w:r>
      <w:proofErr w:type="spellEnd"/>
      <w:r w:rsidR="001D37BB" w:rsidRPr="001D37BB">
        <w:rPr>
          <w:rFonts w:cs="Times New Roman"/>
          <w:szCs w:val="24"/>
          <w:lang w:val="en-US"/>
        </w:rPr>
        <w:t xml:space="preserve"> to the coast and average interest rate </w:t>
      </w:r>
      <w:proofErr w:type="gramStart"/>
      <w:r w:rsidR="001D37BB" w:rsidRPr="001D37BB">
        <w:rPr>
          <w:rFonts w:cs="Times New Roman"/>
          <w:szCs w:val="24"/>
          <w:lang w:val="en-US"/>
        </w:rPr>
        <w:t>spread</w:t>
      </w:r>
      <w:proofErr w:type="gramEnd"/>
    </w:p>
    <w:p w14:paraId="7F6BFA0C" w14:textId="77777777" w:rsidR="00D435AE" w:rsidRDefault="00D435AE" w:rsidP="00D435AE">
      <w:pPr>
        <w:spacing w:after="0" w:line="240" w:lineRule="auto"/>
        <w:jc w:val="left"/>
        <w:rPr>
          <w:rFonts w:cs="Times New Roman"/>
          <w:szCs w:val="24"/>
          <w:lang w:val="en-US"/>
        </w:rPr>
      </w:pPr>
    </w:p>
    <w:p w14:paraId="3B643EE1" w14:textId="77777777" w:rsidR="007C1CB6" w:rsidRPr="0039318F" w:rsidRDefault="007C1CB6" w:rsidP="0039318F">
      <w:pPr>
        <w:spacing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9318F">
        <w:rPr>
          <w:rFonts w:cs="Times New Roman"/>
          <w:sz w:val="20"/>
          <w:szCs w:val="20"/>
          <w:lang w:val="en-US"/>
        </w:rPr>
        <w:t>This figure displays the relationship between distance to coast (km) and average interest rate spread (%). The symbol (x) indicates 95% confidence interval.</w:t>
      </w:r>
    </w:p>
    <w:p w14:paraId="74AEB72C" w14:textId="77777777" w:rsidR="007C1CB6" w:rsidRPr="001D37BB" w:rsidRDefault="007C1CB6" w:rsidP="001D37BB">
      <w:pPr>
        <w:spacing w:after="0" w:line="480" w:lineRule="auto"/>
        <w:jc w:val="left"/>
        <w:rPr>
          <w:rFonts w:cs="Times New Roman"/>
          <w:szCs w:val="24"/>
          <w:lang w:val="en-US"/>
        </w:rPr>
      </w:pPr>
    </w:p>
    <w:p w14:paraId="10F31357" w14:textId="7F4C9B52" w:rsidR="00007BA3" w:rsidRPr="001D37BB" w:rsidRDefault="0039318F">
      <w:pPr>
        <w:rPr>
          <w:lang w:val="en-US"/>
        </w:rPr>
      </w:pPr>
      <w:r>
        <w:rPr>
          <w:noProof/>
        </w:rPr>
        <w:drawing>
          <wp:inline distT="0" distB="0" distL="0" distR="0" wp14:anchorId="38EF92EC" wp14:editId="1D42C308">
            <wp:extent cx="5857875" cy="4191000"/>
            <wp:effectExtent l="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BA3" w:rsidRPr="001D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5B297" w14:textId="77777777" w:rsidR="00EF5662" w:rsidRDefault="00EF5662" w:rsidP="00D435AE">
      <w:pPr>
        <w:spacing w:after="0" w:line="240" w:lineRule="auto"/>
      </w:pPr>
      <w:r>
        <w:separator/>
      </w:r>
    </w:p>
  </w:endnote>
  <w:endnote w:type="continuationSeparator" w:id="0">
    <w:p w14:paraId="35092683" w14:textId="77777777" w:rsidR="00EF5662" w:rsidRDefault="00EF5662" w:rsidP="00D4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8EF6C" w14:textId="77777777" w:rsidR="00EF5662" w:rsidRDefault="00EF5662" w:rsidP="00D435AE">
      <w:pPr>
        <w:spacing w:after="0" w:line="240" w:lineRule="auto"/>
      </w:pPr>
      <w:r>
        <w:separator/>
      </w:r>
    </w:p>
  </w:footnote>
  <w:footnote w:type="continuationSeparator" w:id="0">
    <w:p w14:paraId="252ADF1D" w14:textId="77777777" w:rsidR="00EF5662" w:rsidRDefault="00EF5662" w:rsidP="00D43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88"/>
    <w:rsid w:val="00007BA3"/>
    <w:rsid w:val="00074229"/>
    <w:rsid w:val="00141510"/>
    <w:rsid w:val="0016166E"/>
    <w:rsid w:val="001D37BB"/>
    <w:rsid w:val="002C4E63"/>
    <w:rsid w:val="002C7254"/>
    <w:rsid w:val="00361E7C"/>
    <w:rsid w:val="003639D6"/>
    <w:rsid w:val="0039318F"/>
    <w:rsid w:val="003A5634"/>
    <w:rsid w:val="00462FB6"/>
    <w:rsid w:val="004A1BCD"/>
    <w:rsid w:val="004C4DA7"/>
    <w:rsid w:val="00595A08"/>
    <w:rsid w:val="005B77D9"/>
    <w:rsid w:val="005E0342"/>
    <w:rsid w:val="005E13FC"/>
    <w:rsid w:val="005F57C6"/>
    <w:rsid w:val="006B229F"/>
    <w:rsid w:val="007402E4"/>
    <w:rsid w:val="007C1CB6"/>
    <w:rsid w:val="007C22FC"/>
    <w:rsid w:val="007E1C11"/>
    <w:rsid w:val="008D1B4E"/>
    <w:rsid w:val="008E7EC4"/>
    <w:rsid w:val="009C7714"/>
    <w:rsid w:val="009D2932"/>
    <w:rsid w:val="00A12F1D"/>
    <w:rsid w:val="00A158FE"/>
    <w:rsid w:val="00A43CE6"/>
    <w:rsid w:val="00A5625C"/>
    <w:rsid w:val="00BB08A4"/>
    <w:rsid w:val="00C41ABD"/>
    <w:rsid w:val="00C56351"/>
    <w:rsid w:val="00D06E8B"/>
    <w:rsid w:val="00D14A46"/>
    <w:rsid w:val="00D42463"/>
    <w:rsid w:val="00D435AE"/>
    <w:rsid w:val="00DA4094"/>
    <w:rsid w:val="00E712EF"/>
    <w:rsid w:val="00ED24E6"/>
    <w:rsid w:val="00ED6E1D"/>
    <w:rsid w:val="00EF5662"/>
    <w:rsid w:val="00F37057"/>
    <w:rsid w:val="00FB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D1AAE"/>
  <w15:chartTrackingRefBased/>
  <w15:docId w15:val="{829692E5-F8C0-4031-A666-3D7D04F8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88"/>
    <w:pPr>
      <w:spacing w:line="360" w:lineRule="auto"/>
      <w:jc w:val="both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Fonts">
    <w:name w:val="Table Fonts"/>
    <w:basedOn w:val="Normal"/>
    <w:qFormat/>
    <w:rsid w:val="00FB4D88"/>
    <w:pPr>
      <w:spacing w:after="0" w:line="240" w:lineRule="auto"/>
    </w:pPr>
    <w:rPr>
      <w:sz w:val="22"/>
      <w:lang w:eastAsia="en-GB" w:bidi="th-TH"/>
    </w:rPr>
  </w:style>
  <w:style w:type="table" w:styleId="TableGrid">
    <w:name w:val="Table Grid"/>
    <w:basedOn w:val="TableNormal"/>
    <w:uiPriority w:val="39"/>
    <w:rsid w:val="00FB4D88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435AE"/>
    <w:rPr>
      <w:rFonts w:ascii="Times New Roman" w:hAnsi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435A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35AE"/>
    <w:rPr>
      <w:rFonts w:ascii="Times New Roman" w:hAnsi="Times New Roman"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A158FE"/>
    <w:pPr>
      <w:spacing w:after="0" w:line="240" w:lineRule="auto"/>
    </w:pPr>
    <w:rPr>
      <w:rFonts w:ascii="Times New Roman" w:hAnsi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5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1773</Characters>
  <Application>Microsoft Office Word</Application>
  <DocSecurity>0</DocSecurity>
  <Lines>110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Duc Duy</dc:creator>
  <cp:keywords/>
  <dc:description/>
  <cp:lastModifiedBy>Kien Hoang</cp:lastModifiedBy>
  <cp:revision>3</cp:revision>
  <dcterms:created xsi:type="dcterms:W3CDTF">2022-02-09T15:05:00Z</dcterms:created>
  <dcterms:modified xsi:type="dcterms:W3CDTF">2023-06-30T15:22:00Z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61fdca7761e14c4b472cd2c94df7b62710b6756cb371e4beaa91ce683ccc206a</vt:lpwstr>
  </property>
</Properties>
</file>