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sdt>
      <w:sdtPr>
        <w:docPartObj>
          <w:docPartGallery w:val="Table of Contents"/>
          <w:docPartUnique/>
        </w:docPartObj>
      </w:sdtPr>
      <w:sdtContent>
        <w:p>
          <w:pPr>
            <w:pStyle w:val="TOC2"/>
            <w:tabs>
              <w:tab w:val="right" w:leader="dot" w:pos="9061"/>
            </w:tabs>
            <w:rPr>
              <w:rFonts w:ascii="Aptos" w:hAnsi="Aptos"/>
              <w:b w:val="0"/>
              <w:bCs w:val="0"/>
              <w:noProof/>
              <w:kern w:val="2"/>
              <w:sz w:val="24"/>
              <w:szCs w:val="24"/>
            </w:rPr>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2</w:t>
            </w:r>
          </w:hyperlink>
        </w:p>
        <w:p>
          <w:pPr>
            <w:pStyle w:val="TOC2"/>
            <w:tabs>
              <w:tab w:val="right" w:leader="dot" w:pos="9061"/>
            </w:tabs>
          </w:pPr>
          <w:hyperlink w:anchor="_Toc243721672" w:history="1">
            <w:r>
              <w:t xml:space="preserve">1.4. Bộ phận và nội dung thực tập của sinh viên</w:t>
              <w:tab/>
              <w:t xml:space="preserve">2</w:t>
            </w:r>
          </w:hyperlink>
        </w:p>
        <w:p>
          <w:pPr>
            <w:pStyle w:val="TOC2"/>
            <w:tabs>
              <w:tab w:val="right" w:leader="dot" w:pos="9061"/>
            </w:tabs>
          </w:pPr>
          <w:hyperlink w:anchor="_Toc243721673" w:history="1">
            <w:r>
              <w:t xml:space="preserve">1.5. Tình hình hoạt động trong hai năm gần nhất</w:t>
              <w:tab/>
              <w:t xml:space="preserve">3</w:t>
            </w:r>
          </w:hyperlink>
        </w:p>
        <w:p>
          <w:pPr>
            <w:pStyle w:val="TOC1"/>
            <w:tabs>
              <w:tab w:val="right" w:leader="dot" w:pos="9061"/>
            </w:tabs>
          </w:pPr>
          <w:hyperlink w:anchor="_Toc243721674" w:history="1">
            <w:r>
              <w:t xml:space="preserve">PHẦN II. GÁN NHÃN DỮ LIỆU VÀ TINH CHỈNH MÔ HÌNH YOLO</w:t>
              <w:tab/>
              <w:t xml:space="preserve">5</w:t>
            </w:r>
          </w:hyperlink>
        </w:p>
        <w:p>
          <w:pPr>
            <w:pStyle w:val="TOC2"/>
            <w:tabs>
              <w:tab w:val="right" w:leader="dot" w:pos="9061"/>
            </w:tabs>
          </w:pPr>
          <w:hyperlink w:anchor="_Toc243721675" w:history="1">
            <w:r>
              <w:t xml:space="preserve">Bối cảnh và phạm vi chuyên đề</w:t>
              <w:tab/>
              <w:t xml:space="preserve">5</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6</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15</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16</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20</w:t>
            </w:r>
          </w:hyperlink>
        </w:p>
        <w:p>
          <w:pPr>
            <w:pStyle w:val="TOC3"/>
            <w:tabs>
              <w:tab w:val="right" w:leader="dot" w:pos="9061"/>
            </w:tabs>
          </w:pPr>
          <w:hyperlink w:anchor="_Toc243721699" w:history="1">
            <w:r>
              <w:t xml:space="preserve">3.1. Nhiệm vụ được tham gia</w:t>
              <w:tab/>
              <w:t xml:space="preserve">20</w:t>
            </w:r>
          </w:hyperlink>
        </w:p>
        <w:p>
          <w:pPr>
            <w:pStyle w:val="TOC3"/>
            <w:tabs>
              <w:tab w:val="right" w:leader="dot" w:pos="9061"/>
            </w:tabs>
          </w:pPr>
          <w:hyperlink w:anchor="_Toc243721700" w:history="1">
            <w:r>
              <w:t xml:space="preserve">3.2. Cách thực hiện gán nhãn</w:t>
              <w:tab/>
              <w:t xml:space="preserve">20</w:t>
            </w:r>
          </w:hyperlink>
        </w:p>
        <w:p>
          <w:pPr>
            <w:pStyle w:val="TOC3"/>
            <w:tabs>
              <w:tab w:val="right" w:leader="dot" w:pos="9061"/>
            </w:tabs>
          </w:pPr>
          <w:hyperlink w:anchor="_Toc243721701" w:history="1">
            <w:r>
              <w:t xml:space="preserve">3.3. Cách tinh chỉnh YOLO</w:t>
              <w:tab/>
              <w:t xml:space="preserve">21</w:t>
            </w:r>
          </w:hyperlink>
        </w:p>
        <w:p>
          <w:pPr>
            <w:pStyle w:val="TOC3"/>
            <w:tabs>
              <w:tab w:val="right" w:leader="dot" w:pos="9061"/>
            </w:tabs>
          </w:pPr>
          <w:hyperlink w:anchor="_Toc243721702" w:history="1">
            <w:r>
              <w:t xml:space="preserve">3.4. Xem lỗi và cải thiện dữ liệu</w:t>
              <w:tab/>
              <w:t xml:space="preserve">23</w:t>
            </w:r>
          </w:hyperlink>
        </w:p>
        <w:p>
          <w:pPr>
            <w:pStyle w:val="TOC3"/>
            <w:tabs>
              <w:tab w:val="right" w:leader="dot" w:pos="9061"/>
            </w:tabs>
          </w:pPr>
          <w:hyperlink w:anchor="_Toc243721703" w:history="1">
            <w:r>
              <w:t xml:space="preserve">3.5. Ghi nhận và so sánh các lần fine-tuning</w:t>
              <w:tab/>
              <w:t xml:space="preserve">23</w:t>
            </w:r>
          </w:hyperlink>
        </w:p>
        <w:p>
          <w:pPr>
            <w:pStyle w:val="TOC2"/>
            <w:tabs>
              <w:tab w:val="right" w:leader="dot" w:pos="9061"/>
            </w:tabs>
          </w:pPr>
          <w:hyperlink w:anchor="_Toc243721704" w:history="1">
            <w:r>
              <w:t xml:space="preserve">CHƯƠNG 4. KẾT QUẢ, KIỂM THỬ VÀ ĐÁNH GIÁ</w:t>
              <w:tab/>
              <w:t xml:space="preserve">25</w:t>
            </w:r>
          </w:hyperlink>
        </w:p>
        <w:p>
          <w:pPr>
            <w:pStyle w:val="TOC3"/>
            <w:tabs>
              <w:tab w:val="right" w:leader="dot" w:pos="9061"/>
            </w:tabs>
          </w:pPr>
          <w:hyperlink w:anchor="_Toc243721705" w:history="1">
            <w:r>
              <w:t xml:space="preserve">4.1. Kết quả công việc</w:t>
              <w:tab/>
              <w:t xml:space="preserve">25</w:t>
            </w:r>
          </w:hyperlink>
        </w:p>
        <w:p>
          <w:pPr>
            <w:pStyle w:val="TOC3"/>
            <w:tabs>
              <w:tab w:val="right" w:leader="dot" w:pos="9061"/>
            </w:tabs>
          </w:pPr>
          <w:hyperlink w:anchor="_Toc243721706" w:history="1">
            <w:r>
              <w:t xml:space="preserve">4.2. Các trường hợp cần kiểm tra mô hình</w:t>
              <w:tab/>
              <w:t xml:space="preserve">25</w:t>
            </w:r>
          </w:hyperlink>
        </w:p>
        <w:p>
          <w:pPr>
            <w:pStyle w:val="TOC3"/>
            <w:tabs>
              <w:tab w:val="right" w:leader="dot" w:pos="9061"/>
            </w:tabs>
          </w:pPr>
          <w:hyperlink w:anchor="_Toc243721707" w:history="1">
            <w:r>
              <w:t xml:space="preserve">4.3. Cách đọc kết quả đánh giá</w:t>
              <w:tab/>
              <w:t xml:space="preserve">26</w:t>
            </w:r>
          </w:hyperlink>
        </w:p>
        <w:p>
          <w:pPr>
            <w:pStyle w:val="TOC3"/>
            <w:tabs>
              <w:tab w:val="right" w:leader="dot" w:pos="9061"/>
            </w:tabs>
          </w:pPr>
          <w:hyperlink w:anchor="_Toc243721708" w:history="1">
            <w:r>
              <w:t xml:space="preserve">4.4. Đánh giá chung</w:t>
              <w:tab/>
              <w:t xml:space="preserve">26</w:t>
            </w:r>
          </w:hyperlink>
        </w:p>
        <w:p>
          <w:pPr>
            <w:pStyle w:val="TOC3"/>
            <w:tabs>
              <w:tab w:val="right" w:leader="dot" w:pos="9061"/>
            </w:tabs>
          </w:pPr>
          <w:hyperlink w:anchor="_Toc243721709" w:history="1">
            <w:r>
              <w:t xml:space="preserve">4.5. Hạn chế và hướng cải thiện</w:t>
              <w:tab/>
              <w:t xml:space="preserve">27</w:t>
            </w:r>
          </w:hyperlink>
        </w:p>
        <w:p>
          <w:pPr>
            <w:pStyle w:val="TOC1"/>
            <w:tabs>
              <w:tab w:val="right" w:leader="dot" w:pos="9061"/>
            </w:tabs>
          </w:pPr>
          <w:hyperlink w:anchor="_Toc243721710" w:history="1">
            <w:r>
              <w:t xml:space="preserve">PHẦN III. NHẬN XÉT VÀ ĐỀ XUẤT</w:t>
              <w:tab/>
              <w:t xml:space="preserve">28</w:t>
            </w:r>
          </w:hyperlink>
        </w:p>
        <w:p>
          <w:pPr>
            <w:pStyle w:val="TOC2"/>
            <w:tabs>
              <w:tab w:val="right" w:leader="dot" w:pos="9061"/>
            </w:tabs>
          </w:pPr>
          <w:hyperlink w:anchor="_Toc243721711" w:history="1">
            <w:r>
              <w:t xml:space="preserve">3.1. Kiến thức và kỹ năng thu nhận được</w:t>
              <w:tab/>
              <w:t xml:space="preserve">28</w:t>
            </w:r>
          </w:hyperlink>
        </w:p>
        <w:p>
          <w:pPr>
            <w:pStyle w:val="TOC2"/>
            <w:tabs>
              <w:tab w:val="right" w:leader="dot" w:pos="9061"/>
            </w:tabs>
          </w:pPr>
          <w:hyperlink w:anchor="_Toc243721712" w:history="1">
            <w:r>
              <w:t xml:space="preserve">3.2. Khó khăn và cách khắc phục</w:t>
              <w:tab/>
              <w:t xml:space="preserve">29</w:t>
            </w:r>
          </w:hyperlink>
        </w:p>
        <w:p>
          <w:pPr>
            <w:pStyle w:val="TOC2"/>
            <w:tabs>
              <w:tab w:val="right" w:leader="dot" w:pos="9061"/>
            </w:tabs>
          </w:pPr>
          <w:hyperlink w:anchor="_Toc243721713" w:history="1">
            <w:r>
              <w:t xml:space="preserve">3.3. Đề xuất</w:t>
              <w:tab/>
              <w:t xml:space="preserve">29</w:t>
            </w:r>
          </w:hyperlink>
        </w:p>
        <w:p>
          <w:pPr>
            <w:pStyle w:val="TOC1"/>
            <w:tabs>
              <w:tab w:val="right" w:leader="dot" w:pos="9061"/>
            </w:tabs>
          </w:pPr>
          <w:hyperlink w:anchor="_Toc243721714" w:history="1">
            <w:r>
              <w:t xml:space="preserve">KẾT LUẬN VÀ HƯỚNG PHÁT TRIỂN</w:t>
              <w:tab/>
              <w:t xml:space="preserve">31</w:t>
            </w:r>
          </w:hyperlink>
        </w:p>
        <w:p>
          <w:pPr>
            <w:pStyle w:val="TOC1"/>
            <w:tabs>
              <w:tab w:val="right" w:leader="dot" w:pos="9061"/>
            </w:tabs>
          </w:pPr>
          <w:hyperlink w:anchor="_Toc243721715" w:history="1">
            <w:r>
              <w:t xml:space="preserve">TÀI LIỆU THAM KHẢO</w:t>
              <w:tab/>
              <w:t xml:space="preserve">32</w:t>
            </w:r>
          </w:hyperlink>
          <w:r>
            <w:fldChar w:fldCharType="end"/>
          </w:r>
        </w:p>
      </w:sdtContent>
    </w:sdt>
    <w:p>
      <w:r>
        <w:br w:type="page"/>
      </w:r>
    </w:p>
    <w:p>
      <w:pPr>
        <w:pStyle w:val="Title"/>
      </w:pPr>
      <w:r>
        <w:t xml:space="preserve">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3</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11</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14</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25</w:t>
            </w:r>
            <w:r>
              <w:rPr>
                <w:noProof/>
              </w:rPr>
              <w:fldChar w:fldCharType="end"/>
            </w:r>
          </w:hyperlink>
        </w:p>
        <w:p>
          <w:r>
            <w:fldChar w:fldCharType="end"/>
          </w:r>
        </w:p>
      </w:sdtContent>
    </w:sdt>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 xml:space="preserve">Mục tiêu của báo cáo là trình bày kiến thức cơ bản về dữ liệu ảnh, gán nhãn dữ liệu và fine-tuning YOLO; mô tả cách các công việc này hỗ trợ quá trình huấn luyện; đồng thời nêu những kỹ năng em học được. Để bảo vệ thông tin của đơn vị, báo cáo không nêu tên khách hàng, số lượng ảnh, tên lớp đối tượng hoặc cấu hình huấn luyện nội bộ khi chưa có xác nhận công bố.</w:t>
      </w:r>
    </w:p>
    <w:p>
      <w:pPr>
        <w:pStyle w:val="DoanVB"/>
        <w:spacing w:before="0"/>
      </w:pPr>
      <w:r>
        <w:t xml:space="preserve">Báo cáo gồm ba phần. Phần I giới thiệu khái quát về FPT Smart Cloud dựa trên tài liệu hội nhập nhân viên được cung cấp. Phần II trình bày lý thuyết và công việc gán nhãn, tinh chỉnh mô hình YOLO. Phần III tự đánh giá quá trình thực tập và đưa ra một số đề xuất. Các chỉ số chỉ được nêu khi có nguồn rõ ràng và được phép sử dụng.</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hoạt động trong các lĩnh vực điện toán đám mây, trí tuệ nhân tạo và dữ liệu thuộc hệ sinh thái FPT. Theo tài liệu hội nhập nhân viên tháng 10 năm 2026, đơn vị phát triển nền tảng và dịch vụ công nghệ phục vụ khách hàng doanh nghiệp, đồng thời chú trọng nghiên cứu, phát triển và vận hành sản phẩm [1].</w:t>
      </w:r>
    </w:p>
    <w:p>
      <w:pPr>
        <w:pStyle w:val="DoanVB"/>
        <w:spacing w:before="0"/>
      </w:pPr>
      <w:r>
        <w:t xml:space="preserve">Tài liệu hội nhập ghi FPT Smart Cloud ra mắt ngày 13/08/2020 [1]. Báo cáo sử dụng tên đơn vị theo hồ sơ thực tập là Công ty TNHH FPT Smart Cloud; cách ghi cuối cùng cần được đối chiếu với hướng dẫn của nhà trường và người phụ trách tại đơn vị.</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Tài liệu hội nhập giới thiệu các nhóm dịch vụ điện toán đám mây, nền tảng AI, nền tảng dữ liệu và AI Factory. Có thể hiểu đơn giản như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 xml:space="preserve">Trong nhóm AI, tài liệu giới thiệu nền tảng AI, công cụ tạo ứng dụng và sản phẩm phục vụ giao tiếp, xử lý tài liệu, nhận diện và vận hành. Báo cáo chỉ trình bày theo nhóm để tránh dùng sai tên sản phẩm hoặc thông tin chưa được phép công bố [1].</w:t>
      </w:r>
    </w:p>
    <w:p>
      <w:pPr>
        <w:pStyle w:val="Heading2"/>
      </w:pPr>
      <w:bookmarkStart w:id="5" w:name="_Toc243721671"/>
      <w:r>
        <w:t xml:space="preserve">1.3. Cơ cấu tổ chức và chức năng các đơn vị</w:t>
      </w:r>
      <w:bookmarkEnd w:id="5"/>
    </w:p>
    <w:p>
      <w:pPr>
        <w:pStyle w:val="DoanVB"/>
        <w:spacing w:before="0"/>
      </w:pPr>
      <w:r>
        <w:t xml:space="preserve">Tài liệu hội nhập đề cập đến ban điều hành, các mảng Cloud Technology, AI Product, sản phẩm/dịch vụ, chất lượng và an toàn thông tin. Báo cáo mô tả ở mức khái quát, không nêu tên cá nhân hoặc chi tiết cơ cấu chưa được cho phép.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
      <w:pPr>
        <w:pStyle w:val="DoanVB"/>
        <w:spacing w:before="0"/>
      </w:pPr>
      <w:r>
        <w:t xml:space="preserve">Tài liệu hội nhập nhấn mạnh văn hóa đổi mới, học hỏi và phối hợp. Tài liệu cũng giới thiệu nguyên tắc “Quality from me” và “Security from Code”. Đây là nội dung được trích từ tài liệu hội nhập, không phải kết quả đánh giá độc lập [1].</w:t>
      </w:r>
    </w:p>
    <w:p>
      <w:pPr>
        <w:pStyle w:val="Heading2"/>
      </w:pPr>
      <w:bookmarkStart w:id="7" w:name="_Toc243721672"/>
      <w:r>
        <w:t xml:space="preserve">1.4. Bộ phận và nội dung thực tập của sinh viên</w:t>
      </w:r>
      <w:bookmarkEnd w:id="7"/>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công cụ, hướng dẫn và quy trình được bộ phận giao; tên cụ thể chỉ nêu khi được phép công bố.</w:t>
            </w:r>
          </w:p>
        </w:tc>
      </w:tr>
    </w:tbl>
    <w:p>
      <w:pPr>
        <w:pStyle w:val="DoanVB"/>
        <w:keepNext/>
        <w:jc w:val="center"/>
      </w:pPr>
      <w:bookmarkStart w:id="8"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8"/>
    </w:p>
    <w:p/>
    <w:p>
      <w:pPr>
        <w:pStyle w:val="DoanVB"/>
        <w:spacing w:before="0"/>
      </w:pPr>
      <w:r>
        <w:t xml:space="preserve">Phần II trình bày kiến thức và quy trình liên quan đến hai nhóm nhiệm vụ này. Các ví dụ được viết ở mức khái quát để không làm lộ dữ liệu, tên dự án hoặc thông tin khách hàng của công ty.</w:t>
      </w:r>
    </w:p>
    <w:p>
      <w:pPr>
        <w:pStyle w:val="Heading2"/>
        <w:pageBreakBefore/>
      </w:pPr>
      <w:bookmarkStart w:id="9" w:name="_Toc243721673"/>
      <w:r>
        <w:t xml:space="preserve">1.5. Tình hình hoạt động trong hai năm gần nhất</w:t>
      </w:r>
      <w:bookmarkEnd w:id="9"/>
    </w:p>
    <w:p>
      <w:pPr>
        <w:pStyle w:val="DoanVB"/>
        <w:spacing w:before="0"/>
      </w:pPr>
      <w:r>
        <w:t>Mẫu báo cáo yêu cầu giới thiệu hoạt động của đơn vị trong hai năm gần nhất. Tài liệu hội nhập không phải báo cáo tài chính nên không có số liệu doanh thu theo từng năm. Phần này bổ sung thông tin pháp lý và dữ liệu công khai; số liệu ước tính hoặc chưa được công bố được ghi rõ.</w:t>
      </w:r>
    </w:p>
    <w:p>
      <w:pPr>
        <w:pStyle w:val="DoanVB"/>
        <w:spacing w:before="0"/>
      </w:pPr>
      <w:r>
        <w:t xml:space="preserve">Thông tin công khai giúp xác nhận đơn vị hoạt động dưới tên pháp lý rõ ràng. Website của FPT Smart Cloud ghi tên Công ty TNHH FPT Smart Cloud, mã số đăng ký kinh doanh 0109307938, cấp ngày 13/08/2020 [7]. Apps Run The World ước tính doanh thu công ty năm 2024 khoảng 20 triệu USD [8]. FPT cho biết doanh thu lũy kế của FPT Smart Cloud đến hết tháng 7/2026 đã vượt doanh thu cả năm 2025, nhưng thông báo không nêu số tiền cụ thể [9]. Báo cáo thường niên FPT năm 2025 công bố doanh thu thực nhận từ các giải pháp AI và Cloud của toàn Tập đoàn đạt 913 tỷ đồng, tăng 48,4% so với năm 2024 [10]. Đây là số liệu của nhóm giải pháp AI và Cloud trong phạm vi FPT, không phải doanh thu riêng của FPT Smart Cloud.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Ước tính từ cơ sở dữ liệu doanh nghiệp; không phải số liệu tài chính kiểm toán do công ty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FPT cho biết doanh thu lũy kế đến hết tháng 7/2026 đã vượt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Nguồn chính thức không nêu số tiền cụ thể nên báo cáo không tự suy ra giá trị.</w:t>
            </w:r>
          </w:p>
        </w:tc>
      </w:tr>
    </w:tbl>
    <w:p>
      <w:pPr>
        <w:pStyle w:val="DoanVB"/>
        <w:keepNext/>
        <w:jc w:val="center"/>
      </w:pPr>
      <w:bookmarkStart w:id="10"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0"/>
    </w:p>
    <w:p/>
    <w:p>
      <w:pPr>
        <w:pStyle w:val="DoanVB"/>
        <w:spacing w:before="0"/>
      </w:pPr>
      <w:r>
        <w:t xml:space="preserve">Phần này có thể được cập nhật khi đơn vị cung cấp số liệu đã xác nhận hoặc nguồn công khai được phép sử dụng.</w:t>
      </w:r>
    </w:p>
    <w:p>
      <w:r>
        <w:br w:type="page"/>
      </w:r>
    </w:p>
    <w:p>
      <w:pPr>
        <w:pStyle w:val="Heading1"/>
      </w:pPr>
      <w:bookmarkStart w:id="11" w:name="_Toc243721674"/>
      <w:r>
        <w:t xml:space="preserve">PHẦN II. GÁN NHÃN DỮ LIỆU VÀ TINH CHỈNH MÔ HÌNH YOLO</w:t>
      </w:r>
      <w:bookmarkEnd w:id="11"/>
    </w:p>
    <w:p>
      <w:pPr>
        <w:pStyle w:val="Heading2"/>
      </w:pPr>
      <w:bookmarkStart w:id="12" w:name="_Toc243721675"/>
      <w:r>
        <w:t xml:space="preserve">Bối cảnh và phạm vi chuyên đề</w:t>
      </w:r>
      <w:bookmarkEnd w:id="12"/>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r>
        <w:br w:type="page"/>
      </w:r>
    </w:p>
    <w:p>
      <w:pPr>
        <w:pStyle w:val="Heading2"/>
      </w:pPr>
      <w:bookmarkStart w:id="13" w:name="_Toc243721676"/>
      <w:r>
        <w:t xml:space="preserve">CHƯƠNG 1. CƠ SỞ LÝ THUYẾT</w:t>
      </w:r>
      <w:bookmarkEnd w:id="13"/>
    </w:p>
    <w:p>
      <w:pPr>
        <w:pStyle w:val="Heading3"/>
      </w:pPr>
      <w:bookmarkStart w:id="14" w:name="_Toc243721677"/>
      <w:r>
        <w:t xml:space="preserve">1.1. Thị giác máy tính và dữ liệu ảnh</w:t>
      </w:r>
      <w:bookmarkEnd w:id="14"/>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5" w:name="_Toc243721678"/>
      <w:r>
        <w:t xml:space="preserve">1.2. Học có giám sát</w:t>
      </w:r>
      <w:bookmarkEnd w:id="15"/>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6" w:name="_Toc243721679"/>
      <w:r>
        <w:t xml:space="preserve">1.3. Phát hiện đối tượng</w:t>
      </w:r>
      <w:bookmarkEnd w:id="16"/>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7" w:name="_Toc243721680"/>
      <w:r>
        <w:t xml:space="preserve">1.4. Gán nhãn dữ liệu ảnh</w:t>
      </w:r>
      <w:bookmarkEnd w:id="17"/>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hỏi người phụ trách thay vì tự suy đoán.</w:t>
            </w:r>
          </w:p>
        </w:tc>
      </w:tr>
    </w:tbl>
    <w:p>
      <w:pPr>
        <w:pStyle w:val="DoanVB"/>
        <w:keepNext/>
        <w:jc w:val="center"/>
      </w:pPr>
      <w:bookmarkStart w:id="18"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18"/>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các ví dụ mâu thuẫn, khó học một quy tắc ổn định.</w:t>
            </w:r>
          </w:p>
        </w:tc>
      </w:tr>
    </w:tbl>
    <w:p>
      <w:pPr>
        <w:pStyle w:val="DoanVB"/>
        <w:keepNext/>
        <w:jc w:val="center"/>
      </w:pPr>
      <w:bookmarkStart w:id="19"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19"/>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0" w:name="_Toc243721681"/>
      <w:r>
        <w:t xml:space="preserve">1.5. Mạng nơ-ron tích chập</w:t>
      </w:r>
      <w:bookmarkEnd w:id="20"/>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1" w:name="_Toc243721682"/>
      <w:r>
        <w:t xml:space="preserve">1.6. Mô hình YOLO</w:t>
      </w:r>
      <w:bookmarkEnd w:id="21"/>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hộp, lớp đối tượng và độ tin cậy.</w:t>
            </w:r>
          </w:p>
        </w:tc>
      </w:tr>
    </w:tbl>
    <w:p>
      <w:pPr>
        <w:pStyle w:val="DoanVB"/>
        <w:keepNext/>
        <w:jc w:val="center"/>
      </w:pPr>
      <w:bookmarkStart w:id="22"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2"/>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3" w:name="_Toc243721683"/>
      <w:r>
        <w:t xml:space="preserve">1.7. Học chuyển giao và fine-tuning</w:t>
      </w:r>
      <w:bookmarkEnd w:id="23"/>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mức độ phù hợp giữa dữ liệu cũ và nhiệm vụ mới.</w:t>
            </w:r>
          </w:p>
        </w:tc>
      </w:tr>
    </w:tbl>
    <w:p>
      <w:pPr>
        <w:pStyle w:val="DoanVB"/>
        <w:keepNext/>
        <w:jc w:val="center"/>
      </w:pPr>
      <w:bookmarkStart w:id="24"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4"/>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5" w:name="_Toc243721684"/>
      <w:r>
        <w:t xml:space="preserve">1.8. Các thông số huấn luyện thường gặp</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Giúp mô hình gặp nhiều tình huống hơn nhưng cần tránh biến đổi sai ý nghĩa.</w:t>
            </w:r>
          </w:p>
        </w:tc>
      </w:tr>
    </w:tbl>
    <w:p>
      <w:pPr>
        <w:pStyle w:val="DoanVB"/>
        <w:keepNext/>
        <w:jc w:val="center"/>
      </w:pPr>
      <w:bookmarkStart w:id="26"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6"/>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7" w:name="_Toc243721685"/>
      <w:r>
        <w:t xml:space="preserve">1.9. Chia dữ liệu và tránh học thuộc</w:t>
      </w:r>
      <w:bookmarkEnd w:id="27"/>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28" w:name="_Toc243721686"/>
      <w:r>
        <w:t xml:space="preserve">1.10. Đánh giá mô hình ở mức cơ bản</w:t>
      </w:r>
      <w:bookmarkEnd w:id="28"/>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Tóm tắt chất lượng phát hiện qua nhiều mức tin cậy và điều kiện khớp hộp.</w:t>
            </w:r>
          </w:p>
        </w:tc>
      </w:tr>
    </w:tbl>
    <w:p>
      <w:pPr>
        <w:pStyle w:val="DoanVB"/>
        <w:keepNext/>
        <w:jc w:val="center"/>
      </w:pPr>
      <w:bookmarkStart w:id="29"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29"/>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0" w:name="_Toc243721687"/>
      <w:r>
        <w:t xml:space="preserve">1.11. Bảo vệ dữ liệu và vai trò con người</w:t>
      </w:r>
      <w:bookmarkEnd w:id="30"/>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r>
        <w:br w:type="page"/>
      </w:r>
    </w:p>
    <w:p>
      <w:pPr>
        <w:pStyle w:val="Heading2"/>
      </w:pPr>
      <w:bookmarkStart w:id="31" w:name="_Toc243721688"/>
      <w:r>
        <w:t xml:space="preserve">CHƯƠNG 2. PHÂN TÍCH VÀ THIẾT KẾ QUY TRÌNH</w:t>
      </w:r>
      <w:bookmarkEnd w:id="31"/>
    </w:p>
    <w:p>
      <w:pPr>
        <w:pStyle w:val="Heading3"/>
      </w:pPr>
      <w:bookmarkStart w:id="32" w:name="_Toc243721689"/>
      <w:r>
        <w:t xml:space="preserve">2.1. Bài toán và mục tiêu</w:t>
      </w:r>
      <w:bookmarkEnd w:id="32"/>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3" w:name="_Toc243721690"/>
      <w:r>
        <w:t xml:space="preserve">2.2. Dữ liệu đầu vào và đầu ra</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Pr>
        <w:pStyle w:val="DoanVB"/>
        <w:keepNext/>
        <w:jc w:val="center"/>
      </w:pPr>
      <w:bookmarkStart w:id="34"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4"/>
    </w:p>
    <w:p/>
    <w:p>
      <w:pPr>
        <w:pStyle w:val="Heading3"/>
      </w:pPr>
      <w:bookmarkStart w:id="35" w:name="_Toc243721691"/>
      <w:r>
        <w:t xml:space="preserve">2.3. Thiết kế quy tắc gán nhãn</w:t>
      </w:r>
      <w:bookmarkEnd w:id="35"/>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Pr>
        <w:pStyle w:val="DoanVB"/>
        <w:keepNext/>
        <w:jc w:val="center"/>
      </w:pPr>
      <w:bookmarkStart w:id="36"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6"/>
    </w:p>
    <w:p/>
    <w:p>
      <w:pPr>
        <w:pStyle w:val="Heading3"/>
      </w:pPr>
      <w:bookmarkStart w:id="37" w:name="_Toc243721692"/>
      <w:r>
        <w:t xml:space="preserve">2.4. Kiểm tra chất lượng nhãn</w:t>
      </w:r>
      <w:bookmarkEnd w:id="37"/>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Pr>
        <w:pStyle w:val="DoanVB"/>
        <w:keepNext/>
        <w:jc w:val="center"/>
      </w:pPr>
      <w:bookmarkStart w:id="38"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38"/>
    </w:p>
    <w:p/>
    <w:p>
      <w:pPr>
        <w:pStyle w:val="Heading3"/>
      </w:pPr>
      <w:bookmarkStart w:id="39" w:name="_Toc243721693"/>
      <w:r>
        <w:t xml:space="preserve">2.5. Chuẩn bị tập dữ liệu</w:t>
      </w:r>
      <w:bookmarkEnd w:id="39"/>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0" w:name="_Toc243721694"/>
      <w:r>
        <w:t xml:space="preserve">2.6. Quy trình tinh chỉnh mô hình</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Pr>
        <w:pStyle w:val="DoanVB"/>
        <w:keepNext/>
        <w:jc w:val="center"/>
      </w:pPr>
      <w:bookmarkStart w:id="41"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1"/>
    </w:p>
    <w:p/>
    <w:p>
      <w:pPr>
        <w:pStyle w:val="Heading3"/>
      </w:pPr>
      <w:bookmarkStart w:id="42" w:name="_Toc243721695"/>
      <w:r>
        <w:t xml:space="preserve">2.7. Luồng trao đổi giữa dữ liệu và mô hình</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Pr>
        <w:pStyle w:val="DoanVB"/>
        <w:keepNext/>
        <w:jc w:val="center"/>
      </w:pPr>
      <w:bookmarkStart w:id="43"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3"/>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4" w:name="_Toc243721696"/>
      <w:r>
        <w:t xml:space="preserve">2.8. Yêu cầu chất lượng và rủi ro</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Pr>
        <w:pStyle w:val="DoanVB"/>
        <w:keepNext/>
        <w:jc w:val="center"/>
      </w:pPr>
      <w:bookmarkStart w:id="45"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5"/>
    </w:p>
    <w:p/>
    <w:p>
      <w:pPr>
        <w:pStyle w:val="Heading3"/>
      </w:pPr>
      <w:bookmarkStart w:id="46" w:name="_Toc243721697"/>
      <w:r>
        <w:t xml:space="preserve">2.9. Công cụ sử dụng</w:t>
      </w:r>
      <w:bookmarkEnd w:id="46"/>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Trình bày thao tác và kiến thức, không đưa ảnh hoặc log chưa được phép sử dụng.</w:t>
            </w:r>
          </w:p>
        </w:tc>
      </w:tr>
    </w:tbl>
    <w:p>
      <w:pPr>
        <w:pStyle w:val="DoanVB"/>
        <w:keepNext/>
        <w:jc w:val="center"/>
      </w:pPr>
      <w:bookmarkStart w:id="47"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7"/>
    </w:p>
    <w:p/>
    <w:p>
      <w:r>
        <w:br w:type="page"/>
      </w:r>
    </w:p>
    <w:p>
      <w:pPr>
        <w:pStyle w:val="Heading2"/>
      </w:pPr>
      <w:bookmarkStart w:id="48" w:name="_Toc243721698"/>
      <w:r>
        <w:t xml:space="preserve">CHƯƠNG 3. THỰC HIỆN GÁN NHÃN VÀ TINH CHỈNH MÔ HÌNH</w:t>
      </w:r>
      <w:bookmarkEnd w:id="48"/>
    </w:p>
    <w:p>
      <w:pPr>
        <w:pStyle w:val="Heading3"/>
      </w:pPr>
      <w:bookmarkStart w:id="49" w:name="_Toc243721699"/>
      <w:r>
        <w:t xml:space="preserve">3.1. Nhiệm vụ được tham gia</w:t>
      </w:r>
      <w:bookmarkEnd w:id="49"/>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recall, mAP và phân tích lỗi bằng hình ảnh.</w:t>
            </w:r>
          </w:p>
        </w:tc>
      </w:tr>
    </w:tbl>
    <w:p>
      <w:pPr>
        <w:pStyle w:val="DoanVB"/>
        <w:keepNext/>
        <w:jc w:val="center"/>
      </w:pPr>
      <w:bookmarkStart w:id="50"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0"/>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1" w:name="_Toc243721700"/>
      <w:r>
        <w:t xml:space="preserve">3.2. Cách thực hiện gán nhãn</w:t>
      </w:r>
      <w:bookmarkEnd w:id="51"/>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Pr>
        <w:pStyle w:val="DoanVB"/>
        <w:keepNext/>
        <w:jc w:val="center"/>
      </w:pPr>
      <w:bookmarkStart w:id="52"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2"/>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3" w:name="_Toc243721701"/>
      <w:r>
        <w:t xml:space="preserve">3.3. Cách tinh chỉnh YOLO</w:t>
      </w:r>
      <w:bookmarkEnd w:id="53"/>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Pr>
        <w:pStyle w:val="DoanVB"/>
        <w:keepNext/>
        <w:jc w:val="center"/>
      </w:pPr>
      <w:bookmarkStart w:id="54"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4"/>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5" w:name="_Toc243721702"/>
      <w:r>
        <w:t xml:space="preserve">3.4. Xem lỗi và cải thiện dữ liệu</w:t>
      </w:r>
      <w:bookmarkEnd w:id="55"/>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Pr>
        <w:pStyle w:val="DoanVB"/>
        <w:keepNext/>
        <w:jc w:val="center"/>
      </w:pPr>
      <w:bookmarkStart w:id="56"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6"/>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7" w:name="_Toc243721703"/>
      <w:r>
        <w:t xml:space="preserve">3.5. Ghi nhận và so sánh các lần fine-tuning</w:t>
      </w:r>
      <w:bookmarkEnd w:id="57"/>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Pr>
        <w:pStyle w:val="DoanVB"/>
        <w:keepNext/>
        <w:jc w:val="center"/>
      </w:pPr>
      <w:bookmarkStart w:id="58"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58"/>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r>
        <w:br w:type="page"/>
      </w:r>
    </w:p>
    <w:p>
      <w:pPr>
        <w:pStyle w:val="Heading2"/>
      </w:pPr>
      <w:bookmarkStart w:id="59" w:name="_Toc243721704"/>
      <w:r>
        <w:t xml:space="preserve">CHƯƠNG 4. KẾT QUẢ, KIỂM THỬ VÀ ĐÁNH GIÁ</w:t>
      </w:r>
      <w:bookmarkEnd w:id="59"/>
    </w:p>
    <w:p>
      <w:pPr>
        <w:pStyle w:val="Heading3"/>
      </w:pPr>
      <w:bookmarkStart w:id="60" w:name="_Toc243721705"/>
      <w:r>
        <w:t xml:space="preserve">4.1. Kết quả công việc</w:t>
      </w:r>
      <w:bookmarkEnd w:id="60"/>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Pr>
        <w:pStyle w:val="DoanVB"/>
        <w:keepNext/>
        <w:jc w:val="center"/>
      </w:pPr>
      <w:bookmarkStart w:id="61"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1"/>
    </w:p>
    <w:p/>
    <w:p>
      <w:pPr>
        <w:pStyle w:val="Heading3"/>
      </w:pPr>
      <w:bookmarkStart w:id="62" w:name="_Toc243721706"/>
      <w:r>
        <w:t xml:space="preserve">4.2. Các trường hợp cần kiểm tra mô hình</w:t>
      </w:r>
      <w:bookmarkEnd w:id="62"/>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Pr>
        <w:pStyle w:val="DoanVB"/>
        <w:keepNext/>
        <w:jc w:val="center"/>
      </w:pPr>
      <w:bookmarkStart w:id="63"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3"/>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4" w:name="_Toc243721707"/>
      <w:r>
        <w:t xml:space="preserve">4.3. Cách đọc kết quả đánh giá</w:t>
      </w:r>
      <w:bookmarkEnd w:id="64"/>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5" w:name="_Toc243721708"/>
      <w:r>
        <w:t xml:space="preserve">4.4. Đánh giá chung</w:t>
      </w:r>
      <w:bookmarkEnd w:id="65"/>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6" w:name="_Toc243721709"/>
      <w:r>
        <w:t xml:space="preserve">4.5. Hạn chế và hướng cải thiện</w:t>
      </w:r>
      <w:bookmarkEnd w:id="66"/>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7" w:name="_Toc243721710"/>
      <w:r>
        <w:t xml:space="preserve">PHẦN III. NHẬN XÉT VÀ ĐỀ XUẤT</w:t>
      </w:r>
      <w:bookmarkEnd w:id="67"/>
    </w:p>
    <w:p>
      <w:pPr>
        <w:pStyle w:val="Heading2"/>
      </w:pPr>
      <w:bookmarkStart w:id="68" w:name="_Toc243721711"/>
      <w:r>
        <w:t xml:space="preserve">3.1. Kiến thức và kỹ năng thu nhận được</w:t>
      </w:r>
      <w:bookmarkEnd w:id="68"/>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69" w:name="_Toc243721712"/>
      <w:r>
        <w:t xml:space="preserve">3.2. Khó khăn và cách khắc phục</w:t>
      </w:r>
      <w:bookmarkEnd w:id="69"/>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0" w:name="_Toc243721713"/>
      <w:r>
        <w:t xml:space="preserve">3.3. Đề xuất</w:t>
      </w:r>
      <w:bookmarkEnd w:id="70"/>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1" w:name="_Toc243721714"/>
      <w:r>
        <w:rPr>
          <w:sz w:val="28"/>
          <w:szCs w:val="28"/>
        </w:rPr>
        <w:t xml:space="preserve">KẾT LUẬN VÀ HƯỚNG PHÁT TRIỂN</w:t>
      </w:r>
      <w:bookmarkEnd w:id="71"/>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2" w:name="_Toc243721715"/>
      <w:r>
        <w:rPr>
          <w:sz w:val="28"/>
          <w:szCs w:val="28"/>
        </w:rPr>
        <w:t xml:space="preserve">TÀI LIỆU THAM KHẢO</w:t>
      </w:r>
      <w:bookmarkEnd w:id="72"/>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pPr/>
      <w:r>
        <w:t>7. FPT Smart Cloud. Thông tin chủ sở hữu website. https://microsoft.fptcloud.com/thong-tin-chu-so-huu-website/ (truy cập ngày 24/10/2026).</w:t>
      </w:r>
    </w:p>
    <w:p>
      <w:pPr/>
      <w:r>
        <w:t>8. Apps Run The World. FPT Smart Cloud company profile (ước tính doanh thu năm 2024). https://www.appsruntheworld.com/customers-database/customers/view/fpt-smart-cloud-vietnam (truy cập ngày 24/10/2026).</w:t>
      </w:r>
    </w:p>
    <w:p>
      <w:pPr/>
      <w:r>
        <w:t>9. FPT. FPT Appoints New Deputy CEO of FPT Smart Cloud and CEO of FPT Online. https://fpt.com/en/news/fpt-appoints-new-deputy-ceo-of-fpt-smart-cloud-and-ceo-of-fpt-online (truy cập ngày 24/10/2026).</w:t>
      </w:r>
    </w:p>
    <w:p>
      <w:pPr/>
      <w:r>
        <w:t>10. FPT. Dịch vụ CNTT cho thị trường trong nước, Báo cáo thường niên 2025. https://bctn2025.fpt.com/vi/phan-tich-hoat-dong-kinh-doanh/khoi-cong-nghe/dich-vu-cntt-cho-thi-truong-trong-nuoc/ (truy cập ngày 24/10/2026).</w:t>
      </w:r>
    </w:p>
    <w:sectPr>
      <w:footerReference w:type="default" r:id="rId1"/>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endnotes" Target="endnotes.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11620</Words>
  <Paragraphs>763</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6</cp:revision>
  <dcterms:created xsi:type="dcterms:W3CDTF">2026-10-24T01:06:00Z</dcterms:created>
  <dcterms:modified xsi:type="dcterms:W3CDTF">2026-10-24T01:44:08Z</dcterms:modified>
</cp:coreProperties>
</file>