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color w:val="1F4E78"/>
          <w:sz w:val="36"/>
        </w:rPr>
        <w:t>TỔNG HỢP VĂN BẢN BỘ Y TẾ &amp; BẢO HIỂM XÃ HỘI ÁP DỤNG CHO BỆNH VIỆN THÔNG MINH</w:t>
      </w:r>
    </w:p>
    <w:p>
      <w:pPr>
        <w:spacing w:after="120" w:line="276" w:lineRule="auto"/>
      </w:pPr>
      <w:r>
        <w:t xml:space="preserve">Tài liệu này tổng hợp toàn bộ các văn bản quy phạm pháp luật, quyết định chiến lược và công văn hướng dẫn kỹ thuật của </w:t>
      </w:r>
      <w:r>
        <w:rPr>
          <w:b/>
        </w:rPr>
        <w:t>Bộ Y tế (BYT)</w:t>
      </w:r>
      <w:r>
        <w:t xml:space="preserve"> và </w:t>
      </w:r>
      <w:r>
        <w:rPr>
          <w:b/>
        </w:rPr>
        <w:t>Bảo hiểm xã hội Việt Nam (BHXH)</w:t>
      </w:r>
      <w:r>
        <w:t xml:space="preserve"> liên quan trực tiếp đến việc xây dựng mô hình Bệnh viện thông minh (BVTM), liên thông dữ liệu và triển khai Bệnh án điện tử (EMR).</w:t>
      </w:r>
    </w:p>
    <w:p>
      <w:pPr>
        <w:spacing w:after="120" w:line="276" w:lineRule="auto"/>
      </w:pPr>
      <w:r>
        <w:t>---</w:t>
      </w:r>
    </w:p>
    <w:p>
      <w:pPr>
        <w:spacing w:before="240" w:after="120"/>
      </w:pPr>
      <w:r>
        <w:rPr>
          <w:b/>
          <w:color w:val="2E74B5"/>
          <w:sz w:val="28"/>
        </w:rPr>
        <w:t>1. Các văn bản quy định của Bộ Y tế (BYT)</w:t>
      </w:r>
    </w:p>
    <w:p>
      <w:pPr>
        <w:spacing w:after="120" w:line="276" w:lineRule="auto"/>
      </w:pPr>
      <w:r>
        <w:t>Bộ Y tế chịu trách nhiệm ban hành các tiêu chuẩn chuyên môn, bộ tiêu chí CNTT y tế và quy chế pháp lý cho hồ sơ bệnh án điện tử.</w:t>
      </w:r>
    </w:p>
    <w:p>
      <w:pPr>
        <w:spacing w:before="200" w:after="80"/>
      </w:pPr>
      <w:r>
        <w:rPr>
          <w:b/>
          <w:color w:val="595959"/>
          <w:sz w:val="24"/>
        </w:rPr>
        <w:t>1.1. Văn bản Quy phạm Pháp luật &amp; Hồ sơ Bệnh án điện tử</w:t>
      </w:r>
    </w:p>
    <w:p>
      <w:pPr>
        <w:pStyle w:val="ListBullet"/>
        <w:spacing w:after="60"/>
      </w:pPr>
      <w:r>
        <w:t xml:space="preserve">  </w:t>
      </w:r>
      <w:r>
        <w:rPr>
          <w:b/>
        </w:rPr>
        <w:t>Thông tư số 13/2025/TT-BYT</w:t>
      </w:r>
      <w:r>
        <w:t xml:space="preserve"> *(Ban hành ngày 06/06/2025)*:</w:t>
      </w:r>
    </w:p>
    <w:p>
      <w:pPr>
        <w:pStyle w:val="ListBullet"/>
        <w:spacing w:after="60"/>
      </w:pPr>
      <w:r>
        <w:t xml:space="preserve">  *Nội dung:* Văn bản mới nhất hướng dẫn triển khai hồ sơ bệnh án điện tử (BAĐT), cập nhật và bổ sung các quy trình pháp lý.</w:t>
      </w:r>
    </w:p>
    <w:p>
      <w:pPr>
        <w:pStyle w:val="ListBullet"/>
        <w:spacing w:after="60"/>
      </w:pPr>
      <w:r>
        <w:t xml:space="preserve">  *Vai trò:* Quy định chi tiết các nguyên tắc quản lý dữ liệu lâm sàng, yêu cầu hạ tầng bảo mật thông tin và khẳng định giá trị pháp lý của BAĐT tương đương hồ sơ bệnh án giấy.</w:t>
      </w:r>
    </w:p>
    <w:p>
      <w:pPr>
        <w:pStyle w:val="ListBullet"/>
        <w:spacing w:after="60"/>
      </w:pPr>
      <w:r>
        <w:t xml:space="preserve">  </w:t>
      </w:r>
      <w:r>
        <w:rPr>
          <w:b/>
        </w:rPr>
        <w:t>Thông tư số 46/2018/TT-BYT</w:t>
      </w:r>
      <w:r>
        <w:t xml:space="preserve"> *(Ban hành ngày 28/12/2018)*:</w:t>
      </w:r>
    </w:p>
    <w:p>
      <w:pPr>
        <w:pStyle w:val="ListBullet"/>
        <w:spacing w:after="60"/>
      </w:pPr>
      <w:r>
        <w:t xml:space="preserve">  *Nội dung:* Quy định hồ sơ bệnh án điện tử.</w:t>
      </w:r>
    </w:p>
    <w:p>
      <w:pPr>
        <w:pStyle w:val="ListBullet"/>
        <w:spacing w:after="60"/>
      </w:pPr>
      <w:r>
        <w:t xml:space="preserve">  *Vai trò:* Văn bản nền tảng quy định về việc lập, sử dụng, ký số và quản lý hồ sơ bệnh án điện tử tại các cơ sở khám bệnh, chữa bệnh trên toàn quốc.</w:t>
      </w:r>
    </w:p>
    <w:p>
      <w:pPr>
        <w:pStyle w:val="ListBullet"/>
        <w:spacing w:after="60"/>
      </w:pPr>
      <w:r>
        <w:t xml:space="preserve">  </w:t>
      </w:r>
      <w:r>
        <w:rPr>
          <w:b/>
        </w:rPr>
        <w:t>Thông tư số 54/2017/TT-BYT</w:t>
      </w:r>
      <w:r>
        <w:t xml:space="preserve"> *(Ban hành ngày 29/12/2017)*:</w:t>
      </w:r>
    </w:p>
    <w:p>
      <w:pPr>
        <w:pStyle w:val="ListBullet"/>
        <w:spacing w:after="60"/>
      </w:pPr>
      <w:r>
        <w:t xml:space="preserve">  *Nội dung:* Ban hành Bộ tiêu chí ứng dụng công nghệ thông tin tại các cơ sở khám bệnh, chữa bệnh.</w:t>
      </w:r>
    </w:p>
    <w:p>
      <w:pPr>
        <w:pStyle w:val="ListBullet"/>
        <w:spacing w:after="60"/>
      </w:pPr>
      <w:r>
        <w:t xml:space="preserve">  *Vai trò:* Quy định các tiêu chí CNTT từ Mức 1 đến Mức 7. Trong đó, cơ sở y tế phải đạt tối thiểu </w:t>
      </w:r>
      <w:r>
        <w:rPr>
          <w:b/>
        </w:rPr>
        <w:t>Mức 6</w:t>
      </w:r>
      <w:r>
        <w:t xml:space="preserve"> (Bệnh án điện tử/Bệnh viện không giấy) và hướng tới </w:t>
      </w:r>
      <w:r>
        <w:rPr>
          <w:b/>
        </w:rPr>
        <w:t>Mức 7</w:t>
      </w:r>
      <w:r>
        <w:t xml:space="preserve"> để được công nhận là </w:t>
      </w:r>
      <w:r>
        <w:rPr>
          <w:b/>
        </w:rPr>
        <w:t>Bệnh viện thông minh</w:t>
      </w:r>
      <w:r>
        <w:t>.</w:t>
      </w:r>
    </w:p>
    <w:p>
      <w:pPr>
        <w:pStyle w:val="ListBullet"/>
        <w:spacing w:after="60"/>
      </w:pPr>
      <w:r>
        <w:t xml:space="preserve">  </w:t>
      </w:r>
      <w:r>
        <w:rPr>
          <w:b/>
        </w:rPr>
        <w:t>Thông tư số 32/2023/TT-BYT</w:t>
      </w:r>
      <w:r>
        <w:t xml:space="preserve"> *(Ban hành ngày 31/12/2023)*:</w:t>
      </w:r>
    </w:p>
    <w:p>
      <w:pPr>
        <w:pStyle w:val="ListBullet"/>
        <w:spacing w:after="60"/>
      </w:pPr>
      <w:r>
        <w:t xml:space="preserve">  *Nội dung:* Quy định chi tiết một số điều của Luật Khám bệnh, chữa bệnh.</w:t>
      </w:r>
    </w:p>
    <w:p>
      <w:pPr>
        <w:pStyle w:val="ListBullet"/>
        <w:spacing w:after="60"/>
      </w:pPr>
      <w:r>
        <w:t xml:space="preserve">  *Vai trò:* Quy chuẩn hóa các hoạt động số hóa quy trình y tế, ứng dụng chữ ký số và quản lý thông tin bệnh nhân trên hệ thống mạng.</w:t>
      </w:r>
    </w:p>
    <w:p>
      <w:pPr>
        <w:pStyle w:val="ListBullet"/>
        <w:spacing w:after="60"/>
      </w:pPr>
      <w:r>
        <w:t xml:space="preserve">  </w:t>
      </w:r>
      <w:r>
        <w:rPr>
          <w:b/>
        </w:rPr>
        <w:t>Thông tư số 26/2025/TT-BYT</w:t>
      </w:r>
      <w:r>
        <w:t xml:space="preserve"> *(Ban hành ngày 30/06/2025, hiệu lực từ 01/07/2025)*:</w:t>
      </w:r>
    </w:p>
    <w:p>
      <w:pPr>
        <w:pStyle w:val="ListBullet"/>
        <w:spacing w:after="60"/>
      </w:pPr>
      <w:r>
        <w:t xml:space="preserve">  *Nội dung:* Quy định về kê đơn thuốc hóa dược, thuốc dược liệu, thuốc cổ truyền trong điều trị ngoại trú. (Thay thế Thông tư 52/2017, 18/2018, 27/2021 và 04/2022).</w:t>
      </w:r>
    </w:p>
    <w:p>
      <w:pPr>
        <w:pStyle w:val="ListBullet"/>
        <w:spacing w:after="60"/>
      </w:pPr>
      <w:r>
        <w:t xml:space="preserve">  *Vai trò:* Bắt buộc áp dụng kê đơn thuốc điện tử (trước 01/10/2025 với bệnh viện và trước 01/01/2026 với các cơ sở khác); quy định kê đơn thuốc bệnh mạn tính dài ngày tối đa lên tới 90 ngày.</w:t>
      </w:r>
    </w:p>
    <w:p>
      <w:pPr>
        <w:spacing w:before="200" w:after="80"/>
      </w:pPr>
      <w:r>
        <w:rPr>
          <w:b/>
          <w:color w:val="595959"/>
          <w:sz w:val="24"/>
        </w:rPr>
        <w:t>1.2. Chuẩn dữ liệu đầu ra &amp; Liên thông dữ liệu</w:t>
      </w:r>
    </w:p>
    <w:p>
      <w:pPr>
        <w:pStyle w:val="ListBullet"/>
        <w:spacing w:after="60"/>
      </w:pPr>
      <w:r>
        <w:t xml:space="preserve">  </w:t>
      </w:r>
      <w:r>
        <w:rPr>
          <w:b/>
        </w:rPr>
        <w:t>Quyết định số 130/QĐ-BYT</w:t>
      </w:r>
      <w:r>
        <w:t xml:space="preserve"> *(Ban hành ngày 18/01/2023)*:</w:t>
      </w:r>
    </w:p>
    <w:p>
      <w:pPr>
        <w:pStyle w:val="ListBullet"/>
        <w:spacing w:after="60"/>
      </w:pPr>
      <w:r>
        <w:t xml:space="preserve">  *Nội dung:* Quy định chuẩn và định dạng dữ liệu đầu ra phục vụ việc quản lý, giám định, thanh toán chi phí KCB BHYT.</w:t>
      </w:r>
    </w:p>
    <w:p>
      <w:pPr>
        <w:pStyle w:val="ListBullet"/>
        <w:spacing w:after="60"/>
      </w:pPr>
      <w:r>
        <w:t xml:space="preserve">  *Vai trò:* Quy định cấu trúc file XML đầu ra bắt buộc gửi lên cổng giám định BHYT của Bảo hiểm xã hội.</w:t>
      </w:r>
    </w:p>
    <w:p>
      <w:pPr>
        <w:pStyle w:val="ListBullet"/>
        <w:spacing w:after="60"/>
      </w:pPr>
      <w:r>
        <w:t xml:space="preserve">  </w:t>
      </w:r>
      <w:r>
        <w:rPr>
          <w:b/>
        </w:rPr>
        <w:t>Quyết định số 4750/QĐ-BYT</w:t>
      </w:r>
      <w:r>
        <w:t xml:space="preserve"> *(Ban hành ngày 29/12/2023)*:</w:t>
      </w:r>
    </w:p>
    <w:p>
      <w:pPr>
        <w:pStyle w:val="ListBullet"/>
        <w:spacing w:after="60"/>
      </w:pPr>
      <w:r>
        <w:t xml:space="preserve">  *Nội dung:* Sửa đổi, bổ sung một số điều của Quyết định số 130/QĐ-BYT.</w:t>
      </w:r>
    </w:p>
    <w:p>
      <w:pPr>
        <w:pStyle w:val="ListBullet"/>
        <w:spacing w:after="60"/>
      </w:pPr>
      <w:r>
        <w:t xml:space="preserve">  *Vai trò:* Hoàn thiện cấu trúc bảng chỉ tiêu liên thông dữ liệu (như bảng check-in, giấy chuyển tuyến điện tử, giấy hẹn khám lại điện tử).</w:t>
      </w:r>
    </w:p>
    <w:p>
      <w:pPr>
        <w:pStyle w:val="ListBullet"/>
        <w:spacing w:after="60"/>
      </w:pPr>
      <w:r>
        <w:t xml:space="preserve">  </w:t>
      </w:r>
      <w:r>
        <w:rPr>
          <w:b/>
        </w:rPr>
        <w:t>Quyết định số 2010/QĐ-BYT</w:t>
      </w:r>
      <w:r>
        <w:t xml:space="preserve"> *(Ban hành năm 2025)*:</w:t>
      </w:r>
    </w:p>
    <w:p>
      <w:pPr>
        <w:pStyle w:val="ListBullet"/>
        <w:spacing w:after="60"/>
      </w:pPr>
      <w:r>
        <w:t xml:space="preserve">  *Nội dung:* Ban hành danh mục mã dùng chung áp dụng trong quản lý, giám định và thanh toán chi phí KCB BHYT.</w:t>
      </w:r>
    </w:p>
    <w:p>
      <w:pPr>
        <w:spacing w:before="200" w:after="80"/>
      </w:pPr>
      <w:r>
        <w:rPr>
          <w:b/>
          <w:color w:val="595959"/>
          <w:sz w:val="24"/>
        </w:rPr>
        <w:t>1.3. Chiến lược phát triển Nền tảng số Y tế</w:t>
      </w:r>
    </w:p>
    <w:p>
      <w:pPr>
        <w:pStyle w:val="ListBullet"/>
        <w:spacing w:after="60"/>
      </w:pPr>
      <w:r>
        <w:t xml:space="preserve">  </w:t>
      </w:r>
      <w:r>
        <w:rPr>
          <w:b/>
        </w:rPr>
        <w:t>Quyết định số 2955/QĐ-BYT</w:t>
      </w:r>
      <w:r>
        <w:t xml:space="preserve"> *(Ban hành ngày 28/10/2022)*:</w:t>
      </w:r>
    </w:p>
    <w:p>
      <w:pPr>
        <w:pStyle w:val="ListBullet"/>
        <w:spacing w:after="60"/>
      </w:pPr>
      <w:r>
        <w:t xml:space="preserve">  *Nội dung:* Phê duyệt Kế hoạch thúc đẩy phát triển và sử dụng các nền tảng số y tế thực hiện Chương trình chuyển đổi số quốc gia đến năm 2025, định hướng đến năm 2030.</w:t>
      </w:r>
    </w:p>
    <w:p>
      <w:pPr>
        <w:pStyle w:val="ListBullet"/>
        <w:spacing w:after="60"/>
      </w:pPr>
      <w:r>
        <w:t xml:space="preserve">  *Vai trò:* Thúc đẩy triển khai 4 nhóm nền tảng số cốt lõi: HIS, LIS, RIS-PACS và EMR tại cơ sở y tế.</w:t>
      </w:r>
    </w:p>
    <w:p>
      <w:pPr>
        <w:pStyle w:val="ListBullet"/>
        <w:spacing w:after="60"/>
      </w:pPr>
      <w:r>
        <w:t xml:space="preserve">  </w:t>
      </w:r>
      <w:r>
        <w:rPr>
          <w:b/>
        </w:rPr>
        <w:t>Quyết định số 823/QĐ-BYT</w:t>
      </w:r>
      <w:r>
        <w:t xml:space="preserve"> *(Ban hành năm 2023)*:</w:t>
      </w:r>
    </w:p>
    <w:p>
      <w:pPr>
        <w:pStyle w:val="ListBullet"/>
        <w:spacing w:after="60"/>
      </w:pPr>
      <w:r>
        <w:t xml:space="preserve">  *Nội dung:* Phê duyệt Kế hoạch triển khai Nền tảng hỗ trợ tư vấn khám chữa bệnh từ xa (VTelehealth) năm 2023.</w:t>
      </w:r>
    </w:p>
    <w:p>
      <w:pPr>
        <w:pStyle w:val="ListBullet"/>
        <w:spacing w:after="60"/>
      </w:pPr>
      <w:r>
        <w:t xml:space="preserve">  </w:t>
      </w:r>
      <w:r>
        <w:rPr>
          <w:b/>
        </w:rPr>
        <w:t>Quyết định số 1923/QĐ-BYT</w:t>
      </w:r>
      <w:r>
        <w:t xml:space="preserve"> *(Ban hành năm 2023)*:</w:t>
      </w:r>
    </w:p>
    <w:p>
      <w:pPr>
        <w:pStyle w:val="ListBullet"/>
        <w:spacing w:after="60"/>
      </w:pPr>
      <w:r>
        <w:t xml:space="preserve">  *Nội dung:* Phê duyệt Kế hoạch triển khai Nền tảng Hồ sơ sức khỏe điện tử (VHR) năm 2023.</w:t>
      </w:r>
    </w:p>
    <w:p>
      <w:pPr>
        <w:pStyle w:val="ListBullet"/>
        <w:spacing w:after="60"/>
      </w:pPr>
      <w:r>
        <w:t xml:space="preserve">  </w:t>
      </w:r>
      <w:r>
        <w:rPr>
          <w:b/>
        </w:rPr>
        <w:t>Quyết định số 28/QĐ-BYT</w:t>
      </w:r>
      <w:r>
        <w:t xml:space="preserve"> *(Ban hành năm 2021)*:</w:t>
      </w:r>
    </w:p>
    <w:p>
      <w:pPr>
        <w:pStyle w:val="ListBullet"/>
        <w:spacing w:after="60"/>
      </w:pPr>
      <w:r>
        <w:t xml:space="preserve">  *Nội dung:* Ban hành Bộ tiêu chí CNTT để thực hiện hoạt động y tế từ xa (Telehealth) với 05 mức đánh giá.</w:t>
      </w:r>
    </w:p>
    <w:p>
      <w:pPr>
        <w:pStyle w:val="ListBullet"/>
        <w:spacing w:after="60"/>
      </w:pPr>
      <w:r>
        <w:t xml:space="preserve">  </w:t>
      </w:r>
      <w:r>
        <w:rPr>
          <w:b/>
        </w:rPr>
        <w:t>Nghị quyết số 157-NQ/BCSD</w:t>
      </w:r>
      <w:r>
        <w:t xml:space="preserve"> *(Ban hành ngày 03/02/2023)*:</w:t>
      </w:r>
    </w:p>
    <w:p>
      <w:pPr>
        <w:pStyle w:val="ListBullet"/>
        <w:spacing w:after="60"/>
      </w:pPr>
      <w:r>
        <w:t xml:space="preserve">  *Nội dung:* Nghị quyết của Ban Cán sự Đảng Bộ Y tế về Chuyển đổi số y tế đến năm 2025, định hướng đến năm 2030.</w:t>
      </w:r>
    </w:p>
    <w:p>
      <w:pPr>
        <w:pStyle w:val="ListBullet"/>
        <w:spacing w:after="60"/>
      </w:pPr>
      <w:r>
        <w:t xml:space="preserve">  </w:t>
      </w:r>
      <w:r>
        <w:rPr>
          <w:b/>
        </w:rPr>
        <w:t>Quyết định số 1710/QĐ-BYT</w:t>
      </w:r>
      <w:r>
        <w:t xml:space="preserve"> *(Ban hành năm 2023)*:</w:t>
      </w:r>
    </w:p>
    <w:p>
      <w:pPr>
        <w:pStyle w:val="ListBullet"/>
        <w:spacing w:after="60"/>
      </w:pPr>
      <w:r>
        <w:t xml:space="preserve">  *Nội dung:* Ban hành Kế hoạch hành động của Bộ Y tế thực hiện Nghị quyết số 157-NQ/BCSD.</w:t>
      </w:r>
    </w:p>
    <w:p>
      <w:pPr>
        <w:pStyle w:val="ListBullet"/>
        <w:spacing w:after="60"/>
      </w:pPr>
      <w:r>
        <w:t xml:space="preserve">  </w:t>
      </w:r>
      <w:r>
        <w:rPr>
          <w:b/>
        </w:rPr>
        <w:t>Công văn số 1295/KCB-BYT</w:t>
      </w:r>
      <w:r>
        <w:t xml:space="preserve"> *(Cục Quản lý Khám, chữa bệnh)*:</w:t>
      </w:r>
    </w:p>
    <w:p>
      <w:pPr>
        <w:pStyle w:val="ListBullet"/>
        <w:spacing w:after="60"/>
      </w:pPr>
      <w:r>
        <w:t xml:space="preserve">  *Nội dung:* Phản hồi Công văn số 3700/BHXH-CNTT của BHXH Việt Nam nhằm thống nhất các phương án kỹ thuật và danh mục liên thông dữ liệu.</w:t>
      </w:r>
    </w:p>
    <w:p>
      <w:pPr>
        <w:spacing w:after="120" w:line="276" w:lineRule="auto"/>
      </w:pPr>
      <w:r>
        <w:t>---</w:t>
      </w:r>
    </w:p>
    <w:p>
      <w:pPr>
        <w:spacing w:before="240" w:after="120"/>
      </w:pPr>
      <w:r>
        <w:rPr>
          <w:b/>
          <w:color w:val="2E74B5"/>
          <w:sz w:val="28"/>
        </w:rPr>
        <w:t>2. Các văn bản quy định của Bảo hiểm xã hội Việt Nam (BHXH)</w:t>
      </w:r>
    </w:p>
    <w:p>
      <w:pPr>
        <w:spacing w:after="120" w:line="276" w:lineRule="auto"/>
      </w:pPr>
      <w:r>
        <w:t>BHXH Việt Nam chịu trách nhiệm xây dựng cổng tiếp nhận dữ liệu giám định BHYT, quy chuẩn hóa định dạng kết nối XML và quy trình giám định thanh toán điện tử.</w:t>
      </w:r>
    </w:p>
    <w:p>
      <w:pPr>
        <w:pStyle w:val="ListBullet"/>
        <w:spacing w:after="60"/>
      </w:pPr>
      <w:r>
        <w:t xml:space="preserve">  </w:t>
      </w:r>
      <w:r>
        <w:rPr>
          <w:b/>
        </w:rPr>
        <w:t>Quyết định số 3618/QĐ-BHXH</w:t>
      </w:r>
      <w:r>
        <w:t xml:space="preserve"> *(Ban hành ngày 12/12/2022, áp dụng từ 01/01/2023)*:</w:t>
      </w:r>
    </w:p>
    <w:p>
      <w:pPr>
        <w:pStyle w:val="ListBullet"/>
        <w:spacing w:after="60"/>
      </w:pPr>
      <w:r>
        <w:t xml:space="preserve">  *Nội dung:* Ban hành Quy trình giám định Bảo hiểm y tế.</w:t>
      </w:r>
    </w:p>
    <w:p>
      <w:pPr>
        <w:pStyle w:val="ListBullet"/>
        <w:spacing w:after="60"/>
      </w:pPr>
      <w:r>
        <w:t xml:space="preserve">  *Vai trò:* Quy định việc giám định tự động thông qua phần mềm đối chiếu dữ liệu XML liên thông từ các cơ sở khám chữa bệnh. Đây là căn cứ để bệnh viện thiết lập hệ thống cảnh báo, validate dữ liệu EMR tự động trước khi đẩy lên cổng BHXH.</w:t>
      </w:r>
    </w:p>
    <w:p>
      <w:pPr>
        <w:pStyle w:val="ListBullet"/>
        <w:spacing w:after="60"/>
      </w:pPr>
      <w:r>
        <w:t xml:space="preserve">  </w:t>
      </w:r>
      <w:r>
        <w:rPr>
          <w:b/>
        </w:rPr>
        <w:t>Quyết định số 917/QĐ-BHXH</w:t>
      </w:r>
      <w:r>
        <w:t xml:space="preserve"> *(Ban hành của Tổng Giám đốc BHXH Việt Nam)*:</w:t>
      </w:r>
    </w:p>
    <w:p>
      <w:pPr>
        <w:pStyle w:val="ListBullet"/>
        <w:spacing w:after="60"/>
      </w:pPr>
      <w:r>
        <w:t xml:space="preserve">  *Nội dung:* Ban hành cổng tiếp nhận dữ liệu Hệ thống thông tin giám định BHYT phiên bản 2.0.</w:t>
      </w:r>
    </w:p>
    <w:p>
      <w:pPr>
        <w:pStyle w:val="ListBullet"/>
        <w:spacing w:after="60"/>
      </w:pPr>
      <w:r>
        <w:t xml:space="preserve">  *Vai trò:* Quy chuẩn kỹ thuật về kênh truyền, định dạng nén file dữ liệu, quy định đăng ký chứng thư số của cơ sở y tế và bác sĩ điều trị phục vụ ký số xác thực dữ liệu đầu ra gửi BHXH.</w:t>
      </w:r>
    </w:p>
    <w:p>
      <w:pPr>
        <w:pStyle w:val="ListBullet"/>
        <w:spacing w:after="60"/>
      </w:pPr>
      <w:r>
        <w:t xml:space="preserve">  </w:t>
      </w:r>
      <w:r>
        <w:rPr>
          <w:b/>
        </w:rPr>
        <w:t>Công văn số 3700/BHXH-CNTT</w:t>
      </w:r>
      <w:r>
        <w:t xml:space="preserve"> *(Ban hành của BHXH Việt Nam)*:</w:t>
      </w:r>
    </w:p>
    <w:p>
      <w:pPr>
        <w:pStyle w:val="ListBullet"/>
        <w:spacing w:after="60"/>
      </w:pPr>
      <w:r>
        <w:t xml:space="preserve">  *Nội dung:* Hướng dẫn các cơ sở khám chữa bệnh kết nối, liên thông dữ liệu điều trị dựa trên định dạng XML và hướng dẫn đăng ký chữ ký số SmartCA của cán bộ y tế trên cổng giám định BHYT quốc gia.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