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4F90" w14:textId="5F05176C" w:rsidR="00F97274" w:rsidRDefault="00F97274" w:rsidP="00F97274">
      <w:pPr>
        <w:jc w:val="center"/>
      </w:pPr>
      <w:r>
        <w:t>Dynamic Systems and Controls</w:t>
      </w:r>
    </w:p>
    <w:p w14:paraId="5950EE73" w14:textId="616062DF" w:rsidR="00F97274" w:rsidRDefault="00F97274" w:rsidP="00F97274">
      <w:pPr>
        <w:jc w:val="center"/>
      </w:pPr>
      <w:r>
        <w:t>Prelab 11</w:t>
      </w:r>
    </w:p>
    <w:p w14:paraId="49BE00A5" w14:textId="0AECA1BC" w:rsidR="00F97274" w:rsidRDefault="00F97274" w:rsidP="00F97274">
      <w:pPr>
        <w:jc w:val="center"/>
      </w:pPr>
      <w:r>
        <w:t>Kieran Cosgrove</w:t>
      </w:r>
    </w:p>
    <w:p w14:paraId="33056F48" w14:textId="3023721D" w:rsidR="00F97274" w:rsidRDefault="00F97274" w:rsidP="00F97274">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2103"/>
        <w:gridCol w:w="2361"/>
        <w:gridCol w:w="2253"/>
        <w:gridCol w:w="1913"/>
      </w:tblGrid>
      <w:tr w:rsidR="00CF2049" w14:paraId="7FC6338D" w14:textId="4BAF31F4" w:rsidTr="00CF2049">
        <w:tc>
          <w:tcPr>
            <w:tcW w:w="2103" w:type="dxa"/>
          </w:tcPr>
          <w:p w14:paraId="5C24AC37" w14:textId="21CBBEBA" w:rsidR="00CF2049" w:rsidRDefault="00CF2049" w:rsidP="00F97274">
            <w:pPr>
              <w:pStyle w:val="ListParagraph"/>
              <w:ind w:left="0"/>
            </w:pPr>
            <w:r>
              <w:t>Speed (rad/s)</w:t>
            </w:r>
          </w:p>
        </w:tc>
        <w:tc>
          <w:tcPr>
            <w:tcW w:w="2361" w:type="dxa"/>
          </w:tcPr>
          <w:p w14:paraId="05EF94A6" w14:textId="1A7C5A80" w:rsidR="00CF2049" w:rsidRDefault="00CF2049" w:rsidP="00F97274">
            <w:pPr>
              <w:pStyle w:val="ListParagraph"/>
              <w:ind w:left="0"/>
            </w:pPr>
            <w:proofErr w:type="spellStart"/>
            <w:r>
              <w:t>Pwm</w:t>
            </w:r>
            <w:proofErr w:type="spellEnd"/>
            <w:r>
              <w:t xml:space="preserve"> experimental (int)</w:t>
            </w:r>
          </w:p>
        </w:tc>
        <w:tc>
          <w:tcPr>
            <w:tcW w:w="2253" w:type="dxa"/>
          </w:tcPr>
          <w:p w14:paraId="53264F8A" w14:textId="4149AC68" w:rsidR="00CF2049" w:rsidRDefault="00CF2049" w:rsidP="00F97274">
            <w:pPr>
              <w:pStyle w:val="ListParagraph"/>
              <w:ind w:left="0"/>
            </w:pPr>
            <w:proofErr w:type="spellStart"/>
            <w:r>
              <w:t>Pwm</w:t>
            </w:r>
            <w:proofErr w:type="spellEnd"/>
            <w:r>
              <w:t xml:space="preserve"> simulation (int)</w:t>
            </w:r>
          </w:p>
        </w:tc>
        <w:tc>
          <w:tcPr>
            <w:tcW w:w="1913" w:type="dxa"/>
          </w:tcPr>
          <w:p w14:paraId="1B1C475E" w14:textId="44F899CA" w:rsidR="00CF2049" w:rsidRDefault="00CF2049" w:rsidP="00F97274">
            <w:pPr>
              <w:pStyle w:val="ListParagraph"/>
              <w:ind w:left="0"/>
            </w:pPr>
            <w:r>
              <w:t>Difference (%)</w:t>
            </w:r>
          </w:p>
        </w:tc>
      </w:tr>
      <w:tr w:rsidR="00CF2049" w14:paraId="449AA337" w14:textId="26EA9FF1" w:rsidTr="00CF2049">
        <w:tc>
          <w:tcPr>
            <w:tcW w:w="2103" w:type="dxa"/>
          </w:tcPr>
          <w:p w14:paraId="71B4A0EE" w14:textId="2804A5EC" w:rsidR="00CF2049" w:rsidRDefault="00CF2049" w:rsidP="00F97274">
            <w:pPr>
              <w:pStyle w:val="ListParagraph"/>
              <w:ind w:left="0"/>
              <w:jc w:val="center"/>
            </w:pPr>
            <w:r>
              <w:t>260</w:t>
            </w:r>
          </w:p>
        </w:tc>
        <w:tc>
          <w:tcPr>
            <w:tcW w:w="2361" w:type="dxa"/>
          </w:tcPr>
          <w:p w14:paraId="398EBC47" w14:textId="7E18638E" w:rsidR="00CF2049" w:rsidRDefault="00CF2049" w:rsidP="00F97274">
            <w:pPr>
              <w:pStyle w:val="ListParagraph"/>
              <w:ind w:left="0"/>
              <w:jc w:val="center"/>
            </w:pPr>
            <w:r>
              <w:t>180</w:t>
            </w:r>
          </w:p>
        </w:tc>
        <w:tc>
          <w:tcPr>
            <w:tcW w:w="2253" w:type="dxa"/>
          </w:tcPr>
          <w:p w14:paraId="33D9C656" w14:textId="14FC13F5" w:rsidR="00CF2049" w:rsidRDefault="00D93D43" w:rsidP="00F97274">
            <w:pPr>
              <w:pStyle w:val="ListParagraph"/>
              <w:ind w:left="0"/>
              <w:jc w:val="center"/>
            </w:pPr>
            <w:r>
              <w:t>174</w:t>
            </w:r>
          </w:p>
        </w:tc>
        <w:tc>
          <w:tcPr>
            <w:tcW w:w="1913" w:type="dxa"/>
          </w:tcPr>
          <w:p w14:paraId="12069C46" w14:textId="3CF38D88" w:rsidR="00CF2049" w:rsidRDefault="00A84485" w:rsidP="00F97274">
            <w:pPr>
              <w:pStyle w:val="ListParagraph"/>
              <w:ind w:left="0"/>
              <w:jc w:val="center"/>
            </w:pPr>
            <w:r>
              <w:t>3.39%</w:t>
            </w:r>
          </w:p>
        </w:tc>
      </w:tr>
      <w:tr w:rsidR="00CF2049" w14:paraId="0A97181A" w14:textId="22A5D3FE" w:rsidTr="00CF2049">
        <w:tc>
          <w:tcPr>
            <w:tcW w:w="2103" w:type="dxa"/>
          </w:tcPr>
          <w:p w14:paraId="7B7443E0" w14:textId="0FC02F5D" w:rsidR="00CF2049" w:rsidRDefault="00CF2049" w:rsidP="00F97274">
            <w:pPr>
              <w:pStyle w:val="ListParagraph"/>
              <w:ind w:left="0"/>
              <w:jc w:val="center"/>
            </w:pPr>
            <w:r>
              <w:t>300</w:t>
            </w:r>
          </w:p>
        </w:tc>
        <w:tc>
          <w:tcPr>
            <w:tcW w:w="2361" w:type="dxa"/>
          </w:tcPr>
          <w:p w14:paraId="365CF2D8" w14:textId="73C99588" w:rsidR="00CF2049" w:rsidRDefault="00CF2049" w:rsidP="00F97274">
            <w:pPr>
              <w:pStyle w:val="ListParagraph"/>
              <w:ind w:left="0"/>
              <w:jc w:val="center"/>
            </w:pPr>
            <w:r>
              <w:t>200</w:t>
            </w:r>
          </w:p>
        </w:tc>
        <w:tc>
          <w:tcPr>
            <w:tcW w:w="2253" w:type="dxa"/>
          </w:tcPr>
          <w:p w14:paraId="26DD15B9" w14:textId="0054E188" w:rsidR="00CF2049" w:rsidRDefault="00D5717A" w:rsidP="00F97274">
            <w:pPr>
              <w:pStyle w:val="ListParagraph"/>
              <w:ind w:left="0"/>
              <w:jc w:val="center"/>
            </w:pPr>
            <w:r>
              <w:t>197</w:t>
            </w:r>
          </w:p>
        </w:tc>
        <w:tc>
          <w:tcPr>
            <w:tcW w:w="1913" w:type="dxa"/>
          </w:tcPr>
          <w:p w14:paraId="4EC27158" w14:textId="37C5D43F" w:rsidR="00CF2049" w:rsidRDefault="00562765" w:rsidP="00F97274">
            <w:pPr>
              <w:pStyle w:val="ListParagraph"/>
              <w:ind w:left="0"/>
              <w:jc w:val="center"/>
            </w:pPr>
            <w:r>
              <w:t>1.51%</w:t>
            </w:r>
          </w:p>
        </w:tc>
      </w:tr>
      <w:tr w:rsidR="00CF2049" w14:paraId="1ADCD3DD" w14:textId="14830E0B" w:rsidTr="00CF2049">
        <w:tc>
          <w:tcPr>
            <w:tcW w:w="2103" w:type="dxa"/>
          </w:tcPr>
          <w:p w14:paraId="61845245" w14:textId="2C6399D3" w:rsidR="00CF2049" w:rsidRDefault="00CF2049" w:rsidP="00F97274">
            <w:pPr>
              <w:pStyle w:val="ListParagraph"/>
              <w:ind w:left="0"/>
              <w:jc w:val="center"/>
            </w:pPr>
            <w:r>
              <w:t>334</w:t>
            </w:r>
          </w:p>
        </w:tc>
        <w:tc>
          <w:tcPr>
            <w:tcW w:w="2361" w:type="dxa"/>
          </w:tcPr>
          <w:p w14:paraId="2C54FD14" w14:textId="0921BEE9" w:rsidR="00CF2049" w:rsidRDefault="00CF2049" w:rsidP="00F97274">
            <w:pPr>
              <w:pStyle w:val="ListParagraph"/>
              <w:ind w:left="0"/>
              <w:jc w:val="center"/>
            </w:pPr>
            <w:r>
              <w:t>220</w:t>
            </w:r>
          </w:p>
        </w:tc>
        <w:tc>
          <w:tcPr>
            <w:tcW w:w="2253" w:type="dxa"/>
          </w:tcPr>
          <w:p w14:paraId="537DC434" w14:textId="0572213B" w:rsidR="00CF2049" w:rsidRDefault="00D5717A" w:rsidP="00F97274">
            <w:pPr>
              <w:pStyle w:val="ListParagraph"/>
              <w:ind w:left="0"/>
              <w:jc w:val="center"/>
            </w:pPr>
            <w:r>
              <w:t>217</w:t>
            </w:r>
          </w:p>
        </w:tc>
        <w:tc>
          <w:tcPr>
            <w:tcW w:w="1913" w:type="dxa"/>
          </w:tcPr>
          <w:p w14:paraId="02BE8402" w14:textId="50C8962F" w:rsidR="00CF2049" w:rsidRDefault="00562765" w:rsidP="00F97274">
            <w:pPr>
              <w:pStyle w:val="ListParagraph"/>
              <w:ind w:left="0"/>
              <w:jc w:val="center"/>
            </w:pPr>
            <w:r>
              <w:t>1.37%</w:t>
            </w:r>
          </w:p>
        </w:tc>
      </w:tr>
      <w:tr w:rsidR="00CF2049" w14:paraId="37DDCD62" w14:textId="61DAE331" w:rsidTr="00CF2049">
        <w:tc>
          <w:tcPr>
            <w:tcW w:w="2103" w:type="dxa"/>
          </w:tcPr>
          <w:p w14:paraId="24B87803" w14:textId="4CCE7678" w:rsidR="00CF2049" w:rsidRDefault="00CF2049" w:rsidP="00F97274">
            <w:pPr>
              <w:pStyle w:val="ListParagraph"/>
              <w:ind w:left="0"/>
              <w:jc w:val="center"/>
            </w:pPr>
            <w:r>
              <w:t>370</w:t>
            </w:r>
          </w:p>
        </w:tc>
        <w:tc>
          <w:tcPr>
            <w:tcW w:w="2361" w:type="dxa"/>
          </w:tcPr>
          <w:p w14:paraId="53E0E3CE" w14:textId="5F51C79C" w:rsidR="00CF2049" w:rsidRDefault="00CF2049" w:rsidP="00F97274">
            <w:pPr>
              <w:pStyle w:val="ListParagraph"/>
              <w:ind w:left="0"/>
              <w:jc w:val="center"/>
            </w:pPr>
            <w:r>
              <w:t>240</w:t>
            </w:r>
          </w:p>
        </w:tc>
        <w:tc>
          <w:tcPr>
            <w:tcW w:w="2253" w:type="dxa"/>
          </w:tcPr>
          <w:p w14:paraId="75903212" w14:textId="36417F85" w:rsidR="00CF2049" w:rsidRDefault="00D5717A" w:rsidP="00F97274">
            <w:pPr>
              <w:pStyle w:val="ListParagraph"/>
              <w:ind w:left="0"/>
              <w:jc w:val="center"/>
            </w:pPr>
            <w:r>
              <w:t>238</w:t>
            </w:r>
          </w:p>
        </w:tc>
        <w:tc>
          <w:tcPr>
            <w:tcW w:w="1913" w:type="dxa"/>
          </w:tcPr>
          <w:p w14:paraId="254ABDEC" w14:textId="3EB3F42F" w:rsidR="00CF2049" w:rsidRDefault="00562765" w:rsidP="00F97274">
            <w:pPr>
              <w:pStyle w:val="ListParagraph"/>
              <w:ind w:left="0"/>
              <w:jc w:val="center"/>
            </w:pPr>
            <w:r>
              <w:t>0.84%</w:t>
            </w:r>
          </w:p>
        </w:tc>
      </w:tr>
      <w:tr w:rsidR="00CF2049" w14:paraId="090BE3C7" w14:textId="3F64DF86" w:rsidTr="00CF2049">
        <w:tc>
          <w:tcPr>
            <w:tcW w:w="2103" w:type="dxa"/>
          </w:tcPr>
          <w:p w14:paraId="3DC7E63E" w14:textId="576127C4" w:rsidR="00CF2049" w:rsidRDefault="00CF2049" w:rsidP="00F97274">
            <w:pPr>
              <w:pStyle w:val="ListParagraph"/>
              <w:ind w:left="0"/>
              <w:jc w:val="center"/>
            </w:pPr>
            <w:r>
              <w:t>390</w:t>
            </w:r>
          </w:p>
        </w:tc>
        <w:tc>
          <w:tcPr>
            <w:tcW w:w="2361" w:type="dxa"/>
          </w:tcPr>
          <w:p w14:paraId="38D8BB5B" w14:textId="57D1BBB9" w:rsidR="00CF2049" w:rsidRDefault="00CF2049" w:rsidP="00F97274">
            <w:pPr>
              <w:pStyle w:val="ListParagraph"/>
              <w:ind w:left="0"/>
              <w:jc w:val="center"/>
            </w:pPr>
            <w:r>
              <w:t>255</w:t>
            </w:r>
          </w:p>
        </w:tc>
        <w:tc>
          <w:tcPr>
            <w:tcW w:w="2253" w:type="dxa"/>
          </w:tcPr>
          <w:p w14:paraId="6D985BEF" w14:textId="7EC327BC" w:rsidR="00CF2049" w:rsidRDefault="00D5717A" w:rsidP="00F97274">
            <w:pPr>
              <w:pStyle w:val="ListParagraph"/>
              <w:ind w:left="0"/>
              <w:jc w:val="center"/>
            </w:pPr>
            <w:r>
              <w:t>249.4</w:t>
            </w:r>
          </w:p>
        </w:tc>
        <w:tc>
          <w:tcPr>
            <w:tcW w:w="1913" w:type="dxa"/>
          </w:tcPr>
          <w:p w14:paraId="1BDFFAE3" w14:textId="7629A48A" w:rsidR="00CF2049" w:rsidRDefault="00881D57" w:rsidP="00F97274">
            <w:pPr>
              <w:pStyle w:val="ListParagraph"/>
              <w:ind w:left="0"/>
              <w:jc w:val="center"/>
            </w:pPr>
            <w:r>
              <w:t>2.22%</w:t>
            </w:r>
          </w:p>
        </w:tc>
      </w:tr>
    </w:tbl>
    <w:p w14:paraId="1A18B4FD" w14:textId="77224F17" w:rsidR="003E7A88" w:rsidRDefault="003E7A88" w:rsidP="003E7A88">
      <w:pPr>
        <w:pStyle w:val="ListParagraph"/>
      </w:pPr>
      <w:r>
        <w:t>In general, the simulation results are quite close to the experimental data, with the biggest difference of 3.4%</w:t>
      </w:r>
    </w:p>
    <w:p w14:paraId="174DA708" w14:textId="34CDB206" w:rsidR="003E7A88" w:rsidRDefault="003E7A88" w:rsidP="003E7A88">
      <w:pPr>
        <w:pStyle w:val="ListParagraph"/>
        <w:numPr>
          <w:ilvl w:val="0"/>
          <w:numId w:val="1"/>
        </w:numPr>
      </w:pPr>
      <w:r>
        <w:t xml:space="preserve">By using the torque-speed curve, you can trace the desired speed to a specific torque value. Using the motor constant, the </w:t>
      </w:r>
      <w:r w:rsidR="002611C1">
        <w:t xml:space="preserve">current required for this specific torque can be found. By multiplying the current by the motor resistance, the desired motor voltage can be found. Taking this voltage and dividing it by a range of 5 volts and a PWM scale of 255, the PWM value can be output. </w:t>
      </w:r>
      <w:r w:rsidR="00035A01">
        <w:t>Therefore, inputting a desired speed into the Arduino code will yield a PWM control of the motor giving you the speed you want.</w:t>
      </w:r>
    </w:p>
    <w:p w14:paraId="523350D8" w14:textId="033A2092" w:rsidR="007A304D" w:rsidRDefault="0036221F" w:rsidP="003E7A88">
      <w:pPr>
        <w:pStyle w:val="ListParagraph"/>
        <w:numPr>
          <w:ilvl w:val="0"/>
          <w:numId w:val="1"/>
        </w:numPr>
      </w:pPr>
      <w:r w:rsidRPr="0036221F">
        <w:drawing>
          <wp:inline distT="0" distB="0" distL="0" distR="0" wp14:anchorId="18F4C796" wp14:editId="53085F3A">
            <wp:extent cx="5943600" cy="1924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924685"/>
                    </a:xfrm>
                    <a:prstGeom prst="rect">
                      <a:avLst/>
                    </a:prstGeom>
                  </pic:spPr>
                </pic:pic>
              </a:graphicData>
            </a:graphic>
          </wp:inline>
        </w:drawing>
      </w:r>
    </w:p>
    <w:p w14:paraId="6800351D" w14:textId="4E0D72B9" w:rsidR="0036221F" w:rsidRDefault="0036221F" w:rsidP="0036221F">
      <w:pPr>
        <w:pStyle w:val="ListParagraph"/>
      </w:pPr>
      <w:r>
        <w:t>Advantages of closing the loop includes a more accurate motor shaft speed, as predictions/simulations always have some error/difference as seen in question 1. The disadvantage is the huge added complexity and room for issues to arise, including adding another possible instability depending on the environment &amp; system.</w:t>
      </w:r>
    </w:p>
    <w:sectPr w:rsidR="0036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DC0"/>
    <w:multiLevelType w:val="hybridMultilevel"/>
    <w:tmpl w:val="C9E61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78"/>
    <w:rsid w:val="00035A01"/>
    <w:rsid w:val="002611C1"/>
    <w:rsid w:val="00291E78"/>
    <w:rsid w:val="002C65E0"/>
    <w:rsid w:val="0036221F"/>
    <w:rsid w:val="003642C1"/>
    <w:rsid w:val="003E7A88"/>
    <w:rsid w:val="00562765"/>
    <w:rsid w:val="0060576E"/>
    <w:rsid w:val="006D3E14"/>
    <w:rsid w:val="007A304D"/>
    <w:rsid w:val="00881D57"/>
    <w:rsid w:val="00A84485"/>
    <w:rsid w:val="00B719B5"/>
    <w:rsid w:val="00CE0681"/>
    <w:rsid w:val="00CF2049"/>
    <w:rsid w:val="00D5717A"/>
    <w:rsid w:val="00D93D43"/>
    <w:rsid w:val="00E346DA"/>
    <w:rsid w:val="00F20AA2"/>
    <w:rsid w:val="00F9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E3AF"/>
  <w15:chartTrackingRefBased/>
  <w15:docId w15:val="{CF27DBA4-C67D-4669-A7EF-F75E946A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274"/>
    <w:pPr>
      <w:ind w:left="720"/>
      <w:contextualSpacing/>
    </w:pPr>
  </w:style>
  <w:style w:type="table" w:styleId="TableGrid">
    <w:name w:val="Table Grid"/>
    <w:basedOn w:val="TableNormal"/>
    <w:uiPriority w:val="39"/>
    <w:rsid w:val="00F97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15</cp:revision>
  <dcterms:created xsi:type="dcterms:W3CDTF">2021-11-18T16:48:00Z</dcterms:created>
  <dcterms:modified xsi:type="dcterms:W3CDTF">2021-11-18T17:48:00Z</dcterms:modified>
</cp:coreProperties>
</file>