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Semantic Vocabulary and Semantics</w:t>
      </w:r>
    </w:p>
    <w:p>
      <w:pPr>
        <w:pStyle w:val="Subtitle"/>
      </w:pPr>
      <w:r>
        <w:t>Design addendum to the agent system implementation plan</w:t>
      </w:r>
    </w:p>
    <w:p>
      <w:pPr>
        <w:keepNext w:val="0"/>
      </w:pPr>
      <w:r>
        <w:rPr>
          <w:sz w:val="20"/>
        </w:rPr>
        <w:t>Version 0.1.0  |  21 October 2026  |  Proposed design baseline</w:t>
      </w:r>
    </w:p>
    <w:p>
      <w:pPr>
        <w:keepNext w:val="0"/>
      </w:pPr>
      <w:r>
        <w:rPr>
          <w:b/>
        </w:rPr>
        <w:t>Adopt one versioned, typed representation of meaning</w:t>
      </w:r>
      <w:r>
        <w:t xml:space="preserve"> and derive several retrieval views from it. The representation records what an item asserts, requires or recommends, which entities play which roles, and the conditions under which it can be used. General text embeddings help find relevant material; explicit semantics support precise comparison, applicability and conflict checks.</w:t>
      </w:r>
    </w:p>
    <w:p>
      <w:pPr>
        <w:keepNext w:val="0"/>
      </w:pPr>
      <w:r>
        <w:t>This design defines 25 entity types, 16 directed predicates, 16 controlled concepts, a separate data-type registry with agent and workflow subtypes, a bounded condition language and seven question profiles. It supplies schemas, example records, feature definitions and implementation conformance cases. Exact type enumeration supplies every matching catalogued item; complementary embeddings support purpose-specific discovery. Production validation, indexing and evaluation remain implementation work.</w:t>
      </w:r>
    </w:p>
    <w:p>
      <w:pPr>
        <w:pStyle w:val="Heading1"/>
      </w:pPr>
      <w:r>
        <w:t>1 Alignment with the existing plans</w:t>
      </w:r>
    </w:p>
    <w:p>
      <w:pPr>
        <w:keepNext w:val="0"/>
      </w:pPr>
      <w:r>
        <w:t>The architecture already separates immutable memory revisions, evidence, admission, applicability, retrieval and verification. These boundaries are the foundation of the internal reference frame. A semantic frame belongs to an existing revision or is a faithful, versioned view of it. Extracting a new interpretation creates a proposal through the existing admission path. Indexing never accepts a claim or changes the active contract. [A, pp 14–25]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tblHeader/>
          <w:cantSplit/>
        </w:trPr>
        <w:tc>
          <w:tcPr>
            <w:tcW w:type="dxa" w:w="3024"/>
            <w:vAlign w:val="center"/>
            <w:shd w:fill="E7EEF4"/>
            <w:tcMar>
              <w:top w:w="85" w:type="dxa"/>
              <w:left w:w="90" w:type="dxa"/>
              <w:bottom w:w="85" w:type="dxa"/>
              <w:right w:w="90" w:type="dxa"/>
            </w:tcMar>
          </w:tcPr>
          <w:p>
            <w:pPr>
              <w:keepNext w:val="0"/>
              <w:spacing w:after="0" w:line="240" w:lineRule="auto"/>
            </w:pPr>
            <w:r>
              <w:rPr>
                <w:b/>
                <w:sz w:val="20"/>
              </w:rPr>
              <w:t>Source baseline</w:t>
            </w:r>
          </w:p>
        </w:tc>
        <w:tc>
          <w:tcPr>
            <w:tcW w:type="dxa" w:w="7056"/>
            <w:vAlign w:val="center"/>
            <w:shd w:fill="E7EEF4"/>
            <w:tcMar>
              <w:top w:w="85" w:type="dxa"/>
              <w:left w:w="90" w:type="dxa"/>
              <w:bottom w:w="85" w:type="dxa"/>
              <w:right w:w="90" w:type="dxa"/>
            </w:tcMar>
          </w:tcPr>
          <w:p>
            <w:pPr>
              <w:keepNext w:val="0"/>
              <w:spacing w:after="0" w:line="240" w:lineRule="auto"/>
            </w:pPr>
            <w:r>
              <w:rPr>
                <w:b/>
                <w:sz w:val="20"/>
              </w:rPr>
              <w:t>Design obligation</w:t>
            </w:r>
          </w:p>
        </w:tc>
      </w:tr>
      <w:tr>
        <w:trPr>
          <w:cantSplit/>
        </w:trPr>
        <w:tc>
          <w:tcPr>
            <w:tcW w:type="dxa" w:w="3024"/>
            <w:vAlign w:val="center"/>
            <w:tcMar>
              <w:top w:w="85" w:type="dxa"/>
              <w:left w:w="90" w:type="dxa"/>
              <w:bottom w:w="85" w:type="dxa"/>
              <w:right w:w="90" w:type="dxa"/>
            </w:tcMar>
          </w:tcPr>
          <w:p>
            <w:pPr>
              <w:keepNext w:val="0"/>
              <w:spacing w:after="0" w:line="240" w:lineRule="auto"/>
            </w:pPr>
            <w:r>
              <w:rPr>
                <w:b w:val="0"/>
                <w:sz w:val="20"/>
              </w:rPr>
              <w:t>Architecture specification 1.0</w:t>
            </w:r>
          </w:p>
        </w:tc>
        <w:tc>
          <w:tcPr>
            <w:tcW w:type="dxa" w:w="7056"/>
            <w:vAlign w:val="center"/>
            <w:tcMar>
              <w:top w:w="85" w:type="dxa"/>
              <w:left w:w="90" w:type="dxa"/>
              <w:bottom w:w="85" w:type="dxa"/>
              <w:right w:w="90" w:type="dxa"/>
            </w:tcMar>
          </w:tcPr>
          <w:p>
            <w:pPr>
              <w:keepNext w:val="0"/>
              <w:spacing w:after="0" w:line="240" w:lineRule="auto"/>
            </w:pPr>
            <w:r>
              <w:rPr>
                <w:b w:val="0"/>
                <w:sz w:val="20"/>
              </w:rPr>
              <w:t>Preserve memory identity, evidence coverage, exact state and environment, bounded guards, lifecycle ownership and final retrieval eligibility. [A, pp 14–25]</w:t>
            </w:r>
          </w:p>
        </w:tc>
      </w:tr>
      <w:tr>
        <w:trPr>
          <w:cantSplit/>
        </w:trPr>
        <w:tc>
          <w:tcPr>
            <w:tcW w:type="dxa" w:w="3024"/>
            <w:vAlign w:val="center"/>
            <w:tcMar>
              <w:top w:w="85" w:type="dxa"/>
              <w:left w:w="90" w:type="dxa"/>
              <w:bottom w:w="85" w:type="dxa"/>
              <w:right w:w="90" w:type="dxa"/>
            </w:tcMar>
          </w:tcPr>
          <w:p>
            <w:pPr>
              <w:keepNext w:val="0"/>
              <w:spacing w:after="0" w:line="240" w:lineRule="auto"/>
            </w:pPr>
            <w:r>
              <w:rPr>
                <w:b w:val="0"/>
                <w:sz w:val="20"/>
              </w:rPr>
              <w:t>Implementation plan 1.0</w:t>
            </w:r>
          </w:p>
        </w:tc>
        <w:tc>
          <w:tcPr>
            <w:tcW w:type="dxa" w:w="7056"/>
            <w:vAlign w:val="center"/>
            <w:tcMar>
              <w:top w:w="85" w:type="dxa"/>
              <w:left w:w="90" w:type="dxa"/>
              <w:bottom w:w="85" w:type="dxa"/>
              <w:right w:w="90" w:type="dxa"/>
            </w:tcMar>
          </w:tcPr>
          <w:p>
            <w:pPr>
              <w:keepNext w:val="0"/>
              <w:spacing w:after="0" w:line="240" w:lineRule="auto"/>
            </w:pPr>
            <w:r>
              <w:rPr>
                <w:b w:val="0"/>
                <w:sz w:val="20"/>
              </w:rPr>
              <w:t>Integrate with P085–P110; evaluate under P129–P134; keep optional training behind P149–P150. [P, pp 38–47, 55–57, 64]</w:t>
            </w:r>
          </w:p>
        </w:tc>
      </w:tr>
      <w:tr>
        <w:trPr>
          <w:cantSplit/>
        </w:trPr>
        <w:tc>
          <w:tcPr>
            <w:tcW w:type="dxa" w:w="3024"/>
            <w:vAlign w:val="center"/>
            <w:tcMar>
              <w:top w:w="85" w:type="dxa"/>
              <w:left w:w="90" w:type="dxa"/>
              <w:bottom w:w="85" w:type="dxa"/>
              <w:right w:w="90" w:type="dxa"/>
            </w:tcMar>
          </w:tcPr>
          <w:p>
            <w:pPr>
              <w:keepNext w:val="0"/>
              <w:spacing w:after="0" w:line="240" w:lineRule="auto"/>
            </w:pPr>
            <w:r>
              <w:rPr>
                <w:b w:val="0"/>
                <w:sz w:val="20"/>
              </w:rPr>
              <w:t>Local embedding addendum 1.0</w:t>
            </w:r>
          </w:p>
        </w:tc>
        <w:tc>
          <w:tcPr>
            <w:tcW w:type="dxa" w:w="7056"/>
            <w:vAlign w:val="center"/>
            <w:tcMar>
              <w:top w:w="85" w:type="dxa"/>
              <w:left w:w="90" w:type="dxa"/>
              <w:bottom w:w="85" w:type="dxa"/>
              <w:right w:w="90" w:type="dxa"/>
            </w:tcMar>
          </w:tcPr>
          <w:p>
            <w:pPr>
              <w:keepNext w:val="0"/>
              <w:spacing w:after="0" w:line="240" w:lineRule="auto"/>
            </w:pPr>
            <w:r>
              <w:rPr>
                <w:b w:val="0"/>
                <w:sz w:val="20"/>
              </w:rPr>
              <w:t>Make E07 concrete with this vocabulary; implement purpose-dependent matching for E08; reserve learned projections and fine-tuning for E09. [E, pp 3–4]</w:t>
            </w:r>
          </w:p>
        </w:tc>
      </w:tr>
    </w:tbl>
    <w:p>
      <w:pPr>
        <w:spacing w:after="0"/>
      </w:pPr>
    </w:p>
    <w:p>
      <w:pPr>
        <w:keepNext w:val="0"/>
      </w:pPr>
      <w:r>
        <w:t>The scope is deliberately bounded: signed atomic claims, explicit qualifiers and the existing structured procedure records. Version 0.1 does not attempt arbitrary mathematical equivalence, unrestricted natural-language reasoning or a universal ontology. Unsupported meaning remains attached to its source with an explicit unresolved reason. Precision means that supported constructs have declared, testable semantics; it does not mean that an embedding captures every possible meaning.</w:t>
      </w:r>
    </w:p>
    <w:p>
      <w:pPr>
        <w:pStyle w:val="Heading1"/>
      </w:pPr>
      <w:r>
        <w:t>2 Identity and the entity vocabulary</w:t>
      </w:r>
    </w:p>
    <w:p>
      <w:pPr>
        <w:keepNext w:val="0"/>
      </w:pPr>
      <w:r>
        <w:t>An entity is a checked reference to something the system can identify. Display names, paths and aliases help resolve it, but similarity of labels does not establish identity. A binding records its namespace, authoritative owner, kind and resolving context. The authenticated command supplies workspace ownership; a model-generated payload cannot choose another workspace.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384"/>
        <w:gridCol w:w="4752"/>
      </w:tblGrid>
      <w:tr>
        <w:trPr>
          <w:tblHeader/>
          <w:cantSplit/>
        </w:trPr>
        <w:tc>
          <w:tcPr>
            <w:tcW w:type="dxa" w:w="1944"/>
            <w:vAlign w:val="center"/>
            <w:shd w:fill="E7EEF4"/>
            <w:tcMar>
              <w:top w:w="85" w:type="dxa"/>
              <w:left w:w="90" w:type="dxa"/>
              <w:bottom w:w="85" w:type="dxa"/>
              <w:right w:w="90" w:type="dxa"/>
            </w:tcMar>
          </w:tcPr>
          <w:p>
            <w:pPr>
              <w:keepNext w:val="0"/>
              <w:spacing w:after="0" w:line="240" w:lineRule="auto"/>
            </w:pPr>
            <w:r>
              <w:rPr>
                <w:b/>
                <w:sz w:val="20"/>
              </w:rPr>
              <w:t>Entity group</w:t>
            </w:r>
          </w:p>
        </w:tc>
        <w:tc>
          <w:tcPr>
            <w:tcW w:type="dxa" w:w="3384"/>
            <w:vAlign w:val="center"/>
            <w:shd w:fill="E7EEF4"/>
            <w:tcMar>
              <w:top w:w="85" w:type="dxa"/>
              <w:left w:w="90" w:type="dxa"/>
              <w:bottom w:w="85" w:type="dxa"/>
              <w:right w:w="90" w:type="dxa"/>
            </w:tcMar>
          </w:tcPr>
          <w:p>
            <w:pPr>
              <w:keepNext w:val="0"/>
              <w:spacing w:after="0" w:line="240" w:lineRule="auto"/>
            </w:pPr>
            <w:r>
              <w:rPr>
                <w:b/>
                <w:sz w:val="20"/>
              </w:rPr>
              <w:t>Registered types</w:t>
            </w:r>
          </w:p>
        </w:tc>
        <w:tc>
          <w:tcPr>
            <w:tcW w:type="dxa" w:w="4752"/>
            <w:vAlign w:val="center"/>
            <w:shd w:fill="E7EEF4"/>
            <w:tcMar>
              <w:top w:w="85" w:type="dxa"/>
              <w:left w:w="90" w:type="dxa"/>
              <w:bottom w:w="85" w:type="dxa"/>
              <w:right w:w="90" w:type="dxa"/>
            </w:tcMar>
          </w:tcPr>
          <w:p>
            <w:pPr>
              <w:keepNext w:val="0"/>
              <w:spacing w:after="0" w:line="240" w:lineRule="auto"/>
            </w:pPr>
            <w:r>
              <w:rPr>
                <w:b/>
                <w:sz w:val="20"/>
              </w:rPr>
              <w:t>Identity rule</w:t>
            </w:r>
          </w:p>
        </w:tc>
      </w:tr>
      <w:tr>
        <w:trPr>
          <w:cantSplit/>
        </w:trPr>
        <w:tc>
          <w:tcPr>
            <w:tcW w:type="dxa" w:w="1944"/>
            <w:vAlign w:val="center"/>
            <w:tcMar>
              <w:top w:w="85" w:type="dxa"/>
              <w:left w:w="90" w:type="dxa"/>
              <w:bottom w:w="85" w:type="dxa"/>
              <w:right w:w="90" w:type="dxa"/>
            </w:tcMar>
          </w:tcPr>
          <w:p>
            <w:pPr>
              <w:keepNext w:val="0"/>
              <w:spacing w:after="0" w:line="240" w:lineRule="auto"/>
            </w:pPr>
            <w:r>
              <w:rPr>
                <w:b w:val="0"/>
                <w:sz w:val="20"/>
              </w:rPr>
              <w:t>Repository context</w:t>
            </w:r>
          </w:p>
        </w:tc>
        <w:tc>
          <w:tcPr>
            <w:tcW w:type="dxa" w:w="3384"/>
            <w:vAlign w:val="center"/>
            <w:tcMar>
              <w:top w:w="85" w:type="dxa"/>
              <w:left w:w="90" w:type="dxa"/>
              <w:bottom w:w="85" w:type="dxa"/>
              <w:right w:w="90" w:type="dxa"/>
            </w:tcMar>
          </w:tcPr>
          <w:p>
            <w:pPr>
              <w:keepNext w:val="0"/>
              <w:spacing w:after="0" w:line="240" w:lineRule="auto"/>
            </w:pPr>
            <w:r>
              <w:rPr>
                <w:b w:val="0"/>
                <w:sz w:val="20"/>
              </w:rPr>
              <w:t>repository, repository_state, environment</w:t>
            </w:r>
          </w:p>
        </w:tc>
        <w:tc>
          <w:tcPr>
            <w:tcW w:type="dxa" w:w="4752"/>
            <w:vAlign w:val="center"/>
            <w:tcMar>
              <w:top w:w="85" w:type="dxa"/>
              <w:left w:w="90" w:type="dxa"/>
              <w:bottom w:w="85" w:type="dxa"/>
              <w:right w:w="90" w:type="dxa"/>
            </w:tcMar>
          </w:tcPr>
          <w:p>
            <w:pPr>
              <w:keepNext w:val="0"/>
              <w:spacing w:after="0" w:line="240" w:lineRule="auto"/>
            </w:pPr>
            <w:r>
              <w:rPr>
                <w:b w:val="0"/>
                <w:sz w:val="20"/>
              </w:rPr>
              <w:t>Use existing records. State includes relevant uncommitted content; environment has its own immutable manifest.</w:t>
            </w:r>
          </w:p>
        </w:tc>
      </w:tr>
      <w:tr>
        <w:trPr>
          <w:cantSplit/>
        </w:trPr>
        <w:tc>
          <w:tcPr>
            <w:tcW w:type="dxa" w:w="1944"/>
            <w:vAlign w:val="center"/>
            <w:tcMar>
              <w:top w:w="85" w:type="dxa"/>
              <w:left w:w="90" w:type="dxa"/>
              <w:bottom w:w="85" w:type="dxa"/>
              <w:right w:w="90" w:type="dxa"/>
            </w:tcMar>
          </w:tcPr>
          <w:p>
            <w:pPr>
              <w:keepNext w:val="0"/>
              <w:spacing w:after="0" w:line="240" w:lineRule="auto"/>
            </w:pPr>
            <w:r>
              <w:rPr>
                <w:b w:val="0"/>
                <w:sz w:val="20"/>
              </w:rPr>
              <w:t>Code and interfaces</w:t>
            </w:r>
          </w:p>
        </w:tc>
        <w:tc>
          <w:tcPr>
            <w:tcW w:type="dxa" w:w="3384"/>
            <w:vAlign w:val="center"/>
            <w:tcMar>
              <w:top w:w="85" w:type="dxa"/>
              <w:left w:w="90" w:type="dxa"/>
              <w:bottom w:w="85" w:type="dxa"/>
              <w:right w:w="90" w:type="dxa"/>
            </w:tcMar>
          </w:tcPr>
          <w:p>
            <w:pPr>
              <w:keepNext w:val="0"/>
              <w:spacing w:after="0" w:line="240" w:lineRule="auto"/>
            </w:pPr>
            <w:r>
              <w:rPr>
                <w:b w:val="0"/>
                <w:sz w:val="20"/>
              </w:rPr>
              <w:t>file, symbol, component, interface</w:t>
            </w:r>
          </w:p>
        </w:tc>
        <w:tc>
          <w:tcPr>
            <w:tcW w:type="dxa" w:w="4752"/>
            <w:vAlign w:val="center"/>
            <w:tcMar>
              <w:top w:w="85" w:type="dxa"/>
              <w:left w:w="90" w:type="dxa"/>
              <w:bottom w:w="85" w:type="dxa"/>
              <w:right w:w="90" w:type="dxa"/>
            </w:tcMar>
          </w:tcPr>
          <w:p>
            <w:pPr>
              <w:keepNext w:val="0"/>
              <w:spacing w:after="0" w:line="240" w:lineRule="auto"/>
            </w:pPr>
            <w:r>
              <w:rPr>
                <w:b w:val="0"/>
                <w:sz w:val="20"/>
              </w:rPr>
              <w:t>Resolve within a repository/provider namespace. Distinguish overloads, file case and interface revisions.</w:t>
            </w:r>
          </w:p>
        </w:tc>
      </w:tr>
      <w:tr>
        <w:trPr>
          <w:cantSplit/>
        </w:trPr>
        <w:tc>
          <w:tcPr>
            <w:tcW w:type="dxa" w:w="1944"/>
            <w:vAlign w:val="center"/>
            <w:tcMar>
              <w:top w:w="85" w:type="dxa"/>
              <w:left w:w="90" w:type="dxa"/>
              <w:bottom w:w="85" w:type="dxa"/>
              <w:right w:w="90" w:type="dxa"/>
            </w:tcMar>
          </w:tcPr>
          <w:p>
            <w:pPr>
              <w:keepNext w:val="0"/>
              <w:spacing w:after="0" w:line="240" w:lineRule="auto"/>
            </w:pPr>
            <w:r>
              <w:rPr>
                <w:b w:val="0"/>
                <w:sz w:val="20"/>
              </w:rPr>
              <w:t>Configuration and dependencies</w:t>
            </w:r>
          </w:p>
        </w:tc>
        <w:tc>
          <w:tcPr>
            <w:tcW w:type="dxa" w:w="3384"/>
            <w:vAlign w:val="center"/>
            <w:tcMar>
              <w:top w:w="85" w:type="dxa"/>
              <w:left w:w="90" w:type="dxa"/>
              <w:bottom w:w="85" w:type="dxa"/>
              <w:right w:w="90" w:type="dxa"/>
            </w:tcMar>
          </w:tcPr>
          <w:p>
            <w:pPr>
              <w:keepNext w:val="0"/>
              <w:spacing w:after="0" w:line="240" w:lineRule="auto"/>
            </w:pPr>
            <w:r>
              <w:rPr>
                <w:b w:val="0"/>
                <w:sz w:val="20"/>
              </w:rPr>
              <w:t>configuration_key, dependency_binding</w:t>
            </w:r>
          </w:p>
        </w:tc>
        <w:tc>
          <w:tcPr>
            <w:tcW w:type="dxa" w:w="4752"/>
            <w:vAlign w:val="center"/>
            <w:tcMar>
              <w:top w:w="85" w:type="dxa"/>
              <w:left w:w="90" w:type="dxa"/>
              <w:bottom w:w="85" w:type="dxa"/>
              <w:right w:w="90" w:type="dxa"/>
            </w:tcMar>
          </w:tcPr>
          <w:p>
            <w:pPr>
              <w:keepNext w:val="0"/>
              <w:spacing w:after="0" w:line="240" w:lineRule="auto"/>
            </w:pPr>
            <w:r>
              <w:rPr>
                <w:b w:val="0"/>
                <w:sz w:val="20"/>
              </w:rPr>
              <w:t>A key includes its declared type and resolution context. A dependency is one resolved occurrence, including resolver/environment and lockfile location.</w:t>
            </w:r>
          </w:p>
        </w:tc>
      </w:tr>
      <w:tr>
        <w:trPr>
          <w:cantSplit/>
        </w:trPr>
        <w:tc>
          <w:tcPr>
            <w:tcW w:type="dxa" w:w="1944"/>
            <w:vAlign w:val="center"/>
            <w:tcMar>
              <w:top w:w="85" w:type="dxa"/>
              <w:left w:w="90" w:type="dxa"/>
              <w:bottom w:w="85" w:type="dxa"/>
              <w:right w:w="90" w:type="dxa"/>
            </w:tcMar>
          </w:tcPr>
          <w:p>
            <w:pPr>
              <w:keepNext w:val="0"/>
              <w:spacing w:after="0" w:line="240" w:lineRule="auto"/>
            </w:pPr>
            <w:r>
              <w:rPr>
                <w:b w:val="0"/>
                <w:sz w:val="20"/>
              </w:rPr>
              <w:t>Artifacts and execution</w:t>
            </w:r>
          </w:p>
        </w:tc>
        <w:tc>
          <w:tcPr>
            <w:tcW w:type="dxa" w:w="3384"/>
            <w:vAlign w:val="center"/>
            <w:tcMar>
              <w:top w:w="85" w:type="dxa"/>
              <w:left w:w="90" w:type="dxa"/>
              <w:bottom w:w="85" w:type="dxa"/>
              <w:right w:w="90" w:type="dxa"/>
            </w:tcMar>
          </w:tcPr>
          <w:p>
            <w:pPr>
              <w:keepNext w:val="0"/>
              <w:spacing w:after="0" w:line="240" w:lineRule="auto"/>
            </w:pPr>
            <w:r>
              <w:rPr>
                <w:b w:val="0"/>
                <w:sz w:val="20"/>
              </w:rPr>
              <w:t>artifact, action, action_run, execution_case, test_case</w:t>
            </w:r>
          </w:p>
        </w:tc>
        <w:tc>
          <w:tcPr>
            <w:tcW w:type="dxa" w:w="4752"/>
            <w:vAlign w:val="center"/>
            <w:tcMar>
              <w:top w:w="85" w:type="dxa"/>
              <w:left w:w="90" w:type="dxa"/>
              <w:bottom w:w="85" w:type="dxa"/>
              <w:right w:w="90" w:type="dxa"/>
            </w:tcMar>
          </w:tcPr>
          <w:p>
            <w:pPr>
              <w:keepNext w:val="0"/>
              <w:spacing w:after="0" w:line="240" w:lineRule="auto"/>
            </w:pPr>
            <w:r>
              <w:rPr>
                <w:b w:val="0"/>
                <w:sz w:val="20"/>
              </w:rPr>
              <w:t>Use exact artifacts and execution attempts. Cases identify input fixtures; test occurrences distinguish parameters and repetitions.</w:t>
            </w:r>
          </w:p>
        </w:tc>
      </w:tr>
      <w:tr>
        <w:trPr>
          <w:cantSplit/>
        </w:trPr>
        <w:tc>
          <w:tcPr>
            <w:tcW w:type="dxa" w:w="1944"/>
            <w:vAlign w:val="center"/>
            <w:tcMar>
              <w:top w:w="85" w:type="dxa"/>
              <w:left w:w="90" w:type="dxa"/>
              <w:bottom w:w="85" w:type="dxa"/>
              <w:right w:w="90" w:type="dxa"/>
            </w:tcMar>
          </w:tcPr>
          <w:p>
            <w:pPr>
              <w:keepNext w:val="0"/>
              <w:spacing w:after="0" w:line="240" w:lineRule="auto"/>
            </w:pPr>
            <w:r>
              <w:rPr>
                <w:b w:val="0"/>
                <w:sz w:val="20"/>
              </w:rPr>
              <w:t>Contracts and results</w:t>
            </w:r>
          </w:p>
        </w:tc>
        <w:tc>
          <w:tcPr>
            <w:tcW w:type="dxa" w:w="3384"/>
            <w:vAlign w:val="center"/>
            <w:tcMar>
              <w:top w:w="85" w:type="dxa"/>
              <w:left w:w="90" w:type="dxa"/>
              <w:bottom w:w="85" w:type="dxa"/>
              <w:right w:w="90" w:type="dxa"/>
            </w:tcMar>
          </w:tcPr>
          <w:p>
            <w:pPr>
              <w:keepNext w:val="0"/>
              <w:spacing w:after="0" w:line="240" w:lineRule="auto"/>
            </w:pPr>
            <w:r>
              <w:rPr>
                <w:b w:val="0"/>
                <w:sz w:val="20"/>
              </w:rPr>
              <w:t>task_contract_revision, requirement, candidate, verification_assessment</w:t>
            </w:r>
          </w:p>
        </w:tc>
        <w:tc>
          <w:tcPr>
            <w:tcW w:type="dxa" w:w="4752"/>
            <w:vAlign w:val="center"/>
            <w:tcMar>
              <w:top w:w="85" w:type="dxa"/>
              <w:left w:w="90" w:type="dxa"/>
              <w:bottom w:w="85" w:type="dxa"/>
              <w:right w:w="90" w:type="dxa"/>
            </w:tcMar>
          </w:tcPr>
          <w:p>
            <w:pPr>
              <w:keepNext w:val="0"/>
              <w:spacing w:after="0" w:line="240" w:lineRule="auto"/>
            </w:pPr>
            <w:r>
              <w:rPr>
                <w:b w:val="0"/>
                <w:sz w:val="20"/>
              </w:rPr>
              <w:t>Use existing contract, patch and assessment identities. A requirement identifier is interpreted within its concrete contract revision.</w:t>
            </w:r>
          </w:p>
        </w:tc>
      </w:tr>
      <w:tr>
        <w:trPr>
          <w:cantSplit/>
        </w:trPr>
        <w:tc>
          <w:tcPr>
            <w:tcW w:type="dxa" w:w="1944"/>
            <w:vAlign w:val="center"/>
            <w:tcMar>
              <w:top w:w="85" w:type="dxa"/>
              <w:left w:w="90" w:type="dxa"/>
              <w:bottom w:w="85" w:type="dxa"/>
              <w:right w:w="90" w:type="dxa"/>
            </w:tcMar>
          </w:tcPr>
          <w:p>
            <w:pPr>
              <w:keepNext w:val="0"/>
              <w:spacing w:after="0" w:line="240" w:lineRule="auto"/>
            </w:pPr>
            <w:r>
              <w:rPr>
                <w:b w:val="0"/>
                <w:sz w:val="20"/>
              </w:rPr>
              <w:t>Memory and evidence</w:t>
            </w:r>
          </w:p>
        </w:tc>
        <w:tc>
          <w:tcPr>
            <w:tcW w:type="dxa" w:w="3384"/>
            <w:vAlign w:val="center"/>
            <w:tcMar>
              <w:top w:w="85" w:type="dxa"/>
              <w:left w:w="90" w:type="dxa"/>
              <w:bottom w:w="85" w:type="dxa"/>
              <w:right w:w="90" w:type="dxa"/>
            </w:tcMar>
          </w:tcPr>
          <w:p>
            <w:pPr>
              <w:keepNext w:val="0"/>
              <w:spacing w:after="0" w:line="240" w:lineRule="auto"/>
            </w:pPr>
            <w:r>
              <w:rPr>
                <w:b w:val="0"/>
                <w:sz w:val="20"/>
              </w:rPr>
              <w:t>memory_revision, procedure_revision, information_need_revision, event, source_excerpt</w:t>
            </w:r>
          </w:p>
        </w:tc>
        <w:tc>
          <w:tcPr>
            <w:tcW w:type="dxa" w:w="4752"/>
            <w:vAlign w:val="center"/>
            <w:tcMar>
              <w:top w:w="85" w:type="dxa"/>
              <w:left w:w="90" w:type="dxa"/>
              <w:bottom w:w="85" w:type="dxa"/>
              <w:right w:w="90" w:type="dxa"/>
            </w:tcMar>
          </w:tcPr>
          <w:p>
            <w:pPr>
              <w:keepNext w:val="0"/>
              <w:spacing w:after="0" w:line="240" w:lineRule="auto"/>
            </w:pPr>
            <w:r>
              <w:rPr>
                <w:b w:val="0"/>
                <w:sz w:val="20"/>
              </w:rPr>
              <w:t>Reuse immutable memory, need, event and source records. A procedure revision is a typed memory revision.</w:t>
            </w:r>
          </w:p>
        </w:tc>
      </w:tr>
      <w:tr>
        <w:trPr>
          <w:cantSplit/>
        </w:trPr>
        <w:tc>
          <w:tcPr>
            <w:tcW w:type="dxa" w:w="1944"/>
            <w:vAlign w:val="center"/>
            <w:tcMar>
              <w:top w:w="85" w:type="dxa"/>
              <w:left w:w="90" w:type="dxa"/>
              <w:bottom w:w="85" w:type="dxa"/>
              <w:right w:w="90" w:type="dxa"/>
            </w:tcMar>
          </w:tcPr>
          <w:p>
            <w:pPr>
              <w:keepNext w:val="0"/>
              <w:spacing w:after="0" w:line="240" w:lineRule="auto"/>
            </w:pPr>
            <w:r>
              <w:rPr>
                <w:b w:val="0"/>
                <w:sz w:val="20"/>
              </w:rPr>
              <w:t>Models and concepts</w:t>
            </w:r>
          </w:p>
        </w:tc>
        <w:tc>
          <w:tcPr>
            <w:tcW w:type="dxa" w:w="3384"/>
            <w:vAlign w:val="center"/>
            <w:tcMar>
              <w:top w:w="85" w:type="dxa"/>
              <w:left w:w="90" w:type="dxa"/>
              <w:bottom w:w="85" w:type="dxa"/>
              <w:right w:w="90" w:type="dxa"/>
            </w:tcMar>
          </w:tcPr>
          <w:p>
            <w:pPr>
              <w:keepNext w:val="0"/>
              <w:spacing w:after="0" w:line="240" w:lineRule="auto"/>
            </w:pPr>
            <w:r>
              <w:rPr>
                <w:b w:val="0"/>
                <w:sz w:val="20"/>
              </w:rPr>
              <w:t>model_deployment, concept</w:t>
            </w:r>
          </w:p>
        </w:tc>
        <w:tc>
          <w:tcPr>
            <w:tcW w:type="dxa" w:w="4752"/>
            <w:vAlign w:val="center"/>
            <w:tcMar>
              <w:top w:w="85" w:type="dxa"/>
              <w:left w:w="90" w:type="dxa"/>
              <w:bottom w:w="85" w:type="dxa"/>
              <w:right w:w="90" w:type="dxa"/>
            </w:tcMar>
          </w:tcPr>
          <w:p>
            <w:pPr>
              <w:keepNext w:val="0"/>
              <w:spacing w:after="0" w:line="240" w:lineRule="auto"/>
            </w:pPr>
            <w:r>
              <w:rPr>
                <w:b w:val="0"/>
                <w:sz w:val="20"/>
              </w:rPr>
              <w:t>Use immutable deployment fingerprints and registered concept identifiers. A concept does not grant a capability.</w:t>
            </w:r>
          </w:p>
        </w:tc>
      </w:tr>
    </w:tbl>
    <w:p>
      <w:pPr>
        <w:spacing w:after="0"/>
      </w:pPr>
    </w:p>
    <w:p>
      <w:pPr>
        <w:keepNext w:val="0"/>
      </w:pPr>
      <w:r>
        <w:t>Entity resolution may return resolved, ambiguous or unresolved. Only a resolved, checked identity can participate in an exact comparison. An unresolved callee is an explicit unknown term, not a wildcard. Two symbols named render in different repositories remain different. Two installed occurrences of the same dependency may have different versions without conflicting.</w:t>
      </w:r>
    </w:p>
    <w:p>
      <w:pPr>
        <w:keepNext w:val="0"/>
      </w:pPr>
      <w:r>
        <w:t>The initial 16 concepts cover correctness, regression, compatibility, resource use and preference; current fact, diagnosis, example, procedure, counterevidence and verification needs; and implementation, disproved hypothesis, incomplete work, infrastructure and flaky outcomes. They are searchable facets with explicit definitions. They are not universal numeric axes or substitute verification statuses. The complete catalog is in vocabulary.json.</w:t>
      </w:r>
    </w:p>
    <w:p>
      <w:pPr>
        <w:keepNext w:val="0"/>
      </w:pPr>
      <w:r>
        <w:t>Concept identifiers such as sem:need.diagnosis resolve through the vocabulary release to checked concept entity UUIDs. New configuration, execution-case and dependency bindings use narrow checked registries where the existing tables do not already provide identities. A valid UUID is insufficient: the referenced state must belong to the stated repository, and execution evidence must agree with its actual run, environment and contract.</w:t>
      </w:r>
    </w:p>
    <w:p>
      <w:pPr>
        <w:pStyle w:val="Heading1"/>
      </w:pPr>
      <w:r>
        <w:t>3 Deterministic data types and exhaustive enumeration</w:t>
      </w:r>
    </w:p>
    <w:p>
      <w:pPr>
        <w:keepNext w:val="0"/>
      </w:pPr>
      <w:r>
        <w:t>Every catalogued data occurrence has exactly one registered primary type ID. Item IDs identify examples; type IDs identify immutable definitions shared by all examples of that type. This data-type registry is separate from the entity vocabulary: a JSON representation, an integer value, an agent definition and a source file need explicit data types even when they also refer to repositories, components or memory revisions.</w:t>
      </w:r>
    </w:p>
    <w:p>
      <w:pPr>
        <w:keepNext w:val="0"/>
      </w:pPr>
      <w:r>
        <w:t>The catalog is a projection over authoritative source records and immutable revisions. It does not copy ownership, admission or execution authority into a competing store. A checked owner reference, source revision, representation/itemisation generation and structural occurrence locator identify each item. Repeated equal values at different locations are distinct occurrences; content deduplication may share bytes while preserving every occurrence and its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104"/>
        <w:gridCol w:w="4104"/>
      </w:tblGrid>
      <w:tr>
        <w:trPr>
          <w:tblHeader/>
          <w:cantSplit/>
        </w:trPr>
        <w:tc>
          <w:tcPr>
            <w:tcW w:type="dxa" w:w="1872"/>
            <w:vAlign w:val="center"/>
            <w:shd w:fill="E7EEF4"/>
            <w:tcMar>
              <w:top w:w="85" w:type="dxa"/>
              <w:left w:w="90" w:type="dxa"/>
              <w:bottom w:w="85" w:type="dxa"/>
              <w:right w:w="90" w:type="dxa"/>
            </w:tcMar>
          </w:tcPr>
          <w:p>
            <w:pPr>
              <w:keepNext w:val="0"/>
              <w:spacing w:after="0" w:line="240" w:lineRule="auto"/>
            </w:pPr>
            <w:r>
              <w:rPr>
                <w:b/>
                <w:sz w:val="20"/>
              </w:rPr>
              <w:t>Requested type</w:t>
            </w:r>
          </w:p>
        </w:tc>
        <w:tc>
          <w:tcPr>
            <w:tcW w:type="dxa" w:w="4104"/>
            <w:vAlign w:val="center"/>
            <w:shd w:fill="E7EEF4"/>
            <w:tcMar>
              <w:top w:w="85" w:type="dxa"/>
              <w:left w:w="90" w:type="dxa"/>
              <w:bottom w:w="85" w:type="dxa"/>
              <w:right w:w="90" w:type="dxa"/>
            </w:tcMar>
          </w:tcPr>
          <w:p>
            <w:pPr>
              <w:keepNext w:val="0"/>
              <w:spacing w:after="0" w:line="240" w:lineRule="auto"/>
            </w:pPr>
            <w:r>
              <w:rPr>
                <w:b/>
                <w:sz w:val="20"/>
              </w:rPr>
              <w:t>Deterministic interpretation</w:t>
            </w:r>
          </w:p>
        </w:tc>
        <w:tc>
          <w:tcPr>
            <w:tcW w:type="dxa" w:w="4104"/>
            <w:vAlign w:val="center"/>
            <w:shd w:fill="E7EEF4"/>
            <w:tcMar>
              <w:top w:w="85" w:type="dxa"/>
              <w:left w:w="90" w:type="dxa"/>
              <w:bottom w:w="85" w:type="dxa"/>
              <w:right w:w="90" w:type="dxa"/>
            </w:tcMar>
          </w:tcPr>
          <w:p>
            <w:pPr>
              <w:keepNext w:val="0"/>
              <w:spacing w:after="0" w:line="240" w:lineRule="auto"/>
            </w:pPr>
            <w:r>
              <w:rPr>
                <w:b/>
                <w:sz w:val="20"/>
              </w:rPr>
              <w:t>Related items</w:t>
            </w:r>
          </w:p>
        </w:tc>
      </w:tr>
      <w:tr>
        <w:trPr>
          <w:cantSplit/>
        </w:trPr>
        <w:tc>
          <w:tcPr>
            <w:tcW w:type="dxa" w:w="1872"/>
            <w:vAlign w:val="center"/>
            <w:tcMar>
              <w:top w:w="85" w:type="dxa"/>
              <w:left w:w="90" w:type="dxa"/>
              <w:bottom w:w="85" w:type="dxa"/>
              <w:right w:w="90" w:type="dxa"/>
            </w:tcMar>
          </w:tcPr>
          <w:p>
            <w:pPr>
              <w:keepNext w:val="0"/>
              <w:spacing w:after="0" w:line="240" w:lineRule="auto"/>
            </w:pPr>
            <w:r>
              <w:rPr>
                <w:b w:val="0"/>
                <w:sz w:val="20"/>
              </w:rPr>
              <w:t>AGENTS.md file</w:t>
            </w:r>
          </w:p>
        </w:tc>
        <w:tc>
          <w:tcPr>
            <w:tcW w:type="dxa" w:w="4104"/>
            <w:vAlign w:val="center"/>
            <w:tcMar>
              <w:top w:w="85" w:type="dxa"/>
              <w:left w:w="90" w:type="dxa"/>
              <w:bottom w:w="85" w:type="dxa"/>
              <w:right w:w="90" w:type="dxa"/>
            </w:tcMar>
          </w:tcPr>
          <w:p>
            <w:pPr>
              <w:keepNext w:val="0"/>
              <w:spacing w:after="0" w:line="240" w:lineRule="auto"/>
            </w:pPr>
            <w:r>
              <w:rPr>
                <w:b w:val="0"/>
                <w:sz w:val="20"/>
              </w:rPr>
              <w:t>A file occurrence matching the registered filename and repository-path rule. The initial convention uses exact AGENTS.md basename; a lower-case display alias for the type does not change the filename rule.</w:t>
            </w:r>
          </w:p>
        </w:tc>
        <w:tc>
          <w:tcPr>
            <w:tcW w:type="dxa" w:w="4104"/>
            <w:vAlign w:val="center"/>
            <w:tcMar>
              <w:top w:w="85" w:type="dxa"/>
              <w:left w:w="90" w:type="dxa"/>
              <w:bottom w:w="85" w:type="dxa"/>
              <w:right w:w="90" w:type="dxa"/>
            </w:tcMar>
          </w:tcPr>
          <w:p>
            <w:pPr>
              <w:keepNext w:val="0"/>
              <w:spacing w:after="0" w:line="240" w:lineRule="auto"/>
            </w:pPr>
            <w:r>
              <w:rPr>
                <w:b w:val="0"/>
                <w:sz w:val="20"/>
              </w:rPr>
              <w:t>Its bytes and decoded/parsed representations are separate linked items. The filename does not guarantee Markdown validity or instruction authority.</w:t>
            </w:r>
          </w:p>
        </w:tc>
      </w:tr>
      <w:tr>
        <w:trPr>
          <w:cantSplit/>
        </w:trPr>
        <w:tc>
          <w:tcPr>
            <w:tcW w:type="dxa" w:w="1872"/>
            <w:vAlign w:val="center"/>
            <w:tcMar>
              <w:top w:w="85" w:type="dxa"/>
              <w:left w:w="90" w:type="dxa"/>
              <w:bottom w:w="85" w:type="dxa"/>
              <w:right w:w="90" w:type="dxa"/>
            </w:tcMar>
          </w:tcPr>
          <w:p>
            <w:pPr>
              <w:keepNext w:val="0"/>
              <w:spacing w:after="0" w:line="240" w:lineRule="auto"/>
            </w:pPr>
            <w:r>
              <w:rPr>
                <w:b w:val="0"/>
                <w:sz w:val="20"/>
              </w:rPr>
              <w:t>Raw binary data</w:t>
            </w:r>
          </w:p>
        </w:tc>
        <w:tc>
          <w:tcPr>
            <w:tcW w:type="dxa" w:w="4104"/>
            <w:vAlign w:val="center"/>
            <w:tcMar>
              <w:top w:w="85" w:type="dxa"/>
              <w:left w:w="90" w:type="dxa"/>
              <w:bottom w:w="85" w:type="dxa"/>
              <w:right w:w="90" w:type="dxa"/>
            </w:tcMar>
          </w:tcPr>
          <w:p>
            <w:pPr>
              <w:keepNext w:val="0"/>
              <w:spacing w:after="0" w:line="240" w:lineRule="auto"/>
            </w:pPr>
            <w:r>
              <w:rPr>
                <w:b w:val="0"/>
                <w:sz w:val="20"/>
              </w:rPr>
              <w:t>An explicitly opaque byte payload with a checked artifact reference. Unrecognized format is recorded separately from an intentional raw-byte interpretation.</w:t>
            </w:r>
          </w:p>
        </w:tc>
        <w:tc>
          <w:tcPr>
            <w:tcW w:type="dxa" w:w="4104"/>
            <w:vAlign w:val="center"/>
            <w:tcMar>
              <w:top w:w="85" w:type="dxa"/>
              <w:left w:w="90" w:type="dxa"/>
              <w:bottom w:w="85" w:type="dxa"/>
              <w:right w:w="90" w:type="dxa"/>
            </w:tcMar>
          </w:tcPr>
          <w:p>
            <w:pPr>
              <w:keepNext w:val="0"/>
              <w:spacing w:after="0" w:line="240" w:lineRule="auto"/>
            </w:pPr>
            <w:r>
              <w:rPr>
                <w:b w:val="0"/>
                <w:sz w:val="20"/>
              </w:rPr>
              <w:t>A file containing those bytes is a file occurrence. Arbitrary byte sequences are not exhaustively reinterpreted as numbers or text.</w:t>
            </w:r>
          </w:p>
        </w:tc>
      </w:tr>
      <w:tr>
        <w:trPr>
          <w:cantSplit/>
        </w:trPr>
        <w:tc>
          <w:tcPr>
            <w:tcW w:type="dxa" w:w="1872"/>
            <w:vAlign w:val="center"/>
            <w:tcMar>
              <w:top w:w="85" w:type="dxa"/>
              <w:left w:w="90" w:type="dxa"/>
              <w:bottom w:w="85" w:type="dxa"/>
              <w:right w:w="90" w:type="dxa"/>
            </w:tcMar>
          </w:tcPr>
          <w:p>
            <w:pPr>
              <w:keepNext w:val="0"/>
              <w:spacing w:after="0" w:line="240" w:lineRule="auto"/>
            </w:pPr>
            <w:r>
              <w:rPr>
                <w:b w:val="0"/>
                <w:sz w:val="20"/>
              </w:rPr>
              <w:t>Integer</w:t>
            </w:r>
          </w:p>
        </w:tc>
        <w:tc>
          <w:tcPr>
            <w:tcW w:type="dxa" w:w="4104"/>
            <w:vAlign w:val="center"/>
            <w:tcMar>
              <w:top w:w="85" w:type="dxa"/>
              <w:left w:w="90" w:type="dxa"/>
              <w:bottom w:w="85" w:type="dxa"/>
              <w:right w:w="90" w:type="dxa"/>
            </w:tcMar>
          </w:tcPr>
          <w:p>
            <w:pPr>
              <w:keepNext w:val="0"/>
              <w:spacing w:after="0" w:line="240" w:lineRule="auto"/>
            </w:pPr>
            <w:r>
              <w:rPr>
                <w:b w:val="0"/>
                <w:sz w:val="20"/>
              </w:rPr>
              <w:t>A typed integer value occurrence. JSON integer lexemes contain neither a fraction nor an exponent; other valid JSON numeric lexemes use exact decimal representation.</w:t>
            </w:r>
          </w:p>
        </w:tc>
        <w:tc>
          <w:tcPr>
            <w:tcW w:type="dxa" w:w="4104"/>
            <w:vAlign w:val="center"/>
            <w:tcMar>
              <w:top w:w="85" w:type="dxa"/>
              <w:left w:w="90" w:type="dxa"/>
              <w:bottom w:w="85" w:type="dxa"/>
              <w:right w:w="90" w:type="dxa"/>
            </w:tcMar>
          </w:tcPr>
          <w:p>
            <w:pPr>
              <w:keepNext w:val="0"/>
              <w:spacing w:after="0" w:line="240" w:lineRule="auto"/>
            </w:pPr>
            <w:r>
              <w:rPr>
                <w:b w:val="0"/>
                <w:sz w:val="20"/>
              </w:rPr>
              <w:t>A JSON document containing 42 is a document; its materialized value 42 is an integer. String "42" remains a string.</w:t>
            </w:r>
          </w:p>
        </w:tc>
      </w:tr>
      <w:tr>
        <w:trPr>
          <w:cantSplit/>
        </w:trPr>
        <w:tc>
          <w:tcPr>
            <w:tcW w:type="dxa" w:w="1872"/>
            <w:vAlign w:val="center"/>
            <w:tcMar>
              <w:top w:w="85" w:type="dxa"/>
              <w:left w:w="90" w:type="dxa"/>
              <w:bottom w:w="85" w:type="dxa"/>
              <w:right w:w="90" w:type="dxa"/>
            </w:tcMar>
          </w:tcPr>
          <w:p>
            <w:pPr>
              <w:keepNext w:val="0"/>
              <w:spacing w:after="0" w:line="240" w:lineRule="auto"/>
            </w:pPr>
            <w:r>
              <w:rPr>
                <w:b w:val="0"/>
                <w:sz w:val="20"/>
              </w:rPr>
              <w:t>JSON</w:t>
            </w:r>
          </w:p>
        </w:tc>
        <w:tc>
          <w:tcPr>
            <w:tcW w:type="dxa" w:w="4104"/>
            <w:vAlign w:val="center"/>
            <w:tcMar>
              <w:top w:w="85" w:type="dxa"/>
              <w:left w:w="90" w:type="dxa"/>
              <w:bottom w:w="85" w:type="dxa"/>
              <w:right w:w="90" w:type="dxa"/>
            </w:tcMar>
          </w:tcPr>
          <w:p>
            <w:pPr>
              <w:keepNext w:val="0"/>
              <w:spacing w:after="0" w:line="240" w:lineRule="auto"/>
            </w:pPr>
            <w:r>
              <w:rPr>
                <w:b w:val="0"/>
                <w:sz w:val="20"/>
              </w:rPr>
              <w:t>A full-input parsed JSON representation under the registered strict parser profile. Source files declared as JSON have a separate file-role type.</w:t>
            </w:r>
          </w:p>
        </w:tc>
        <w:tc>
          <w:tcPr>
            <w:tcW w:type="dxa" w:w="4104"/>
            <w:vAlign w:val="center"/>
            <w:tcMar>
              <w:top w:w="85" w:type="dxa"/>
              <w:left w:w="90" w:type="dxa"/>
              <w:bottom w:w="85" w:type="dxa"/>
              <w:right w:w="90" w:type="dxa"/>
            </w:tcMar>
          </w:tcPr>
          <w:p>
            <w:pPr>
              <w:keepNext w:val="0"/>
              <w:spacing w:after="0" w:line="240" w:lineRule="auto"/>
            </w:pPr>
            <w:r>
              <w:rPr>
                <w:b w:val="0"/>
                <w:sz w:val="20"/>
              </w:rPr>
              <w:t>Materialize objects, arrays and scalar children with stable locators. Reject duplicate keys, non-JSON numbers and trailing junk; never silently lose values.</w:t>
            </w:r>
          </w:p>
        </w:tc>
      </w:tr>
      <w:tr>
        <w:trPr>
          <w:cantSplit/>
        </w:trPr>
        <w:tc>
          <w:tcPr>
            <w:tcW w:type="dxa" w:w="1872"/>
            <w:vAlign w:val="center"/>
            <w:tcMar>
              <w:top w:w="85" w:type="dxa"/>
              <w:left w:w="90" w:type="dxa"/>
              <w:bottom w:w="85" w:type="dxa"/>
              <w:right w:w="90" w:type="dxa"/>
            </w:tcMar>
          </w:tcPr>
          <w:p>
            <w:pPr>
              <w:keepNext w:val="0"/>
              <w:spacing w:after="0" w:line="240" w:lineRule="auto"/>
            </w:pPr>
            <w:r>
              <w:rPr>
                <w:b w:val="0"/>
                <w:sz w:val="20"/>
              </w:rPr>
              <w:t>SQL</w:t>
            </w:r>
          </w:p>
        </w:tc>
        <w:tc>
          <w:tcPr>
            <w:tcW w:type="dxa" w:w="4104"/>
            <w:vAlign w:val="center"/>
            <w:tcMar>
              <w:top w:w="85" w:type="dxa"/>
              <w:left w:w="90" w:type="dxa"/>
              <w:bottom w:w="85" w:type="dxa"/>
              <w:right w:w="90" w:type="dxa"/>
            </w:tcMar>
          </w:tcPr>
          <w:p>
            <w:pPr>
              <w:keepNext w:val="0"/>
              <w:spacing w:after="0" w:line="240" w:lineRule="auto"/>
            </w:pPr>
            <w:r>
              <w:rPr>
                <w:b w:val="0"/>
                <w:sz w:val="20"/>
              </w:rPr>
              <w:t>A full-input syntax representation under an explicit dialect, parser version and script policy. A declared SQL source file remains distinguishable from validated syntax.</w:t>
            </w:r>
          </w:p>
        </w:tc>
        <w:tc>
          <w:tcPr>
            <w:tcW w:type="dxa" w:w="4104"/>
            <w:vAlign w:val="center"/>
            <w:tcMar>
              <w:top w:w="85" w:type="dxa"/>
              <w:left w:w="90" w:type="dxa"/>
              <w:bottom w:w="85" w:type="dxa"/>
              <w:right w:w="90" w:type="dxa"/>
            </w:tcMar>
          </w:tcPr>
          <w:p>
            <w:pPr>
              <w:keepNext w:val="0"/>
              <w:spacing w:after="0" w:line="240" w:lineRule="auto"/>
            </w:pPr>
            <w:r>
              <w:rPr>
                <w:b w:val="0"/>
                <w:sz w:val="20"/>
              </w:rPr>
              <w:t>Statements and registered literal nodes can be separate items. Syntax validity does not establish schema binding, successful execution or permission.</w:t>
            </w:r>
          </w:p>
        </w:tc>
      </w:tr>
    </w:tbl>
    <w:p>
      <w:pPr>
        <w:spacing w:after="0"/>
      </w:pPr>
    </w:p>
    <w:p>
      <w:pPr>
        <w:keepNext w:val="0"/>
      </w:pPr>
      <w:r>
        <w:t>A subtype relation means every instance satisfies the broader type definition. It is explicit, versioned and acyclic. Contains, parsed_from, represents and defined_by are different relationships. A file containing JSON does not become an integer because one descendant value is an integer. Overlapping representation properties are expressed as linked typed views or declared facets; they do not create competing primary types.</w:t>
      </w:r>
    </w:p>
    <w:p>
      <w:pPr>
        <w:pStyle w:val="Heading2"/>
      </w:pPr>
      <w:r>
        <w:t>Agent and workflow subtypes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960"/>
        <w:gridCol w:w="4032"/>
      </w:tblGrid>
      <w:tr>
        <w:trPr>
          <w:tblHeader/>
          <w:cantSplit/>
        </w:trPr>
        <w:tc>
          <w:tcPr>
            <w:tcW w:type="dxa" w:w="2088"/>
            <w:vAlign w:val="center"/>
            <w:shd w:fill="E7EEF4"/>
            <w:tcMar>
              <w:top w:w="85" w:type="dxa"/>
              <w:left w:w="90" w:type="dxa"/>
              <w:bottom w:w="85" w:type="dxa"/>
              <w:right w:w="90" w:type="dxa"/>
            </w:tcMar>
          </w:tcPr>
          <w:p>
            <w:pPr>
              <w:keepNext w:val="0"/>
              <w:spacing w:after="0" w:line="240" w:lineRule="auto"/>
            </w:pPr>
            <w:r>
              <w:rPr>
                <w:b/>
                <w:sz w:val="20"/>
              </w:rPr>
              <w:t>Type family</w:t>
            </w:r>
          </w:p>
        </w:tc>
        <w:tc>
          <w:tcPr>
            <w:tcW w:type="dxa" w:w="3960"/>
            <w:vAlign w:val="center"/>
            <w:shd w:fill="E7EEF4"/>
            <w:tcMar>
              <w:top w:w="85" w:type="dxa"/>
              <w:left w:w="90" w:type="dxa"/>
              <w:bottom w:w="85" w:type="dxa"/>
              <w:right w:w="90" w:type="dxa"/>
            </w:tcMar>
          </w:tcPr>
          <w:p>
            <w:pPr>
              <w:keepNext w:val="0"/>
              <w:spacing w:after="0" w:line="240" w:lineRule="auto"/>
            </w:pPr>
            <w:r>
              <w:rPr>
                <w:b/>
                <w:sz w:val="20"/>
              </w:rPr>
              <w:t>Initial subtypes</w:t>
            </w:r>
          </w:p>
        </w:tc>
        <w:tc>
          <w:tcPr>
            <w:tcW w:type="dxa" w:w="4032"/>
            <w:vAlign w:val="center"/>
            <w:shd w:fill="E7EEF4"/>
            <w:tcMar>
              <w:top w:w="85" w:type="dxa"/>
              <w:left w:w="90" w:type="dxa"/>
              <w:bottom w:w="85" w:type="dxa"/>
              <w:right w:w="90" w:type="dxa"/>
            </w:tcMar>
          </w:tcPr>
          <w:p>
            <w:pPr>
              <w:keepNext w:val="0"/>
              <w:spacing w:after="0" w:line="240" w:lineRule="auto"/>
            </w:pPr>
            <w:r>
              <w:rPr>
                <w:b/>
                <w:sz w:val="20"/>
              </w:rPr>
              <w:t>Instance distinction</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Agent definitions</w:t>
            </w:r>
          </w:p>
        </w:tc>
        <w:tc>
          <w:tcPr>
            <w:tcW w:type="dxa" w:w="3960"/>
            <w:vAlign w:val="center"/>
            <w:tcMar>
              <w:top w:w="85" w:type="dxa"/>
              <w:left w:w="90" w:type="dxa"/>
              <w:bottom w:w="85" w:type="dxa"/>
              <w:right w:w="90" w:type="dxa"/>
            </w:tcMar>
          </w:tcPr>
          <w:p>
            <w:pPr>
              <w:keepNext w:val="0"/>
              <w:spacing w:after="0" w:line="240" w:lineRule="auto"/>
            </w:pPr>
            <w:r>
              <w:rPr>
                <w:b w:val="0"/>
                <w:sz w:val="20"/>
              </w:rPr>
              <w:t>Coordination, planning, research, coding, review, verification assistance, memory curation and an explicit composite role.</w:t>
            </w:r>
          </w:p>
        </w:tc>
        <w:tc>
          <w:tcPr>
            <w:tcW w:type="dxa" w:w="4032"/>
            <w:vAlign w:val="center"/>
            <w:tcMar>
              <w:top w:w="85" w:type="dxa"/>
              <w:left w:w="90" w:type="dxa"/>
              <w:bottom w:w="85" w:type="dxa"/>
              <w:right w:w="90" w:type="dxa"/>
            </w:tcMar>
          </w:tcPr>
          <w:p>
            <w:pPr>
              <w:keepNext w:val="0"/>
              <w:spacing w:after="0" w:line="240" w:lineRule="auto"/>
            </w:pPr>
            <w:r>
              <w:rPr>
                <w:b w:val="0"/>
                <w:sz w:val="20"/>
              </w:rPr>
              <w:t>Deployments reference a definition and its configured immutable deployment identity. Runs reference their deployment/definition and concrete episode or execution.</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Workflow definitions</w:t>
            </w:r>
          </w:p>
        </w:tc>
        <w:tc>
          <w:tcPr>
            <w:tcW w:type="dxa" w:w="3960"/>
            <w:vAlign w:val="center"/>
            <w:tcMar>
              <w:top w:w="85" w:type="dxa"/>
              <w:left w:w="90" w:type="dxa"/>
              <w:bottom w:w="85" w:type="dxa"/>
              <w:right w:w="90" w:type="dxa"/>
            </w:tcMar>
          </w:tcPr>
          <w:p>
            <w:pPr>
              <w:keepNext w:val="0"/>
              <w:spacing w:after="0" w:line="240" w:lineRule="auto"/>
            </w:pPr>
            <w:r>
              <w:rPr>
                <w:b w:val="0"/>
                <w:sz w:val="20"/>
              </w:rPr>
              <w:t>Coding, research, verification, memory curation, evaluation and deployment.</w:t>
            </w:r>
          </w:p>
        </w:tc>
        <w:tc>
          <w:tcPr>
            <w:tcW w:type="dxa" w:w="4032"/>
            <w:vAlign w:val="center"/>
            <w:tcMar>
              <w:top w:w="85" w:type="dxa"/>
              <w:left w:w="90" w:type="dxa"/>
              <w:bottom w:w="85" w:type="dxa"/>
              <w:right w:w="90" w:type="dxa"/>
            </w:tcMar>
          </w:tcPr>
          <w:p>
            <w:pPr>
              <w:keepNext w:val="0"/>
              <w:spacing w:after="0" w:line="240" w:lineRule="auto"/>
            </w:pPr>
            <w:r>
              <w:rPr>
                <w:b w:val="0"/>
                <w:sz w:val="20"/>
              </w:rPr>
              <w:t>Runs reference an exact workflow definition revision and their execution record. Workflow steps preserve order, branches, inputs, outputs and stop conditions.</w:t>
            </w:r>
          </w:p>
        </w:tc>
      </w:tr>
    </w:tbl>
    <w:p>
      <w:pPr>
        <w:spacing w:after="0"/>
      </w:pPr>
    </w:p>
    <w:p>
      <w:pPr>
        <w:keepNext w:val="0"/>
      </w:pPr>
      <w:r>
        <w:t>A query for agent definitions with subtypes includes the registered specialist definitions. A query for coding-agent definitions excludes research agents and execution runs. To find all deployments or runs of those coding definitions, follow the explicit defined-by relationship and enumerate the selected runtime types. A composite agent declares its roles; membership does not infer additional tool capabilities. A verification-assistance agent can gather and explain evidence while the existing verification service owns authoritative outcomes.</w:t>
      </w:r>
    </w:p>
    <w:p>
      <w:pPr>
        <w:keepNext w:val="0"/>
      </w:pPr>
      <w:r>
        <w:t>A composite definition retains its composite primary subtype. To find every definition with a coding role, including composites, query the agent-definition family with the registered role facet set to coding. This is a separate exact query from asking for the dedicated coding subtype.</w:t>
      </w:r>
    </w:p>
    <w:p>
      <w:pPr>
        <w:keepNext w:val="0"/>
      </w:pPr>
      <w:r>
        <w:t>The same principle applies to workflows: “every verification workflow” enumerates definitions, while “every failed verification-workflow run” joins those definitions to run records and the existing run-status owner. Definition, deployment and execution are distinct questions. Workflow type membership does not execute a workflow or turn a predicted outcome into a completed run.</w:t>
      </w:r>
    </w:p>
    <w:p>
      <w:pPr>
        <w:pStyle w:val="Heading2"/>
      </w:pPr>
      <w:r>
        <w:t>Exact type queries</w:t>
      </w:r>
    </w:p>
    <w:p>
      <w:pPr>
        <w:keepNext w:val="0"/>
      </w:pPr>
      <w:r>
        <w:t>Resolve the requested type name or alias to one registry ID; ambiguous aliases require explicit resolution. Exact primary-type equality is the default. An include-subtypes option traverses only the registered subtype closure. Type queries use ordinary exact indexes and registered handlers, with no nearest-neighbor threshold or top-k limit. Lifecycle-domain filters are explicit: a raw source file does not need accepted-memory status merely to appear in a source inventory.</w:t>
      </w:r>
    </w:p>
    <w:p>
      <w:pPr>
        <w:keepNext w:val="0"/>
      </w:pPr>
      <w:r>
        <w:t>The query records type ID, registry release, subtype policy, authorized source scope, itemisation/classifier generation, filters and snapshot. Build an immutable ordered enumeration manifest in a short consistent transaction, then release the transaction before pagination or inference. The manifest contains all selected item/revision identities in deterministic order. A timestamp or MAX(id) watermark alone is insufficient to establish a consistent snapshot.</w:t>
      </w:r>
    </w:p>
    <w:p>
      <w:pPr>
        <w:keepNext w:val="0"/>
      </w:pPr>
      <w:r>
        <w:t>An opaque authenticated cursor binds the enumeration, next ordinal, query hash, requesting principal and expiry. Reusing a cursor with another type, scope or caller is rejected. Current access, deletion and relevant lifecycle rules are checked before each delivery. A changed eligibility boundary invalidates continuation and requires a fresh snapshot; a historical manifest cannot disclose revoked items or their counts. Concurrent new items appear in a new enumeration, not partway through the old one.</w:t>
      </w:r>
    </w:p>
    <w:p>
      <w:pPr>
        <w:keepNext w:val="0"/>
      </w:pPr>
      <w:r>
        <w:t>Completeness has separate dimensions: source ingestion, classification, nested-item materialisation, exact selection and delivery. The result names the source manifest and reports each dimension as complete, partial, failed or pending as appropriate. An interrupted page sequence, exhausted parser budget or unresolved format cannot produce an unqualified “every example” claim. Counts and coverage details obey the same visibility boundary as the items.</w:t>
      </w:r>
    </w:p>
    <w:p>
      <w:pPr>
        <w:pStyle w:val="Heading2"/>
      </w:pPr>
      <w:r>
        <w:t>The universe of every item</w:t>
      </w:r>
    </w:p>
    <w:p>
      <w:pPr>
        <w:keepNext w:val="0"/>
      </w:pPr>
      <w:r>
        <w:t>Catalog all content-bearing objects entering the registered source adapters, and materialize the scalar/container values of supported structured content under explicit itemisation rules. For JSON, preserve array position and object-member location, and define whether member names are content items or locator metadata. Do not recursively catalog the catalog’s own bookkeeping fields. A source manifest and itemisation policy make the enumeration universe inspectable.</w:t>
      </w:r>
    </w:p>
    <w:p>
      <w:pPr>
        <w:keepNext w:val="0"/>
      </w:pPr>
      <w:r>
        <w:t>JSON permits scalar roots and defines one number category. The integer/decimal split here is our declared parsing policy. Duplicate object names are rejected by our canonical projection profile; this is stricter than the base JSON grammar, and the original source remains captured with the profile rejection recorded. [R4]</w:t>
      </w:r>
    </w:p>
    <w:p>
      <w:pPr>
        <w:keepNext w:val="0"/>
      </w:pPr>
      <w:r>
        <w:t>SQL recognition consumes the entire declared input with a dialect-aware parser. Quoted semicolons and comments must remain part of lexical analysis; for example, SELECT ';'; cannot be split at every semicolon. Parsing establishes syntax only. [R5]</w:t>
      </w:r>
    </w:p>
    <w:p>
      <w:pPr>
        <w:keepNext w:val="0"/>
      </w:pPr>
      <w:r>
        <w:t>The default for supported structured sources is eager materialisation of their registered descendants. If a source is too large, invalid or unsupported, retain the captured source with its explicit type/status and record the missing descendant coverage. Resume materialisation or narrow the declared scope before claiming completeness. This can require substantial rows for large arrays; the exact index is intentionally optimized for exhaustive access, independently of the smaller subset selected for vector embedding.</w:t>
      </w:r>
    </w:p>
    <w:p>
      <w:pPr>
        <w:keepNext w:val="0"/>
      </w:pPr>
      <w:r>
        <w:t>An unresolved primary type is still a registered, searchable type. Reclassification produces a new catalog interpretation/generation, preserves historical snapshots and follows source deletion lineage. It never silently changes a type’s definition. The companion supplies the type catalog, item and query schemas, agent/workflow examples and separate enumeration conformance cases.</w:t>
      </w:r>
    </w:p>
    <w:p>
      <w:pPr>
        <w:pStyle w:val="Heading1"/>
      </w:pPr>
      <w:r>
        <w:t>4 Directed predicates and their meaning</w:t>
      </w:r>
    </w:p>
    <w:p>
      <w:pPr>
        <w:keepNext w:val="0"/>
      </w:pPr>
      <w:r>
        <w:t>Every predicate has a fixed signature with named roles. All initial predicates are directional, non-symmetric and non-transitive. Reversing the roles changes the claim. Transitive dependency reachability is a separately labelled query over direct edges; it never silently creates a new direct dependency fact.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4464"/>
      </w:tblGrid>
      <w:tr>
        <w:trPr>
          <w:tblHeader/>
          <w:cantSplit/>
        </w:trPr>
        <w:tc>
          <w:tcPr>
            <w:tcW w:type="dxa" w:w="2088"/>
            <w:vAlign w:val="center"/>
            <w:shd w:fill="E7EEF4"/>
            <w:tcMar>
              <w:top w:w="85" w:type="dxa"/>
              <w:left w:w="90" w:type="dxa"/>
              <w:bottom w:w="85" w:type="dxa"/>
              <w:right w:w="90" w:type="dxa"/>
            </w:tcMar>
          </w:tcPr>
          <w:p>
            <w:pPr>
              <w:keepNext w:val="0"/>
              <w:spacing w:after="0" w:line="240" w:lineRule="auto"/>
            </w:pPr>
            <w:r>
              <w:rPr>
                <w:b/>
                <w:sz w:val="20"/>
              </w:rPr>
              <w:t>Predicate in sem namespace</w:t>
            </w:r>
          </w:p>
        </w:tc>
        <w:tc>
          <w:tcPr>
            <w:tcW w:type="dxa" w:w="3528"/>
            <w:vAlign w:val="center"/>
            <w:shd w:fill="E7EEF4"/>
            <w:tcMar>
              <w:top w:w="85" w:type="dxa"/>
              <w:left w:w="90" w:type="dxa"/>
              <w:bottom w:w="85" w:type="dxa"/>
              <w:right w:w="90" w:type="dxa"/>
            </w:tcMar>
          </w:tcPr>
          <w:p>
            <w:pPr>
              <w:keepNext w:val="0"/>
              <w:spacing w:after="0" w:line="240" w:lineRule="auto"/>
            </w:pPr>
            <w:r>
              <w:rPr>
                <w:b/>
                <w:sz w:val="20"/>
              </w:rPr>
              <w:t>Named roles and types</w:t>
            </w:r>
          </w:p>
        </w:tc>
        <w:tc>
          <w:tcPr>
            <w:tcW w:type="dxa" w:w="4464"/>
            <w:vAlign w:val="center"/>
            <w:shd w:fill="E7EEF4"/>
            <w:tcMar>
              <w:top w:w="85" w:type="dxa"/>
              <w:left w:w="90" w:type="dxa"/>
              <w:bottom w:w="85" w:type="dxa"/>
              <w:right w:w="90" w:type="dxa"/>
            </w:tcMar>
          </w:tcPr>
          <w:p>
            <w:pPr>
              <w:keepNext w:val="0"/>
              <w:spacing w:after="0" w:line="240" w:lineRule="auto"/>
            </w:pPr>
            <w:r>
              <w:rPr>
                <w:b/>
                <w:sz w:val="20"/>
              </w:rPr>
              <w:t>Meaning boundary</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setting</w:t>
            </w:r>
          </w:p>
        </w:tc>
        <w:tc>
          <w:tcPr>
            <w:tcW w:type="dxa" w:w="3528"/>
            <w:vAlign w:val="center"/>
            <w:tcMar>
              <w:top w:w="85" w:type="dxa"/>
              <w:left w:w="90" w:type="dxa"/>
              <w:bottom w:w="85" w:type="dxa"/>
              <w:right w:w="90" w:type="dxa"/>
            </w:tcMar>
          </w:tcPr>
          <w:p>
            <w:pPr>
              <w:keepNext w:val="0"/>
              <w:spacing w:after="0" w:line="240" w:lineRule="auto"/>
            </w:pPr>
            <w:r>
              <w:rPr>
                <w:b w:val="0"/>
                <w:sz w:val="20"/>
              </w:rPr>
              <w:t>key: configuration_key</w:t>
              <w:br/>
              <w:t>value: scalar</w:t>
            </w:r>
          </w:p>
        </w:tc>
        <w:tc>
          <w:tcPr>
            <w:tcW w:type="dxa" w:w="4464"/>
            <w:vAlign w:val="center"/>
            <w:tcMar>
              <w:top w:w="85" w:type="dxa"/>
              <w:left w:w="90" w:type="dxa"/>
              <w:bottom w:w="85" w:type="dxa"/>
              <w:right w:w="90" w:type="dxa"/>
            </w:tcMar>
          </w:tcPr>
          <w:p>
            <w:pPr>
              <w:keepNext w:val="0"/>
              <w:spacing w:after="0" w:line="240" w:lineRule="auto"/>
            </w:pPr>
            <w:r>
              <w:rPr>
                <w:b w:val="0"/>
                <w:sz w:val="20"/>
              </w:rPr>
              <w:t>One effective value per key and situation; the key declares its type and nullability.</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dependency_version</w:t>
            </w:r>
          </w:p>
        </w:tc>
        <w:tc>
          <w:tcPr>
            <w:tcW w:type="dxa" w:w="3528"/>
            <w:vAlign w:val="center"/>
            <w:tcMar>
              <w:top w:w="85" w:type="dxa"/>
              <w:left w:w="90" w:type="dxa"/>
              <w:bottom w:w="85" w:type="dxa"/>
              <w:right w:w="90" w:type="dxa"/>
            </w:tcMar>
          </w:tcPr>
          <w:p>
            <w:pPr>
              <w:keepNext w:val="0"/>
              <w:spacing w:after="0" w:line="240" w:lineRule="auto"/>
            </w:pPr>
            <w:r>
              <w:rPr>
                <w:b w:val="0"/>
                <w:sz w:val="20"/>
              </w:rPr>
              <w:t>dependency: dependency_binding</w:t>
              <w:br/>
              <w:t>version: version</w:t>
            </w:r>
          </w:p>
        </w:tc>
        <w:tc>
          <w:tcPr>
            <w:tcW w:type="dxa" w:w="4464"/>
            <w:vAlign w:val="center"/>
            <w:tcMar>
              <w:top w:w="85" w:type="dxa"/>
              <w:left w:w="90" w:type="dxa"/>
              <w:bottom w:w="85" w:type="dxa"/>
              <w:right w:w="90" w:type="dxa"/>
            </w:tcMar>
          </w:tcPr>
          <w:p>
            <w:pPr>
              <w:keepNext w:val="0"/>
              <w:spacing w:after="0" w:line="240" w:lineRule="auto"/>
            </w:pPr>
            <w:r>
              <w:rPr>
                <w:b w:val="0"/>
                <w:sz w:val="20"/>
              </w:rPr>
              <w:t>One resolved version per dependency occurrence and situation.</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defines</w:t>
            </w:r>
          </w:p>
        </w:tc>
        <w:tc>
          <w:tcPr>
            <w:tcW w:type="dxa" w:w="3528"/>
            <w:vAlign w:val="center"/>
            <w:tcMar>
              <w:top w:w="85" w:type="dxa"/>
              <w:left w:w="90" w:type="dxa"/>
              <w:bottom w:w="85" w:type="dxa"/>
              <w:right w:w="90" w:type="dxa"/>
            </w:tcMar>
          </w:tcPr>
          <w:p>
            <w:pPr>
              <w:keepNext w:val="0"/>
              <w:spacing w:after="0" w:line="240" w:lineRule="auto"/>
            </w:pPr>
            <w:r>
              <w:rPr>
                <w:b w:val="0"/>
                <w:sz w:val="20"/>
              </w:rPr>
              <w:t>file: file</w:t>
              <w:br/>
              <w:t>symbol: symbol</w:t>
            </w:r>
          </w:p>
        </w:tc>
        <w:tc>
          <w:tcPr>
            <w:tcW w:type="dxa" w:w="4464"/>
            <w:vAlign w:val="center"/>
            <w:tcMar>
              <w:top w:w="85" w:type="dxa"/>
              <w:left w:w="90" w:type="dxa"/>
              <w:bottom w:w="85" w:type="dxa"/>
              <w:right w:w="90" w:type="dxa"/>
            </w:tcMar>
          </w:tcPr>
          <w:p>
            <w:pPr>
              <w:keepNext w:val="0"/>
              <w:spacing w:after="0" w:line="240" w:lineRule="auto"/>
            </w:pPr>
            <w:r>
              <w:rPr>
                <w:b w:val="0"/>
                <w:sz w:val="20"/>
              </w:rPr>
              <w:t>Direct definition in the stated repository state.</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calls</w:t>
            </w:r>
          </w:p>
        </w:tc>
        <w:tc>
          <w:tcPr>
            <w:tcW w:type="dxa" w:w="3528"/>
            <w:vAlign w:val="center"/>
            <w:tcMar>
              <w:top w:w="85" w:type="dxa"/>
              <w:left w:w="90" w:type="dxa"/>
              <w:bottom w:w="85" w:type="dxa"/>
              <w:right w:w="90" w:type="dxa"/>
            </w:tcMar>
          </w:tcPr>
          <w:p>
            <w:pPr>
              <w:keepNext w:val="0"/>
              <w:spacing w:after="0" w:line="240" w:lineRule="auto"/>
            </w:pPr>
            <w:r>
              <w:rPr>
                <w:b w:val="0"/>
                <w:sz w:val="20"/>
              </w:rPr>
              <w:t>caller: symbol</w:t>
              <w:br/>
              <w:t>callee: symbol/interface</w:t>
            </w:r>
          </w:p>
        </w:tc>
        <w:tc>
          <w:tcPr>
            <w:tcW w:type="dxa" w:w="4464"/>
            <w:vAlign w:val="center"/>
            <w:tcMar>
              <w:top w:w="85" w:type="dxa"/>
              <w:left w:w="90" w:type="dxa"/>
              <w:bottom w:w="85" w:type="dxa"/>
              <w:right w:w="90" w:type="dxa"/>
            </w:tcMar>
          </w:tcPr>
          <w:p>
            <w:pPr>
              <w:keepNext w:val="0"/>
              <w:spacing w:after="0" w:line="240" w:lineRule="auto"/>
            </w:pPr>
            <w:r>
              <w:rPr>
                <w:b w:val="0"/>
                <w:sz w:val="20"/>
              </w:rPr>
              <w:t>Direct invocation; static uncertainty and trace coverage remain visible.</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depends_on</w:t>
            </w:r>
          </w:p>
        </w:tc>
        <w:tc>
          <w:tcPr>
            <w:tcW w:type="dxa" w:w="3528"/>
            <w:vAlign w:val="center"/>
            <w:tcMar>
              <w:top w:w="85" w:type="dxa"/>
              <w:left w:w="90" w:type="dxa"/>
              <w:bottom w:w="85" w:type="dxa"/>
              <w:right w:w="90" w:type="dxa"/>
            </w:tcMar>
          </w:tcPr>
          <w:p>
            <w:pPr>
              <w:keepNext w:val="0"/>
              <w:spacing w:after="0" w:line="240" w:lineRule="auto"/>
            </w:pPr>
            <w:r>
              <w:rPr>
                <w:b w:val="0"/>
                <w:sz w:val="20"/>
              </w:rPr>
              <w:t>consumer: component</w:t>
              <w:br/>
              <w:t>provider: component</w:t>
            </w:r>
          </w:p>
        </w:tc>
        <w:tc>
          <w:tcPr>
            <w:tcW w:type="dxa" w:w="4464"/>
            <w:vAlign w:val="center"/>
            <w:tcMar>
              <w:top w:w="85" w:type="dxa"/>
              <w:left w:w="90" w:type="dxa"/>
              <w:bottom w:w="85" w:type="dxa"/>
              <w:right w:w="90" w:type="dxa"/>
            </w:tcMar>
          </w:tcPr>
          <w:p>
            <w:pPr>
              <w:keepNext w:val="0"/>
              <w:spacing w:after="0" w:line="240" w:lineRule="auto"/>
            </w:pPr>
            <w:r>
              <w:rPr>
                <w:b w:val="0"/>
                <w:sz w:val="20"/>
              </w:rPr>
              <w:t>Direct dependency from consumer to provider.</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exposes</w:t>
            </w:r>
          </w:p>
        </w:tc>
        <w:tc>
          <w:tcPr>
            <w:tcW w:type="dxa" w:w="3528"/>
            <w:vAlign w:val="center"/>
            <w:tcMar>
              <w:top w:w="85" w:type="dxa"/>
              <w:left w:w="90" w:type="dxa"/>
              <w:bottom w:w="85" w:type="dxa"/>
              <w:right w:w="90" w:type="dxa"/>
            </w:tcMar>
          </w:tcPr>
          <w:p>
            <w:pPr>
              <w:keepNext w:val="0"/>
              <w:spacing w:after="0" w:line="240" w:lineRule="auto"/>
            </w:pPr>
            <w:r>
              <w:rPr>
                <w:b w:val="0"/>
                <w:sz w:val="20"/>
              </w:rPr>
              <w:t>component: component</w:t>
              <w:br/>
              <w:t>interface: interface</w:t>
            </w:r>
          </w:p>
        </w:tc>
        <w:tc>
          <w:tcPr>
            <w:tcW w:type="dxa" w:w="4464"/>
            <w:vAlign w:val="center"/>
            <w:tcMar>
              <w:top w:w="85" w:type="dxa"/>
              <w:left w:w="90" w:type="dxa"/>
              <w:bottom w:w="85" w:type="dxa"/>
              <w:right w:w="90" w:type="dxa"/>
            </w:tcMar>
          </w:tcPr>
          <w:p>
            <w:pPr>
              <w:keepNext w:val="0"/>
              <w:spacing w:after="0" w:line="240" w:lineRule="auto"/>
            </w:pPr>
            <w:r>
              <w:rPr>
                <w:b w:val="0"/>
                <w:sz w:val="20"/>
              </w:rPr>
              <w:t>An identified interface is exposed under the stated conditions.</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implements</w:t>
            </w:r>
          </w:p>
        </w:tc>
        <w:tc>
          <w:tcPr>
            <w:tcW w:type="dxa" w:w="3528"/>
            <w:vAlign w:val="center"/>
            <w:tcMar>
              <w:top w:w="85" w:type="dxa"/>
              <w:left w:w="90" w:type="dxa"/>
              <w:bottom w:w="85" w:type="dxa"/>
              <w:right w:w="90" w:type="dxa"/>
            </w:tcMar>
          </w:tcPr>
          <w:p>
            <w:pPr>
              <w:keepNext w:val="0"/>
              <w:spacing w:after="0" w:line="240" w:lineRule="auto"/>
            </w:pPr>
            <w:r>
              <w:rPr>
                <w:b w:val="0"/>
                <w:sz w:val="20"/>
              </w:rPr>
              <w:t>implementation: component/symbol</w:t>
              <w:br/>
              <w:t>interface: interface</w:t>
            </w:r>
          </w:p>
        </w:tc>
        <w:tc>
          <w:tcPr>
            <w:tcW w:type="dxa" w:w="4464"/>
            <w:vAlign w:val="center"/>
            <w:tcMar>
              <w:top w:w="85" w:type="dxa"/>
              <w:left w:w="90" w:type="dxa"/>
              <w:bottom w:w="85" w:type="dxa"/>
              <w:right w:w="90" w:type="dxa"/>
            </w:tcMar>
          </w:tcPr>
          <w:p>
            <w:pPr>
              <w:keepNext w:val="0"/>
              <w:spacing w:after="0" w:line="240" w:lineRule="auto"/>
            </w:pPr>
            <w:r>
              <w:rPr>
                <w:b w:val="0"/>
                <w:sz w:val="20"/>
              </w:rPr>
              <w:t>Declared conformance does not establish every behavior.</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file_digest</w:t>
            </w:r>
          </w:p>
        </w:tc>
        <w:tc>
          <w:tcPr>
            <w:tcW w:type="dxa" w:w="3528"/>
            <w:vAlign w:val="center"/>
            <w:tcMar>
              <w:top w:w="85" w:type="dxa"/>
              <w:left w:w="90" w:type="dxa"/>
              <w:bottom w:w="85" w:type="dxa"/>
              <w:right w:w="90" w:type="dxa"/>
            </w:tcMar>
          </w:tcPr>
          <w:p>
            <w:pPr>
              <w:keepNext w:val="0"/>
              <w:spacing w:after="0" w:line="240" w:lineRule="auto"/>
            </w:pPr>
            <w:r>
              <w:rPr>
                <w:b w:val="0"/>
                <w:sz w:val="20"/>
              </w:rPr>
              <w:t>file: file</w:t>
              <w:br/>
              <w:t>digest: digest</w:t>
            </w:r>
          </w:p>
        </w:tc>
        <w:tc>
          <w:tcPr>
            <w:tcW w:type="dxa" w:w="4464"/>
            <w:vAlign w:val="center"/>
            <w:tcMar>
              <w:top w:w="85" w:type="dxa"/>
              <w:left w:w="90" w:type="dxa"/>
              <w:bottom w:w="85" w:type="dxa"/>
              <w:right w:w="90" w:type="dxa"/>
            </w:tcMar>
          </w:tcPr>
          <w:p>
            <w:pPr>
              <w:keepNext w:val="0"/>
              <w:spacing w:after="0" w:line="240" w:lineRule="auto"/>
            </w:pPr>
            <w:r>
              <w:rPr>
                <w:b w:val="0"/>
                <w:sz w:val="20"/>
              </w:rPr>
              <w:t>Byte digest calculated by a repository or artifact service.</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artifact_digest</w:t>
            </w:r>
          </w:p>
        </w:tc>
        <w:tc>
          <w:tcPr>
            <w:tcW w:type="dxa" w:w="3528"/>
            <w:vAlign w:val="center"/>
            <w:tcMar>
              <w:top w:w="85" w:type="dxa"/>
              <w:left w:w="90" w:type="dxa"/>
              <w:bottom w:w="85" w:type="dxa"/>
              <w:right w:w="90" w:type="dxa"/>
            </w:tcMar>
          </w:tcPr>
          <w:p>
            <w:pPr>
              <w:keepNext w:val="0"/>
              <w:spacing w:after="0" w:line="240" w:lineRule="auto"/>
            </w:pPr>
            <w:r>
              <w:rPr>
                <w:b w:val="0"/>
                <w:sz w:val="20"/>
              </w:rPr>
              <w:t>artifact: artifact</w:t>
              <w:br/>
              <w:t>digest: digest</w:t>
            </w:r>
          </w:p>
        </w:tc>
        <w:tc>
          <w:tcPr>
            <w:tcW w:type="dxa" w:w="4464"/>
            <w:vAlign w:val="center"/>
            <w:tcMar>
              <w:top w:w="85" w:type="dxa"/>
              <w:left w:w="90" w:type="dxa"/>
              <w:bottom w:w="85" w:type="dxa"/>
              <w:right w:w="90" w:type="dxa"/>
            </w:tcMar>
          </w:tcPr>
          <w:p>
            <w:pPr>
              <w:keepNext w:val="0"/>
              <w:spacing w:after="0" w:line="240" w:lineRule="auto"/>
            </w:pPr>
            <w:r>
              <w:rPr>
                <w:b w:val="0"/>
                <w:sz w:val="20"/>
              </w:rPr>
              <w:t>Verified digest of an immutable artifact record.</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test_result</w:t>
            </w:r>
          </w:p>
        </w:tc>
        <w:tc>
          <w:tcPr>
            <w:tcW w:type="dxa" w:w="3528"/>
            <w:vAlign w:val="center"/>
            <w:tcMar>
              <w:top w:w="85" w:type="dxa"/>
              <w:left w:w="90" w:type="dxa"/>
              <w:bottom w:w="85" w:type="dxa"/>
              <w:right w:w="90" w:type="dxa"/>
            </w:tcMar>
          </w:tcPr>
          <w:p>
            <w:pPr>
              <w:keepNext w:val="0"/>
              <w:spacing w:after="0" w:line="240" w:lineRule="auto"/>
            </w:pPr>
            <w:r>
              <w:rPr>
                <w:b w:val="0"/>
                <w:sz w:val="20"/>
              </w:rPr>
              <w:t>run: action_run</w:t>
              <w:br/>
              <w:t>test: test_case</w:t>
              <w:br/>
              <w:t>result: result_status</w:t>
            </w:r>
          </w:p>
        </w:tc>
        <w:tc>
          <w:tcPr>
            <w:tcW w:type="dxa" w:w="4464"/>
            <w:vAlign w:val="center"/>
            <w:tcMar>
              <w:top w:w="85" w:type="dxa"/>
              <w:left w:w="90" w:type="dxa"/>
              <w:bottom w:w="85" w:type="dxa"/>
              <w:right w:w="90" w:type="dxa"/>
            </w:tcMar>
          </w:tcPr>
          <w:p>
            <w:pPr>
              <w:keepNext w:val="0"/>
              <w:spacing w:after="0" w:line="240" w:lineRule="auto"/>
            </w:pPr>
            <w:r>
              <w:rPr>
                <w:b w:val="0"/>
                <w:sz w:val="20"/>
              </w:rPr>
              <w:t>Result of one test occurrence in one execution attempt.</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criterion_result</w:t>
            </w:r>
          </w:p>
        </w:tc>
        <w:tc>
          <w:tcPr>
            <w:tcW w:type="dxa" w:w="3528"/>
            <w:vAlign w:val="center"/>
            <w:tcMar>
              <w:top w:w="85" w:type="dxa"/>
              <w:left w:w="90" w:type="dxa"/>
              <w:bottom w:w="85" w:type="dxa"/>
              <w:right w:w="90" w:type="dxa"/>
            </w:tcMar>
          </w:tcPr>
          <w:p>
            <w:pPr>
              <w:keepNext w:val="0"/>
              <w:spacing w:after="0" w:line="240" w:lineRule="auto"/>
            </w:pPr>
            <w:r>
              <w:rPr>
                <w:b w:val="0"/>
                <w:sz w:val="20"/>
              </w:rPr>
              <w:t>assessment: verification_assessment</w:t>
              <w:br/>
              <w:t>requirement: requirement</w:t>
              <w:br/>
              <w:t>result: result_status</w:t>
            </w:r>
          </w:p>
        </w:tc>
        <w:tc>
          <w:tcPr>
            <w:tcW w:type="dxa" w:w="4464"/>
            <w:vAlign w:val="center"/>
            <w:tcMar>
              <w:top w:w="85" w:type="dxa"/>
              <w:left w:w="90" w:type="dxa"/>
              <w:bottom w:w="85" w:type="dxa"/>
              <w:right w:w="90" w:type="dxa"/>
            </w:tcMar>
          </w:tcPr>
          <w:p>
            <w:pPr>
              <w:keepNext w:val="0"/>
              <w:spacing w:after="0" w:line="240" w:lineRule="auto"/>
            </w:pPr>
            <w:r>
              <w:rPr>
                <w:b w:val="0"/>
                <w:sz w:val="20"/>
              </w:rPr>
              <w:t>Result assigned by the verification service for a concrete assessment.</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returns</w:t>
            </w:r>
          </w:p>
        </w:tc>
        <w:tc>
          <w:tcPr>
            <w:tcW w:type="dxa" w:w="3528"/>
            <w:vAlign w:val="center"/>
            <w:tcMar>
              <w:top w:w="85" w:type="dxa"/>
              <w:left w:w="90" w:type="dxa"/>
              <w:bottom w:w="85" w:type="dxa"/>
              <w:right w:w="90" w:type="dxa"/>
            </w:tcMar>
          </w:tcPr>
          <w:p>
            <w:pPr>
              <w:keepNext w:val="0"/>
              <w:spacing w:after="0" w:line="240" w:lineRule="auto"/>
            </w:pPr>
            <w:r>
              <w:rPr>
                <w:b w:val="0"/>
                <w:sz w:val="20"/>
              </w:rPr>
              <w:t>case: execution_case</w:t>
              <w:br/>
              <w:t>value: scalar</w:t>
            </w:r>
          </w:p>
        </w:tc>
        <w:tc>
          <w:tcPr>
            <w:tcW w:type="dxa" w:w="4464"/>
            <w:vAlign w:val="center"/>
            <w:tcMar>
              <w:top w:w="85" w:type="dxa"/>
              <w:left w:w="90" w:type="dxa"/>
              <w:bottom w:w="85" w:type="dxa"/>
              <w:right w:w="90" w:type="dxa"/>
            </w:tcMar>
          </w:tcPr>
          <w:p>
            <w:pPr>
              <w:keepNext w:val="0"/>
              <w:spacing w:after="0" w:line="240" w:lineRule="auto"/>
            </w:pPr>
            <w:r>
              <w:rPr>
                <w:b w:val="0"/>
                <w:sz w:val="20"/>
              </w:rPr>
              <w:t>Observed or reported scalar outcome for a specific input case; no universal generalization.</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raises</w:t>
            </w:r>
          </w:p>
        </w:tc>
        <w:tc>
          <w:tcPr>
            <w:tcW w:type="dxa" w:w="3528"/>
            <w:vAlign w:val="center"/>
            <w:tcMar>
              <w:top w:w="85" w:type="dxa"/>
              <w:left w:w="90" w:type="dxa"/>
              <w:bottom w:w="85" w:type="dxa"/>
              <w:right w:w="90" w:type="dxa"/>
            </w:tcMar>
          </w:tcPr>
          <w:p>
            <w:pPr>
              <w:keepNext w:val="0"/>
              <w:spacing w:after="0" w:line="240" w:lineRule="auto"/>
            </w:pPr>
            <w:r>
              <w:rPr>
                <w:b w:val="0"/>
                <w:sz w:val="20"/>
              </w:rPr>
              <w:t>case: execution_case</w:t>
              <w:br/>
              <w:t>error: concept</w:t>
            </w:r>
          </w:p>
        </w:tc>
        <w:tc>
          <w:tcPr>
            <w:tcW w:type="dxa" w:w="4464"/>
            <w:vAlign w:val="center"/>
            <w:tcMar>
              <w:top w:w="85" w:type="dxa"/>
              <w:left w:w="90" w:type="dxa"/>
              <w:bottom w:w="85" w:type="dxa"/>
              <w:right w:w="90" w:type="dxa"/>
            </w:tcMar>
          </w:tcPr>
          <w:p>
            <w:pPr>
              <w:keepNext w:val="0"/>
              <w:spacing w:after="0" w:line="240" w:lineRule="auto"/>
            </w:pPr>
            <w:r>
              <w:rPr>
                <w:b w:val="0"/>
                <w:sz w:val="20"/>
              </w:rPr>
              <w:t>Error class for a specific case and situation.</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produced_by</w:t>
            </w:r>
          </w:p>
        </w:tc>
        <w:tc>
          <w:tcPr>
            <w:tcW w:type="dxa" w:w="3528"/>
            <w:vAlign w:val="center"/>
            <w:tcMar>
              <w:top w:w="85" w:type="dxa"/>
              <w:left w:w="90" w:type="dxa"/>
              <w:bottom w:w="85" w:type="dxa"/>
              <w:right w:w="90" w:type="dxa"/>
            </w:tcMar>
          </w:tcPr>
          <w:p>
            <w:pPr>
              <w:keepNext w:val="0"/>
              <w:spacing w:after="0" w:line="240" w:lineRule="auto"/>
            </w:pPr>
            <w:r>
              <w:rPr>
                <w:b w:val="0"/>
                <w:sz w:val="20"/>
              </w:rPr>
              <w:t>artifact: artifact</w:t>
              <w:br/>
              <w:t>run: action_run</w:t>
            </w:r>
          </w:p>
        </w:tc>
        <w:tc>
          <w:tcPr>
            <w:tcW w:type="dxa" w:w="4464"/>
            <w:vAlign w:val="center"/>
            <w:tcMar>
              <w:top w:w="85" w:type="dxa"/>
              <w:left w:w="90" w:type="dxa"/>
              <w:bottom w:w="85" w:type="dxa"/>
              <w:right w:w="90" w:type="dxa"/>
            </w:tcMar>
          </w:tcPr>
          <w:p>
            <w:pPr>
              <w:keepNext w:val="0"/>
              <w:spacing w:after="0" w:line="240" w:lineRule="auto"/>
            </w:pPr>
            <w:r>
              <w:rPr>
                <w:b w:val="0"/>
                <w:sz w:val="20"/>
              </w:rPr>
              <w:t>A checked run output; several runs can produce identical artifact content.</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addresses</w:t>
            </w:r>
          </w:p>
        </w:tc>
        <w:tc>
          <w:tcPr>
            <w:tcW w:type="dxa" w:w="3528"/>
            <w:vAlign w:val="center"/>
            <w:tcMar>
              <w:top w:w="85" w:type="dxa"/>
              <w:left w:w="90" w:type="dxa"/>
              <w:bottom w:w="85" w:type="dxa"/>
              <w:right w:w="90" w:type="dxa"/>
            </w:tcMar>
          </w:tcPr>
          <w:p>
            <w:pPr>
              <w:keepNext w:val="0"/>
              <w:spacing w:after="0" w:line="240" w:lineRule="auto"/>
            </w:pPr>
            <w:r>
              <w:rPr>
                <w:b w:val="0"/>
                <w:sz w:val="20"/>
              </w:rPr>
              <w:t>procedure: procedure_revision</w:t>
              <w:br/>
              <w:t>problem: concept</w:t>
            </w:r>
          </w:p>
        </w:tc>
        <w:tc>
          <w:tcPr>
            <w:tcW w:type="dxa" w:w="4464"/>
            <w:vAlign w:val="center"/>
            <w:tcMar>
              <w:top w:w="85" w:type="dxa"/>
              <w:left w:w="90" w:type="dxa"/>
              <w:bottom w:w="85" w:type="dxa"/>
              <w:right w:w="90" w:type="dxa"/>
            </w:tcMar>
          </w:tcPr>
          <w:p>
            <w:pPr>
              <w:keepNext w:val="0"/>
              <w:spacing w:after="0" w:line="240" w:lineRule="auto"/>
            </w:pPr>
            <w:r>
              <w:rPr>
                <w:b w:val="0"/>
                <w:sz w:val="20"/>
              </w:rPr>
              <w:t>Procedure relevance to a problem concept; no success guarantee.</w:t>
            </w:r>
          </w:p>
        </w:tc>
      </w:tr>
      <w:tr>
        <w:trPr>
          <w:cantSplit/>
        </w:trPr>
        <w:tc>
          <w:tcPr>
            <w:tcW w:type="dxa" w:w="2088"/>
            <w:vAlign w:val="center"/>
            <w:tcMar>
              <w:top w:w="85" w:type="dxa"/>
              <w:left w:w="90" w:type="dxa"/>
              <w:bottom w:w="85" w:type="dxa"/>
              <w:right w:w="90" w:type="dxa"/>
            </w:tcMar>
          </w:tcPr>
          <w:p>
            <w:pPr>
              <w:keepNext w:val="0"/>
              <w:spacing w:after="0" w:line="240" w:lineRule="auto"/>
            </w:pPr>
            <w:r>
              <w:rPr>
                <w:b w:val="0"/>
                <w:sz w:val="20"/>
              </w:rPr>
              <w:t>measurement</w:t>
            </w:r>
          </w:p>
        </w:tc>
        <w:tc>
          <w:tcPr>
            <w:tcW w:type="dxa" w:w="3528"/>
            <w:vAlign w:val="center"/>
            <w:tcMar>
              <w:top w:w="85" w:type="dxa"/>
              <w:left w:w="90" w:type="dxa"/>
              <w:bottom w:w="85" w:type="dxa"/>
              <w:right w:w="90" w:type="dxa"/>
            </w:tcMar>
          </w:tcPr>
          <w:p>
            <w:pPr>
              <w:keepNext w:val="0"/>
              <w:spacing w:after="0" w:line="240" w:lineRule="auto"/>
            </w:pPr>
            <w:r>
              <w:rPr>
                <w:b w:val="0"/>
                <w:sz w:val="20"/>
              </w:rPr>
              <w:t>run: action_run</w:t>
              <w:br/>
              <w:t>metric: metric</w:t>
              <w:br/>
              <w:t>value: quantity</w:t>
            </w:r>
          </w:p>
        </w:tc>
        <w:tc>
          <w:tcPr>
            <w:tcW w:type="dxa" w:w="4464"/>
            <w:vAlign w:val="center"/>
            <w:tcMar>
              <w:top w:w="85" w:type="dxa"/>
              <w:left w:w="90" w:type="dxa"/>
              <w:bottom w:w="85" w:type="dxa"/>
              <w:right w:w="90" w:type="dxa"/>
            </w:tcMar>
          </w:tcPr>
          <w:p>
            <w:pPr>
              <w:keepNext w:val="0"/>
              <w:spacing w:after="0" w:line="240" w:lineRule="auto"/>
            </w:pPr>
            <w:r>
              <w:rPr>
                <w:b w:val="0"/>
                <w:sz w:val="20"/>
              </w:rPr>
              <w:t>Aggregate metric with canonical units and a declared accounting policy.</w:t>
            </w:r>
          </w:p>
        </w:tc>
      </w:tr>
    </w:tbl>
    <w:p>
      <w:pPr>
        <w:spacing w:after="0"/>
      </w:pPr>
    </w:p>
    <w:p>
      <w:pPr>
        <w:keepNext w:val="0"/>
      </w:pPr>
      <w:r>
        <w:t>Functionality is declared only where justified: setting by key; dependency_version by binding; file_digest by file; artifact_digest by artifact; test_result by run and test occurrence; criterion_result by assessment and requirement; measurement by run and metric under one accounting policy. Unequal values imply a conflict only after proving that the situations overlap and the values belong to a compatible domain. Other predicates remain many-valued.</w:t>
      </w:r>
    </w:p>
    <w:p>
      <w:pPr>
        <w:keepNext w:val="0"/>
      </w:pPr>
      <w:r>
        <w:t>Evidence and memory relations are separate from ordinary claims: supports, contradicts, qualifies, derived_from, supersedes, exception_to, prerequisite_for and related_to. They map to the existing checked evidence targets and memory edges. Derivation and supersession cycles are rejected where the architecture requires acyclicity; ordinary relatedness cycles are allowed. [A, pp 15–16, 22–24]</w:t>
      </w:r>
    </w:p>
    <w:p>
      <w:pPr>
        <w:pStyle w:val="Heading1"/>
      </w:pPr>
      <w:r>
        <w:t>5 Typed values and exact identity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tblHeader/>
          <w:cantSplit/>
        </w:trPr>
        <w:tc>
          <w:tcPr>
            <w:tcW w:type="dxa" w:w="2376"/>
            <w:vAlign w:val="center"/>
            <w:shd w:fill="E7EEF4"/>
            <w:tcMar>
              <w:top w:w="85" w:type="dxa"/>
              <w:left w:w="90" w:type="dxa"/>
              <w:bottom w:w="85" w:type="dxa"/>
              <w:right w:w="90" w:type="dxa"/>
            </w:tcMar>
          </w:tcPr>
          <w:p>
            <w:pPr>
              <w:keepNext w:val="0"/>
              <w:spacing w:after="0" w:line="240" w:lineRule="auto"/>
            </w:pPr>
            <w:r>
              <w:rPr>
                <w:b/>
                <w:sz w:val="20"/>
              </w:rPr>
              <w:t>Value type</w:t>
            </w:r>
          </w:p>
        </w:tc>
        <w:tc>
          <w:tcPr>
            <w:tcW w:type="dxa" w:w="7704"/>
            <w:vAlign w:val="center"/>
            <w:shd w:fill="E7EEF4"/>
            <w:tcMar>
              <w:top w:w="85" w:type="dxa"/>
              <w:left w:w="90" w:type="dxa"/>
              <w:bottom w:w="85" w:type="dxa"/>
              <w:right w:w="90" w:type="dxa"/>
            </w:tcMar>
          </w:tcPr>
          <w:p>
            <w:pPr>
              <w:keepNext w:val="0"/>
              <w:spacing w:after="0" w:line="240" w:lineRule="auto"/>
            </w:pPr>
            <w:r>
              <w:rPr>
                <w:b/>
                <w:sz w:val="20"/>
              </w:rPr>
              <w:t>Canonical rule</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Boolean, integer, decimal</w:t>
            </w:r>
          </w:p>
        </w:tc>
        <w:tc>
          <w:tcPr>
            <w:tcW w:type="dxa" w:w="7704"/>
            <w:vAlign w:val="center"/>
            <w:tcMar>
              <w:top w:w="85" w:type="dxa"/>
              <w:left w:w="90" w:type="dxa"/>
              <w:bottom w:w="85" w:type="dxa"/>
              <w:right w:w="90" w:type="dxa"/>
            </w:tcMar>
          </w:tcPr>
          <w:p>
            <w:pPr>
              <w:keepNext w:val="0"/>
              <w:spacing w:after="0" w:line="240" w:lineRule="auto"/>
            </w:pPr>
            <w:r>
              <w:rPr>
                <w:b w:val="0"/>
                <w:sz w:val="20"/>
              </w:rPr>
              <w:t>Boolean uses JSON true/false. Integer and decimal use canonical strings, with no leading zeros, redundant trailing zeros or negative zero. Integer 1 and decimal 1 retain distinct types.</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String and enum</w:t>
            </w:r>
          </w:p>
        </w:tc>
        <w:tc>
          <w:tcPr>
            <w:tcW w:type="dxa" w:w="7704"/>
            <w:vAlign w:val="center"/>
            <w:tcMar>
              <w:top w:w="85" w:type="dxa"/>
              <w:left w:w="90" w:type="dxa"/>
              <w:bottom w:w="85" w:type="dxa"/>
              <w:right w:w="90" w:type="dxa"/>
            </w:tcMar>
          </w:tcPr>
          <w:p>
            <w:pPr>
              <w:keepNext w:val="0"/>
              <w:spacing w:after="0" w:line="240" w:lineRule="auto"/>
            </w:pPr>
            <w:r>
              <w:rPr>
                <w:b w:val="0"/>
                <w:sz w:val="20"/>
              </w:rPr>
              <w:t>Strings preserve exact Unicode content. Enums name a registered domain and value. No default lowercasing, whitespace cleanup or label-based coercion changes meaning.</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Version</w:t>
            </w:r>
          </w:p>
        </w:tc>
        <w:tc>
          <w:tcPr>
            <w:tcW w:type="dxa" w:w="7704"/>
            <w:vAlign w:val="center"/>
            <w:tcMar>
              <w:top w:w="85" w:type="dxa"/>
              <w:left w:w="90" w:type="dxa"/>
              <w:bottom w:w="85" w:type="dxa"/>
              <w:right w:w="90" w:type="dxa"/>
            </w:tcMar>
          </w:tcPr>
          <w:p>
            <w:pPr>
              <w:keepNext w:val="0"/>
              <w:spacing w:after="0" w:line="240" w:lineRule="auto"/>
            </w:pPr>
            <w:r>
              <w:rPr>
                <w:b w:val="0"/>
                <w:sz w:val="20"/>
              </w:rPr>
              <w:t>Keep ecosystem and version string together. Parse with a pinned semver or PEP 440 adapter. Version 3.10 is not decimal 3.1.</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Digest and timestamp</w:t>
            </w:r>
          </w:p>
        </w:tc>
        <w:tc>
          <w:tcPr>
            <w:tcW w:type="dxa" w:w="7704"/>
            <w:vAlign w:val="center"/>
            <w:tcMar>
              <w:top w:w="85" w:type="dxa"/>
              <w:left w:w="90" w:type="dxa"/>
              <w:bottom w:w="85" w:type="dxa"/>
              <w:right w:w="90" w:type="dxa"/>
            </w:tcMar>
          </w:tcPr>
          <w:p>
            <w:pPr>
              <w:keepNext w:val="0"/>
              <w:spacing w:after="0" w:line="240" w:lineRule="auto"/>
            </w:pPr>
            <w:r>
              <w:rPr>
                <w:b w:val="0"/>
                <w:sz w:val="20"/>
              </w:rPr>
              <w:t>Digests name SHA-256 and lowercase hexadecimal bytes. Timestamps use a declared UTC canonical form; parsing and ordering are service checks.</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Quantity</w:t>
            </w:r>
          </w:p>
        </w:tc>
        <w:tc>
          <w:tcPr>
            <w:tcW w:type="dxa" w:w="7704"/>
            <w:vAlign w:val="center"/>
            <w:tcMar>
              <w:top w:w="85" w:type="dxa"/>
              <w:left w:w="90" w:type="dxa"/>
              <w:bottom w:w="85" w:type="dxa"/>
              <w:right w:w="90" w:type="dxa"/>
            </w:tcMar>
          </w:tcPr>
          <w:p>
            <w:pPr>
              <w:keepNext w:val="0"/>
              <w:spacing w:after="0" w:line="240" w:lineRule="auto"/>
            </w:pPr>
            <w:r>
              <w:rPr>
                <w:b w:val="0"/>
                <w:sz w:val="20"/>
              </w:rPr>
              <w:t>Use a canonical decimal string and unit: seconds, bytes or count. A metric selects its permitted unit and accounting policy.</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Null, unknown and absent</w:t>
            </w:r>
          </w:p>
        </w:tc>
        <w:tc>
          <w:tcPr>
            <w:tcW w:type="dxa" w:w="7704"/>
            <w:vAlign w:val="center"/>
            <w:tcMar>
              <w:top w:w="85" w:type="dxa"/>
              <w:left w:w="90" w:type="dxa"/>
              <w:bottom w:w="85" w:type="dxa"/>
              <w:right w:w="90" w:type="dxa"/>
            </w:tcMar>
          </w:tcPr>
          <w:p>
            <w:pPr>
              <w:keepNext w:val="0"/>
              <w:spacing w:after="0" w:line="240" w:lineRule="auto"/>
            </w:pPr>
            <w:r>
              <w:rPr>
                <w:b w:val="0"/>
                <w:sz w:val="20"/>
              </w:rPr>
              <w:t>Null is an explicit nullable value. Unknown records a reason. Absence is a fact about inspected context availability. False, zero and empty string remain ordinary distinct values.</w:t>
            </w:r>
          </w:p>
        </w:tc>
      </w:tr>
    </w:tbl>
    <w:p>
      <w:pPr>
        <w:spacing w:after="0"/>
      </w:pPr>
    </w:p>
    <w:p>
      <w:pPr>
        <w:keepNext w:val="0"/>
      </w:pPr>
      <w:r>
        <w:t>Before hashing, apply the declared type normalization and safe condition normalization, then RFC 8785 JSON canonicalization and SHA-256. RFC 8785 supplies deterministic JSON serialization; the semantic normalization rules are part of this design. Retain canonical bytes and compare them when digests match. [R1]</w:t>
      </w:r>
    </w:p>
    <w:p>
      <w:pPr>
        <w:keepNext w:val="0"/>
      </w:pPr>
      <w:r>
        <w:t>A proposition fingerprint includes the vocabulary release and signed typed atom. A statement fingerprint also includes mode, force, when, scope, applicability and valid-time qualifiers. Producer, evidence, confidence and lifecycle do not define meaning. Two independently evidenced statements may share a meaning fingerprint while retaining separate provenance. A fingerprint is never an overwrite key for memory.</w:t>
      </w:r>
    </w:p>
    <w:p>
      <w:pPr>
        <w:keepNext w:val="0"/>
      </w:pPr>
      <w:r>
        <w:t>Exact equality is limited to complete, resolved statements within the declared normalization rules. Unknown or partially mapped records can have stable content hashes but cannot receive confirmed exact-meaning equality. Statements from different vocabulary releases require an explicit compatibility mapping or migration; equal coordinate positions or similar text cannot supply it.</w:t>
      </w:r>
    </w:p>
    <w:p>
      <w:pPr>
        <w:pStyle w:val="Heading1"/>
      </w:pPr>
      <w:r>
        <w:t>6 Statement structure and modality</w:t>
      </w:r>
    </w:p>
    <w:p>
      <w:pPr>
        <w:keepNext w:val="0"/>
      </w:pPr>
      <w:r>
        <w:t>A bundle lives inside a validated memory revision or a registered derived representation. Each frame has a revision-local ID. The wire schema closes objects against extra fields and uses registered predicate signatures. JSON Schema validates shape; checked references, evidence adequacy and authority remain service responsibilities. [R2]</w:t>
      </w:r>
    </w:p>
    <w:p>
      <w:pPr>
        <w:keepNext w:val="0"/>
      </w:pPr>
      <w:r>
        <w:t>Frame keys and conjunction-group keys are unique within the source revision and representation generation, including across bundles. Every conjunction member resolves to one distinct frame. Questions retain need_revisions ownership through a separate query view; a question does not become an accepted memory merely because it has been encoded. Unbound query intent is separate from a factual unknown term.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tblHeader/>
          <w:cantSplit/>
        </w:trPr>
        <w:tc>
          <w:tcPr>
            <w:tcW w:type="dxa" w:w="2448"/>
            <w:vAlign w:val="center"/>
            <w:shd w:fill="E7EEF4"/>
            <w:tcMar>
              <w:top w:w="85" w:type="dxa"/>
              <w:left w:w="90" w:type="dxa"/>
              <w:bottom w:w="85" w:type="dxa"/>
              <w:right w:w="90" w:type="dxa"/>
            </w:tcMar>
          </w:tcPr>
          <w:p>
            <w:pPr>
              <w:keepNext w:val="0"/>
              <w:spacing w:after="0" w:line="240" w:lineRule="auto"/>
            </w:pPr>
            <w:r>
              <w:rPr>
                <w:b/>
                <w:sz w:val="20"/>
              </w:rPr>
              <w:t>Frame field</w:t>
            </w:r>
          </w:p>
        </w:tc>
        <w:tc>
          <w:tcPr>
            <w:tcW w:type="dxa" w:w="7632"/>
            <w:vAlign w:val="center"/>
            <w:shd w:fill="E7EEF4"/>
            <w:tcMar>
              <w:top w:w="85" w:type="dxa"/>
              <w:left w:w="90" w:type="dxa"/>
              <w:bottom w:w="85" w:type="dxa"/>
              <w:right w:w="90" w:type="dxa"/>
            </w:tcMar>
          </w:tcPr>
          <w:p>
            <w:pPr>
              <w:keepNext w:val="0"/>
              <w:spacing w:after="0" w:line="240" w:lineRule="auto"/>
            </w:pPr>
            <w:r>
              <w:rPr>
                <w:b/>
                <w:sz w:val="20"/>
              </w:rPr>
              <w:t>Required meaning</w:t>
            </w:r>
          </w:p>
        </w:tc>
      </w:tr>
      <w:tr>
        <w:trPr>
          <w:cantSplit/>
        </w:trPr>
        <w:tc>
          <w:tcPr>
            <w:tcW w:type="dxa" w:w="2448"/>
            <w:vAlign w:val="center"/>
            <w:tcMar>
              <w:top w:w="85" w:type="dxa"/>
              <w:left w:w="90" w:type="dxa"/>
              <w:bottom w:w="85" w:type="dxa"/>
              <w:right w:w="90" w:type="dxa"/>
            </w:tcMar>
          </w:tcPr>
          <w:p>
            <w:pPr>
              <w:keepNext w:val="0"/>
              <w:spacing w:after="0" w:line="240" w:lineRule="auto"/>
            </w:pPr>
            <w:r>
              <w:rPr>
                <w:b w:val="0"/>
                <w:sz w:val="20"/>
              </w:rPr>
              <w:t>mode and force</w:t>
            </w:r>
          </w:p>
        </w:tc>
        <w:tc>
          <w:tcPr>
            <w:tcW w:type="dxa" w:w="7632"/>
            <w:vAlign w:val="center"/>
            <w:tcMar>
              <w:top w:w="85" w:type="dxa"/>
              <w:left w:w="90" w:type="dxa"/>
              <w:bottom w:w="85" w:type="dxa"/>
              <w:right w:w="90" w:type="dxa"/>
            </w:tcMar>
          </w:tcPr>
          <w:p>
            <w:pPr>
              <w:keepNext w:val="0"/>
              <w:spacing w:after="0" w:line="240" w:lineRule="auto"/>
            </w:pPr>
            <w:r>
              <w:rPr>
                <w:b w:val="0"/>
                <w:sz w:val="20"/>
              </w:rPr>
              <w:t>factual or hypothesis with assert; normative with must, should or may; preference with prefer.</w:t>
            </w:r>
          </w:p>
        </w:tc>
      </w:tr>
      <w:tr>
        <w:trPr>
          <w:cantSplit/>
        </w:trPr>
        <w:tc>
          <w:tcPr>
            <w:tcW w:type="dxa" w:w="2448"/>
            <w:vAlign w:val="center"/>
            <w:tcMar>
              <w:top w:w="85" w:type="dxa"/>
              <w:left w:w="90" w:type="dxa"/>
              <w:bottom w:w="85" w:type="dxa"/>
              <w:right w:w="90" w:type="dxa"/>
            </w:tcMar>
          </w:tcPr>
          <w:p>
            <w:pPr>
              <w:keepNext w:val="0"/>
              <w:spacing w:after="0" w:line="240" w:lineRule="auto"/>
            </w:pPr>
            <w:r>
              <w:rPr>
                <w:b w:val="0"/>
                <w:sz w:val="20"/>
              </w:rPr>
              <w:t>polarity and atom</w:t>
            </w:r>
          </w:p>
        </w:tc>
        <w:tc>
          <w:tcPr>
            <w:tcW w:type="dxa" w:w="7632"/>
            <w:vAlign w:val="center"/>
            <w:tcMar>
              <w:top w:w="85" w:type="dxa"/>
              <w:left w:w="90" w:type="dxa"/>
              <w:bottom w:w="85" w:type="dxa"/>
              <w:right w:w="90" w:type="dxa"/>
            </w:tcMar>
          </w:tcPr>
          <w:p>
            <w:pPr>
              <w:keepNext w:val="0"/>
              <w:spacing w:after="0" w:line="240" w:lineRule="auto"/>
            </w:pPr>
            <w:r>
              <w:rPr>
                <w:b w:val="0"/>
                <w:sz w:val="20"/>
              </w:rPr>
              <w:t>Positive or negative assertion plus one predicate and its typed named arguments.</w:t>
            </w:r>
          </w:p>
        </w:tc>
      </w:tr>
      <w:tr>
        <w:trPr>
          <w:cantSplit/>
        </w:trPr>
        <w:tc>
          <w:tcPr>
            <w:tcW w:type="dxa" w:w="2448"/>
            <w:vAlign w:val="center"/>
            <w:tcMar>
              <w:top w:w="85" w:type="dxa"/>
              <w:left w:w="90" w:type="dxa"/>
              <w:bottom w:w="85" w:type="dxa"/>
              <w:right w:w="90" w:type="dxa"/>
            </w:tcMar>
          </w:tcPr>
          <w:p>
            <w:pPr>
              <w:keepNext w:val="0"/>
              <w:spacing w:after="0" w:line="240" w:lineRule="auto"/>
            </w:pPr>
            <w:r>
              <w:rPr>
                <w:b w:val="0"/>
                <w:sz w:val="20"/>
              </w:rPr>
              <w:t>when</w:t>
            </w:r>
          </w:p>
        </w:tc>
        <w:tc>
          <w:tcPr>
            <w:tcW w:type="dxa" w:w="7632"/>
            <w:vAlign w:val="center"/>
            <w:tcMar>
              <w:top w:w="85" w:type="dxa"/>
              <w:left w:w="90" w:type="dxa"/>
              <w:bottom w:w="85" w:type="dxa"/>
              <w:right w:w="90" w:type="dxa"/>
            </w:tcMar>
          </w:tcPr>
          <w:p>
            <w:pPr>
              <w:keepNext w:val="0"/>
              <w:spacing w:after="0" w:line="240" w:lineRule="auto"/>
            </w:pPr>
            <w:r>
              <w:rPr>
                <w:b w:val="0"/>
                <w:sz w:val="20"/>
              </w:rPr>
              <w:t>The condition under which the assertion applies. Known unconditional content explicitly uses const true.</w:t>
            </w:r>
          </w:p>
        </w:tc>
      </w:tr>
      <w:tr>
        <w:trPr>
          <w:cantSplit/>
        </w:trPr>
        <w:tc>
          <w:tcPr>
            <w:tcW w:type="dxa" w:w="2448"/>
            <w:vAlign w:val="center"/>
            <w:tcMar>
              <w:top w:w="85" w:type="dxa"/>
              <w:left w:w="90" w:type="dxa"/>
              <w:bottom w:w="85" w:type="dxa"/>
              <w:right w:w="90" w:type="dxa"/>
            </w:tcMar>
          </w:tcPr>
          <w:p>
            <w:pPr>
              <w:keepNext w:val="0"/>
              <w:spacing w:after="0" w:line="240" w:lineRule="auto"/>
            </w:pPr>
            <w:r>
              <w:rPr>
                <w:b w:val="0"/>
                <w:sz w:val="20"/>
              </w:rPr>
              <w:t>scope and valid_time</w:t>
            </w:r>
          </w:p>
        </w:tc>
        <w:tc>
          <w:tcPr>
            <w:tcW w:type="dxa" w:w="7632"/>
            <w:vAlign w:val="center"/>
            <w:tcMar>
              <w:top w:w="85" w:type="dxa"/>
              <w:left w:w="90" w:type="dxa"/>
              <w:bottom w:w="85" w:type="dxa"/>
              <w:right w:w="90" w:type="dxa"/>
            </w:tcMar>
          </w:tcPr>
          <w:p>
            <w:pPr>
              <w:keepNext w:val="0"/>
              <w:spacing w:after="0" w:line="240" w:lineRule="auto"/>
            </w:pPr>
            <w:r>
              <w:rPr>
                <w:b w:val="0"/>
                <w:sz w:val="20"/>
              </w:rPr>
              <w:t>Repository or authenticated workspace boundary, plus scope_only, an explicit interval or unknown time.</w:t>
            </w:r>
          </w:p>
        </w:tc>
      </w:tr>
      <w:tr>
        <w:trPr>
          <w:cantSplit/>
        </w:trPr>
        <w:tc>
          <w:tcPr>
            <w:tcW w:type="dxa" w:w="2448"/>
            <w:vAlign w:val="center"/>
            <w:tcMar>
              <w:top w:w="85" w:type="dxa"/>
              <w:left w:w="90" w:type="dxa"/>
              <w:bottom w:w="85" w:type="dxa"/>
              <w:right w:w="90" w:type="dxa"/>
            </w:tcMar>
          </w:tcPr>
          <w:p>
            <w:pPr>
              <w:keepNext w:val="0"/>
              <w:spacing w:after="0" w:line="240" w:lineRule="auto"/>
            </w:pPr>
            <w:r>
              <w:rPr>
                <w:b w:val="0"/>
                <w:sz w:val="20"/>
              </w:rPr>
              <w:t>applicability</w:t>
            </w:r>
          </w:p>
        </w:tc>
        <w:tc>
          <w:tcPr>
            <w:tcW w:type="dxa" w:w="7632"/>
            <w:vAlign w:val="center"/>
            <w:tcMar>
              <w:top w:w="85" w:type="dxa"/>
              <w:left w:w="90" w:type="dxa"/>
              <w:bottom w:w="85" w:type="dxa"/>
              <w:right w:w="90" w:type="dxa"/>
            </w:tcMar>
          </w:tcPr>
          <w:p>
            <w:pPr>
              <w:keepNext w:val="0"/>
              <w:spacing w:after="0" w:line="240" w:lineRule="auto"/>
            </w:pPr>
            <w:r>
              <w:rPr>
                <w:b w:val="0"/>
                <w:sz w:val="20"/>
              </w:rPr>
              <w:t>Existing mode and guard; exact_state requires both state and environment IDs. Contract revision is carried when relevant.</w:t>
            </w:r>
          </w:p>
        </w:tc>
      </w:tr>
      <w:tr>
        <w:trPr>
          <w:cantSplit/>
        </w:trPr>
        <w:tc>
          <w:tcPr>
            <w:tcW w:type="dxa" w:w="2448"/>
            <w:vAlign w:val="center"/>
            <w:tcMar>
              <w:top w:w="85" w:type="dxa"/>
              <w:left w:w="90" w:type="dxa"/>
              <w:bottom w:w="85" w:type="dxa"/>
              <w:right w:w="90" w:type="dxa"/>
            </w:tcMar>
          </w:tcPr>
          <w:p>
            <w:pPr>
              <w:keepNext w:val="0"/>
              <w:spacing w:after="0" w:line="240" w:lineRule="auto"/>
            </w:pPr>
            <w:r>
              <w:rPr>
                <w:b w:val="0"/>
                <w:sz w:val="20"/>
              </w:rPr>
              <w:t>coverage</w:t>
            </w:r>
          </w:p>
        </w:tc>
        <w:tc>
          <w:tcPr>
            <w:tcW w:type="dxa" w:w="7632"/>
            <w:vAlign w:val="center"/>
            <w:tcMar>
              <w:top w:w="85" w:type="dxa"/>
              <w:left w:w="90" w:type="dxa"/>
              <w:bottom w:w="85" w:type="dxa"/>
              <w:right w:w="90" w:type="dxa"/>
            </w:tcMar>
          </w:tcPr>
          <w:p>
            <w:pPr>
              <w:keepNext w:val="0"/>
              <w:spacing w:after="0" w:line="240" w:lineRule="auto"/>
            </w:pPr>
            <w:r>
              <w:rPr>
                <w:b w:val="0"/>
                <w:sz w:val="20"/>
              </w:rPr>
              <w:t>Complete or partial source interpretation, with unresolved content recorded explicitly.</w:t>
            </w:r>
          </w:p>
        </w:tc>
      </w:tr>
      <w:tr>
        <w:trPr>
          <w:cantSplit/>
        </w:trPr>
        <w:tc>
          <w:tcPr>
            <w:tcW w:type="dxa" w:w="2448"/>
            <w:vAlign w:val="center"/>
            <w:tcMar>
              <w:top w:w="85" w:type="dxa"/>
              <w:left w:w="90" w:type="dxa"/>
              <w:bottom w:w="85" w:type="dxa"/>
              <w:right w:w="90" w:type="dxa"/>
            </w:tcMar>
          </w:tcPr>
          <w:p>
            <w:pPr>
              <w:keepNext w:val="0"/>
              <w:spacing w:after="0" w:line="240" w:lineRule="auto"/>
            </w:pPr>
            <w:r>
              <w:rPr>
                <w:b w:val="0"/>
                <w:sz w:val="20"/>
              </w:rPr>
              <w:t>evidence_bindings</w:t>
            </w:r>
          </w:p>
        </w:tc>
        <w:tc>
          <w:tcPr>
            <w:tcW w:type="dxa" w:w="7632"/>
            <w:vAlign w:val="center"/>
            <w:tcMar>
              <w:top w:w="85" w:type="dxa"/>
              <w:left w:w="90" w:type="dxa"/>
              <w:bottom w:w="85" w:type="dxa"/>
              <w:right w:w="90" w:type="dxa"/>
            </w:tcMar>
          </w:tcPr>
          <w:p>
            <w:pPr>
              <w:keepNext w:val="0"/>
              <w:spacing w:after="0" w:line="240" w:lineRule="auto"/>
            </w:pPr>
            <w:r>
              <w:rPr>
                <w:b w:val="0"/>
                <w:sz w:val="20"/>
              </w:rPr>
              <w:t>Checked event, source excerpt or memory revision; relation, interpretation and covered behavior travel with it.</w:t>
            </w:r>
          </w:p>
        </w:tc>
      </w:tr>
    </w:tbl>
    <w:p>
      <w:pPr>
        <w:spacing w:after="0"/>
      </w:pPr>
    </w:p>
    <w:p>
      <w:pPr>
        <w:keepNext w:val="0"/>
      </w:pPr>
      <w:r>
        <w:t>Mode answers what kind of statement this is. A fact says P; a hypothesis proposes P for investigation; a requirement says must(P); a recommendation says should(P); permission says may(P); a preference says prefer(P). Negative polarity applies inside that force: must(not P) prohibits P, while may(not P) permits omission of P. Ambiguous natural language such as “may not” must be resolved from its source or marked unmapped.</w:t>
      </w:r>
    </w:p>
    <w:p>
      <w:pPr>
        <w:keepNext w:val="0"/>
      </w:pPr>
      <w:r>
        <w:t>A normative word does not make a statement binding. The effective-norm view comes from the current contract and authorized policy/lifecycle owners. Retrieved material can describe an old or external requirement without adding it to that view. A preference can influence selection among eligible options; it cannot waive a required check or authorize an action.</w:t>
      </w:r>
    </w:p>
    <w:p>
      <w:pPr>
        <w:keepNext w:val="0"/>
      </w:pPr>
      <w:r>
        <w:t>Force affects compatibility. Permission to choose true and permission to choose false are compatible alternatives. Incompatible must obligations conflict when both remain binding, even if they originate from different authoritative sources. Opposing should statements are recommendation tensions. An explicit permission opposed by an effective prohibition is referred to the policy owner as a permission/prohibition tension; it does not grant an execution capability.</w:t>
      </w:r>
    </w:p>
    <w:p>
      <w:pPr>
        <w:pStyle w:val="Heading2"/>
      </w:pPr>
      <w:r>
        <w:t>Worked example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824"/>
        <w:gridCol w:w="4464"/>
      </w:tblGrid>
      <w:tr>
        <w:trPr>
          <w:tblHeader/>
          <w:cantSplit/>
        </w:trPr>
        <w:tc>
          <w:tcPr>
            <w:tcW w:type="dxa" w:w="792"/>
            <w:vAlign w:val="center"/>
            <w:shd w:fill="E7EEF4"/>
            <w:tcMar>
              <w:top w:w="85" w:type="dxa"/>
              <w:left w:w="90" w:type="dxa"/>
              <w:bottom w:w="85" w:type="dxa"/>
              <w:right w:w="90" w:type="dxa"/>
            </w:tcMar>
          </w:tcPr>
          <w:p>
            <w:pPr>
              <w:keepNext w:val="0"/>
              <w:spacing w:after="0" w:line="240" w:lineRule="auto"/>
            </w:pPr>
            <w:r>
              <w:rPr>
                <w:b/>
                <w:sz w:val="20"/>
              </w:rPr>
              <w:t>Frame</w:t>
            </w:r>
          </w:p>
        </w:tc>
        <w:tc>
          <w:tcPr>
            <w:tcW w:type="dxa" w:w="4824"/>
            <w:vAlign w:val="center"/>
            <w:shd w:fill="E7EEF4"/>
            <w:tcMar>
              <w:top w:w="85" w:type="dxa"/>
              <w:left w:w="90" w:type="dxa"/>
              <w:bottom w:w="85" w:type="dxa"/>
              <w:right w:w="90" w:type="dxa"/>
            </w:tcMar>
          </w:tcPr>
          <w:p>
            <w:pPr>
              <w:keepNext w:val="0"/>
              <w:spacing w:after="0" w:line="240" w:lineRule="auto"/>
            </w:pPr>
            <w:r>
              <w:rPr>
                <w:b/>
                <w:sz w:val="20"/>
              </w:rPr>
              <w:t>Canonical meaning in readable form</w:t>
            </w:r>
          </w:p>
        </w:tc>
        <w:tc>
          <w:tcPr>
            <w:tcW w:type="dxa" w:w="4464"/>
            <w:vAlign w:val="center"/>
            <w:shd w:fill="E7EEF4"/>
            <w:tcMar>
              <w:top w:w="85" w:type="dxa"/>
              <w:left w:w="90" w:type="dxa"/>
              <w:bottom w:w="85" w:type="dxa"/>
              <w:right w:w="90" w:type="dxa"/>
            </w:tcMar>
          </w:tcPr>
          <w:p>
            <w:pPr>
              <w:keepNext w:val="0"/>
              <w:spacing w:after="0" w:line="240" w:lineRule="auto"/>
            </w:pPr>
            <w:r>
              <w:rPr>
                <w:b/>
                <w:sz w:val="20"/>
              </w:rPr>
              <w:t>Interpretation</w:t>
            </w:r>
          </w:p>
        </w:tc>
      </w:tr>
      <w:tr>
        <w:trPr>
          <w:cantSplit/>
        </w:trPr>
        <w:tc>
          <w:tcPr>
            <w:tcW w:type="dxa" w:w="792"/>
            <w:vAlign w:val="center"/>
            <w:tcMar>
              <w:top w:w="85" w:type="dxa"/>
              <w:left w:w="90" w:type="dxa"/>
              <w:bottom w:w="85" w:type="dxa"/>
              <w:right w:w="90" w:type="dxa"/>
            </w:tcMar>
          </w:tcPr>
          <w:p>
            <w:pPr>
              <w:keepNext w:val="0"/>
              <w:spacing w:after="0" w:line="240" w:lineRule="auto"/>
            </w:pPr>
            <w:r>
              <w:rPr>
                <w:b w:val="0"/>
                <w:sz w:val="20"/>
              </w:rPr>
              <w:t>A</w:t>
            </w:r>
          </w:p>
        </w:tc>
        <w:tc>
          <w:tcPr>
            <w:tcW w:type="dxa" w:w="4824"/>
            <w:vAlign w:val="center"/>
            <w:tcMar>
              <w:top w:w="85" w:type="dxa"/>
              <w:left w:w="90" w:type="dxa"/>
              <w:bottom w:w="85" w:type="dxa"/>
              <w:right w:w="90" w:type="dxa"/>
            </w:tcMar>
          </w:tcPr>
          <w:p>
            <w:pPr>
              <w:keepNext w:val="0"/>
              <w:spacing w:after="0" w:line="240" w:lineRule="auto"/>
            </w:pPr>
            <w:r>
              <w:rPr>
                <w:b w:val="0"/>
                <w:sz w:val="20"/>
              </w:rPr>
              <w:t>must setting(cache_key, false) when stage = production</w:t>
            </w:r>
          </w:p>
        </w:tc>
        <w:tc>
          <w:tcPr>
            <w:tcW w:type="dxa" w:w="4464"/>
            <w:vAlign w:val="center"/>
            <w:tcMar>
              <w:top w:w="85" w:type="dxa"/>
              <w:left w:w="90" w:type="dxa"/>
              <w:bottom w:w="85" w:type="dxa"/>
              <w:right w:w="90" w:type="dxa"/>
            </w:tcMar>
          </w:tcPr>
          <w:p>
            <w:pPr>
              <w:keepNext w:val="0"/>
              <w:spacing w:after="0" w:line="240" w:lineRule="auto"/>
            </w:pPr>
            <w:r>
              <w:rPr>
                <w:b w:val="0"/>
                <w:sz w:val="20"/>
              </w:rPr>
              <w:t>A production requirement, if its source is binding.</w:t>
            </w:r>
          </w:p>
        </w:tc>
      </w:tr>
      <w:tr>
        <w:trPr>
          <w:cantSplit/>
        </w:trPr>
        <w:tc>
          <w:tcPr>
            <w:tcW w:type="dxa" w:w="792"/>
            <w:vAlign w:val="center"/>
            <w:tcMar>
              <w:top w:w="85" w:type="dxa"/>
              <w:left w:w="90" w:type="dxa"/>
              <w:bottom w:w="85" w:type="dxa"/>
              <w:right w:w="90" w:type="dxa"/>
            </w:tcMar>
          </w:tcPr>
          <w:p>
            <w:pPr>
              <w:keepNext w:val="0"/>
              <w:spacing w:after="0" w:line="240" w:lineRule="auto"/>
            </w:pPr>
            <w:r>
              <w:rPr>
                <w:b w:val="0"/>
                <w:sz w:val="20"/>
              </w:rPr>
              <w:t>B</w:t>
            </w:r>
          </w:p>
        </w:tc>
        <w:tc>
          <w:tcPr>
            <w:tcW w:type="dxa" w:w="4824"/>
            <w:vAlign w:val="center"/>
            <w:tcMar>
              <w:top w:w="85" w:type="dxa"/>
              <w:left w:w="90" w:type="dxa"/>
              <w:bottom w:w="85" w:type="dxa"/>
              <w:right w:w="90" w:type="dxa"/>
            </w:tcMar>
          </w:tcPr>
          <w:p>
            <w:pPr>
              <w:keepNext w:val="0"/>
              <w:spacing w:after="0" w:line="240" w:lineRule="auto"/>
            </w:pPr>
            <w:r>
              <w:rPr>
                <w:b w:val="0"/>
                <w:sz w:val="20"/>
              </w:rPr>
              <w:t>assert setting(cache_key, true) at state S and environment E</w:t>
            </w:r>
          </w:p>
        </w:tc>
        <w:tc>
          <w:tcPr>
            <w:tcW w:type="dxa" w:w="4464"/>
            <w:vAlign w:val="center"/>
            <w:tcMar>
              <w:top w:w="85" w:type="dxa"/>
              <w:left w:w="90" w:type="dxa"/>
              <w:bottom w:w="85" w:type="dxa"/>
              <w:right w:w="90" w:type="dxa"/>
            </w:tcMar>
          </w:tcPr>
          <w:p>
            <w:pPr>
              <w:keepNext w:val="0"/>
              <w:spacing w:after="0" w:line="240" w:lineRule="auto"/>
            </w:pPr>
            <w:r>
              <w:rPr>
                <w:b w:val="0"/>
                <w:sz w:val="20"/>
              </w:rPr>
              <w:t>An observation, with evidence and actual coverage.</w:t>
            </w:r>
          </w:p>
        </w:tc>
      </w:tr>
      <w:tr>
        <w:trPr>
          <w:cantSplit/>
        </w:trPr>
        <w:tc>
          <w:tcPr>
            <w:tcW w:type="dxa" w:w="792"/>
            <w:vAlign w:val="center"/>
            <w:tcMar>
              <w:top w:w="85" w:type="dxa"/>
              <w:left w:w="90" w:type="dxa"/>
              <w:bottom w:w="85" w:type="dxa"/>
              <w:right w:w="90" w:type="dxa"/>
            </w:tcMar>
          </w:tcPr>
          <w:p>
            <w:pPr>
              <w:keepNext w:val="0"/>
              <w:spacing w:after="0" w:line="240" w:lineRule="auto"/>
            </w:pPr>
            <w:r>
              <w:rPr>
                <w:b w:val="0"/>
                <w:sz w:val="20"/>
              </w:rPr>
              <w:t>C</w:t>
            </w:r>
          </w:p>
        </w:tc>
        <w:tc>
          <w:tcPr>
            <w:tcW w:type="dxa" w:w="4824"/>
            <w:vAlign w:val="center"/>
            <w:tcMar>
              <w:top w:w="85" w:type="dxa"/>
              <w:left w:w="90" w:type="dxa"/>
              <w:bottom w:w="85" w:type="dxa"/>
              <w:right w:w="90" w:type="dxa"/>
            </w:tcMar>
          </w:tcPr>
          <w:p>
            <w:pPr>
              <w:keepNext w:val="0"/>
              <w:spacing w:after="0" w:line="240" w:lineRule="auto"/>
            </w:pPr>
            <w:r>
              <w:rPr>
                <w:b w:val="0"/>
                <w:sz w:val="20"/>
              </w:rPr>
              <w:t>must setting(cache_key, true) when stage = production</w:t>
            </w:r>
          </w:p>
        </w:tc>
        <w:tc>
          <w:tcPr>
            <w:tcW w:type="dxa" w:w="4464"/>
            <w:vAlign w:val="center"/>
            <w:tcMar>
              <w:top w:w="85" w:type="dxa"/>
              <w:left w:w="90" w:type="dxa"/>
              <w:bottom w:w="85" w:type="dxa"/>
              <w:right w:w="90" w:type="dxa"/>
            </w:tcMar>
          </w:tcPr>
          <w:p>
            <w:pPr>
              <w:keepNext w:val="0"/>
              <w:spacing w:after="0" w:line="240" w:lineRule="auto"/>
            </w:pPr>
            <w:r>
              <w:rPr>
                <w:b w:val="0"/>
                <w:sz w:val="20"/>
              </w:rPr>
              <w:t>A competing requirement, if also binding.</w:t>
            </w:r>
          </w:p>
        </w:tc>
      </w:tr>
      <w:tr>
        <w:trPr>
          <w:cantSplit/>
        </w:trPr>
        <w:tc>
          <w:tcPr>
            <w:tcW w:type="dxa" w:w="792"/>
            <w:vAlign w:val="center"/>
            <w:tcMar>
              <w:top w:w="85" w:type="dxa"/>
              <w:left w:w="90" w:type="dxa"/>
              <w:bottom w:w="85" w:type="dxa"/>
              <w:right w:w="90" w:type="dxa"/>
            </w:tcMar>
          </w:tcPr>
          <w:p>
            <w:pPr>
              <w:keepNext w:val="0"/>
              <w:spacing w:after="0" w:line="240" w:lineRule="auto"/>
            </w:pPr>
            <w:r>
              <w:rPr>
                <w:b w:val="0"/>
                <w:sz w:val="20"/>
              </w:rPr>
              <w:t>D</w:t>
            </w:r>
          </w:p>
        </w:tc>
        <w:tc>
          <w:tcPr>
            <w:tcW w:type="dxa" w:w="4824"/>
            <w:vAlign w:val="center"/>
            <w:tcMar>
              <w:top w:w="85" w:type="dxa"/>
              <w:left w:w="90" w:type="dxa"/>
              <w:bottom w:w="85" w:type="dxa"/>
              <w:right w:w="90" w:type="dxa"/>
            </w:tcMar>
          </w:tcPr>
          <w:p>
            <w:pPr>
              <w:keepNext w:val="0"/>
              <w:spacing w:after="0" w:line="240" w:lineRule="auto"/>
            </w:pPr>
            <w:r>
              <w:rPr>
                <w:b w:val="0"/>
                <w:sz w:val="20"/>
              </w:rPr>
              <w:t>must setting(cache_key, true) when stage = development</w:t>
            </w:r>
          </w:p>
        </w:tc>
        <w:tc>
          <w:tcPr>
            <w:tcW w:type="dxa" w:w="4464"/>
            <w:vAlign w:val="center"/>
            <w:tcMar>
              <w:top w:w="85" w:type="dxa"/>
              <w:left w:w="90" w:type="dxa"/>
              <w:bottom w:w="85" w:type="dxa"/>
              <w:right w:w="90" w:type="dxa"/>
            </w:tcMar>
          </w:tcPr>
          <w:p>
            <w:pPr>
              <w:keepNext w:val="0"/>
              <w:spacing w:after="0" w:line="240" w:lineRule="auto"/>
            </w:pPr>
            <w:r>
              <w:rPr>
                <w:b w:val="0"/>
                <w:sz w:val="20"/>
              </w:rPr>
              <w:t>A requirement for a different condition.</w:t>
            </w:r>
          </w:p>
        </w:tc>
      </w:tr>
    </w:tbl>
    <w:p>
      <w:pPr>
        <w:spacing w:after="0"/>
      </w:pPr>
    </w:p>
    <w:p>
      <w:pPr>
        <w:keepNext w:val="0"/>
      </w:pPr>
      <w:r>
        <w:t>A and B are about the same setting. If the observation is applicable and E is production, they establish a compliance violation within the covered situation. A and C are a normative conflict when both are binding and their situations overlap. A and D are compatible because the declared stage values are disjoint. No vector-distance threshold makes these decisions.</w:t>
      </w:r>
    </w:p>
    <w:p>
      <w:pPr>
        <w:keepNext w:val="0"/>
      </w:pPr>
      <w:r>
        <w:t>The model may split a clearly distributive conjunction into atomic frames only when it preserves the common force, conditions, scope and time, retains a conjunction group and source span, and records any unmapped member. “Do not enable both A and B” must not become separate prohibitions on A and B. Quantified claims, disjunction and coupled permissions remain source-backed unmapped content in version 0.1.</w:t>
      </w:r>
    </w:p>
    <w:p>
      <w:pPr>
        <w:pStyle w:val="Heading1"/>
      </w:pPr>
      <w:r>
        <w:t>7 Conditions applicability and time</w:t>
      </w:r>
    </w:p>
    <w:p>
      <w:pPr>
        <w:keepNext w:val="0"/>
      </w:pPr>
      <w:r>
        <w:t>The condition language is an allowlisted abstract syntax tree. Its operators are const, all, any, not, eq, ne, in, lt, le, gt, ge, present, is_null and version_satisfies. Fields are registered environment attributes, exact state/environment/contract IDs, selected dependency versions, file or interface digests, configuration values and contract features. There are no arbitrary SQL expressions, scripts, network calls or executable predicates.</w:t>
      </w:r>
    </w:p>
    <w:p>
      <w:pPr>
        <w:keepNext w:val="0"/>
      </w:pPr>
      <w:r>
        <w:t>Comparisons require compatible declared types and domains. Identity comparisons use checked typed entity references. Ordered comparisons accept compatible integer, decimal, timestamp or quantity inputs; versions use the declared ecosystem adapter. No implicit string-to-number or label-to-entity conversion is permitted. Invalid syntax or unregistered fields are rejected before evaluation.</w:t>
      </w:r>
    </w:p>
    <w:p>
      <w:pPr>
        <w:keepNext w:val="0"/>
      </w:pPr>
      <w:r>
        <w:t>A selected dependency, file, interface or configuration field is resolved in the target state and environment through its checked logical locator. Reading the old source binding would not test transfer. If the corresponding target occurrence cannot be resolved, return unknown. Changing a dependency in a new environment must invalidate the relevant cached assessment even when the repository commit is unchanged.</w:t>
      </w:r>
    </w:p>
    <w:p>
      <w:pPr>
        <w:keepNext w:val="0"/>
      </w:pPr>
      <w:r>
        <w:t>Guard evaluation uses true, false and unknown. False dominates all; true dominates any; negating unknown gives unknown. These are the familiar three-valued Boolean rules, implemented with an explicit result enum. An unavailable or conflicted input yields unknown, while an invalid operator is an error. [R3]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3024"/>
        <w:gridCol w:w="3024"/>
      </w:tblGrid>
      <w:tr>
        <w:trPr>
          <w:tblHeader/>
          <w:cantSplit/>
        </w:trPr>
        <w:tc>
          <w:tcPr>
            <w:tcW w:type="dxa" w:w="2016"/>
            <w:vAlign w:val="center"/>
            <w:shd w:fill="E7EEF4"/>
            <w:tcMar>
              <w:top w:w="85" w:type="dxa"/>
              <w:left w:w="90" w:type="dxa"/>
              <w:bottom w:w="85" w:type="dxa"/>
              <w:right w:w="90" w:type="dxa"/>
            </w:tcMar>
          </w:tcPr>
          <w:p>
            <w:pPr>
              <w:keepNext w:val="0"/>
              <w:spacing w:after="0" w:line="240" w:lineRule="auto"/>
            </w:pPr>
            <w:r>
              <w:rPr>
                <w:b/>
                <w:sz w:val="20"/>
              </w:rPr>
              <w:t>Input P</w:t>
            </w:r>
          </w:p>
        </w:tc>
        <w:tc>
          <w:tcPr>
            <w:tcW w:type="dxa" w:w="2016"/>
            <w:vAlign w:val="center"/>
            <w:shd w:fill="E7EEF4"/>
            <w:tcMar>
              <w:top w:w="85" w:type="dxa"/>
              <w:left w:w="90" w:type="dxa"/>
              <w:bottom w:w="85" w:type="dxa"/>
              <w:right w:w="90" w:type="dxa"/>
            </w:tcMar>
          </w:tcPr>
          <w:p>
            <w:pPr>
              <w:keepNext w:val="0"/>
              <w:spacing w:after="0" w:line="240" w:lineRule="auto"/>
            </w:pPr>
            <w:r>
              <w:rPr>
                <w:b/>
                <w:sz w:val="20"/>
              </w:rPr>
              <w:t>not P</w:t>
            </w:r>
          </w:p>
        </w:tc>
        <w:tc>
          <w:tcPr>
            <w:tcW w:type="dxa" w:w="3024"/>
            <w:vAlign w:val="center"/>
            <w:shd w:fill="E7EEF4"/>
            <w:tcMar>
              <w:top w:w="85" w:type="dxa"/>
              <w:left w:w="90" w:type="dxa"/>
              <w:bottom w:w="85" w:type="dxa"/>
              <w:right w:w="90" w:type="dxa"/>
            </w:tcMar>
          </w:tcPr>
          <w:p>
            <w:pPr>
              <w:keepNext w:val="0"/>
              <w:spacing w:after="0" w:line="240" w:lineRule="auto"/>
            </w:pPr>
            <w:r>
              <w:rPr>
                <w:b/>
                <w:sz w:val="20"/>
              </w:rPr>
              <w:t>all(P, true)</w:t>
            </w:r>
          </w:p>
        </w:tc>
        <w:tc>
          <w:tcPr>
            <w:tcW w:type="dxa" w:w="3024"/>
            <w:vAlign w:val="center"/>
            <w:shd w:fill="E7EEF4"/>
            <w:tcMar>
              <w:top w:w="85" w:type="dxa"/>
              <w:left w:w="90" w:type="dxa"/>
              <w:bottom w:w="85" w:type="dxa"/>
              <w:right w:w="90" w:type="dxa"/>
            </w:tcMar>
          </w:tcPr>
          <w:p>
            <w:pPr>
              <w:keepNext w:val="0"/>
              <w:spacing w:after="0" w:line="240" w:lineRule="auto"/>
            </w:pPr>
            <w:r>
              <w:rPr>
                <w:b/>
                <w:sz w:val="20"/>
              </w:rPr>
              <w:t>any(P, false)</w:t>
            </w:r>
          </w:p>
        </w:tc>
      </w:tr>
      <w:tr>
        <w:trPr>
          <w:cantSplit/>
        </w:trPr>
        <w:tc>
          <w:tcPr>
            <w:tcW w:type="dxa" w:w="2016"/>
            <w:vAlign w:val="center"/>
            <w:tcMar>
              <w:top w:w="85" w:type="dxa"/>
              <w:left w:w="90" w:type="dxa"/>
              <w:bottom w:w="85" w:type="dxa"/>
              <w:right w:w="90" w:type="dxa"/>
            </w:tcMar>
          </w:tcPr>
          <w:p>
            <w:pPr>
              <w:keepNext w:val="0"/>
              <w:spacing w:after="0" w:line="240" w:lineRule="auto"/>
            </w:pPr>
            <w:r>
              <w:rPr>
                <w:b w:val="0"/>
                <w:sz w:val="20"/>
              </w:rPr>
              <w:t>true</w:t>
            </w:r>
          </w:p>
        </w:tc>
        <w:tc>
          <w:tcPr>
            <w:tcW w:type="dxa" w:w="2016"/>
            <w:vAlign w:val="center"/>
            <w:tcMar>
              <w:top w:w="85" w:type="dxa"/>
              <w:left w:w="90" w:type="dxa"/>
              <w:bottom w:w="85" w:type="dxa"/>
              <w:right w:w="90" w:type="dxa"/>
            </w:tcMar>
          </w:tcPr>
          <w:p>
            <w:pPr>
              <w:keepNext w:val="0"/>
              <w:spacing w:after="0" w:line="240" w:lineRule="auto"/>
            </w:pPr>
            <w:r>
              <w:rPr>
                <w:b w:val="0"/>
                <w:sz w:val="20"/>
              </w:rPr>
              <w:t>false</w:t>
            </w:r>
          </w:p>
        </w:tc>
        <w:tc>
          <w:tcPr>
            <w:tcW w:type="dxa" w:w="3024"/>
            <w:vAlign w:val="center"/>
            <w:tcMar>
              <w:top w:w="85" w:type="dxa"/>
              <w:left w:w="90" w:type="dxa"/>
              <w:bottom w:w="85" w:type="dxa"/>
              <w:right w:w="90" w:type="dxa"/>
            </w:tcMar>
          </w:tcPr>
          <w:p>
            <w:pPr>
              <w:keepNext w:val="0"/>
              <w:spacing w:after="0" w:line="240" w:lineRule="auto"/>
            </w:pPr>
            <w:r>
              <w:rPr>
                <w:b w:val="0"/>
                <w:sz w:val="20"/>
              </w:rPr>
              <w:t>true</w:t>
            </w:r>
          </w:p>
        </w:tc>
        <w:tc>
          <w:tcPr>
            <w:tcW w:type="dxa" w:w="3024"/>
            <w:vAlign w:val="center"/>
            <w:tcMar>
              <w:top w:w="85" w:type="dxa"/>
              <w:left w:w="90" w:type="dxa"/>
              <w:bottom w:w="85" w:type="dxa"/>
              <w:right w:w="90" w:type="dxa"/>
            </w:tcMar>
          </w:tcPr>
          <w:p>
            <w:pPr>
              <w:keepNext w:val="0"/>
              <w:spacing w:after="0" w:line="240" w:lineRule="auto"/>
            </w:pPr>
            <w:r>
              <w:rPr>
                <w:b w:val="0"/>
                <w:sz w:val="20"/>
              </w:rPr>
              <w:t>true</w:t>
            </w:r>
          </w:p>
        </w:tc>
      </w:tr>
      <w:tr>
        <w:trPr>
          <w:cantSplit/>
        </w:trPr>
        <w:tc>
          <w:tcPr>
            <w:tcW w:type="dxa" w:w="2016"/>
            <w:vAlign w:val="center"/>
            <w:tcMar>
              <w:top w:w="85" w:type="dxa"/>
              <w:left w:w="90" w:type="dxa"/>
              <w:bottom w:w="85" w:type="dxa"/>
              <w:right w:w="90" w:type="dxa"/>
            </w:tcMar>
          </w:tcPr>
          <w:p>
            <w:pPr>
              <w:keepNext w:val="0"/>
              <w:spacing w:after="0" w:line="240" w:lineRule="auto"/>
            </w:pPr>
            <w:r>
              <w:rPr>
                <w:b w:val="0"/>
                <w:sz w:val="20"/>
              </w:rPr>
              <w:t>false</w:t>
            </w:r>
          </w:p>
        </w:tc>
        <w:tc>
          <w:tcPr>
            <w:tcW w:type="dxa" w:w="2016"/>
            <w:vAlign w:val="center"/>
            <w:tcMar>
              <w:top w:w="85" w:type="dxa"/>
              <w:left w:w="90" w:type="dxa"/>
              <w:bottom w:w="85" w:type="dxa"/>
              <w:right w:w="90" w:type="dxa"/>
            </w:tcMar>
          </w:tcPr>
          <w:p>
            <w:pPr>
              <w:keepNext w:val="0"/>
              <w:spacing w:after="0" w:line="240" w:lineRule="auto"/>
            </w:pPr>
            <w:r>
              <w:rPr>
                <w:b w:val="0"/>
                <w:sz w:val="20"/>
              </w:rPr>
              <w:t>true</w:t>
            </w:r>
          </w:p>
        </w:tc>
        <w:tc>
          <w:tcPr>
            <w:tcW w:type="dxa" w:w="3024"/>
            <w:vAlign w:val="center"/>
            <w:tcMar>
              <w:top w:w="85" w:type="dxa"/>
              <w:left w:w="90" w:type="dxa"/>
              <w:bottom w:w="85" w:type="dxa"/>
              <w:right w:w="90" w:type="dxa"/>
            </w:tcMar>
          </w:tcPr>
          <w:p>
            <w:pPr>
              <w:keepNext w:val="0"/>
              <w:spacing w:after="0" w:line="240" w:lineRule="auto"/>
            </w:pPr>
            <w:r>
              <w:rPr>
                <w:b w:val="0"/>
                <w:sz w:val="20"/>
              </w:rPr>
              <w:t>false</w:t>
            </w:r>
          </w:p>
        </w:tc>
        <w:tc>
          <w:tcPr>
            <w:tcW w:type="dxa" w:w="3024"/>
            <w:vAlign w:val="center"/>
            <w:tcMar>
              <w:top w:w="85" w:type="dxa"/>
              <w:left w:w="90" w:type="dxa"/>
              <w:bottom w:w="85" w:type="dxa"/>
              <w:right w:w="90" w:type="dxa"/>
            </w:tcMar>
          </w:tcPr>
          <w:p>
            <w:pPr>
              <w:keepNext w:val="0"/>
              <w:spacing w:after="0" w:line="240" w:lineRule="auto"/>
            </w:pPr>
            <w:r>
              <w:rPr>
                <w:b w:val="0"/>
                <w:sz w:val="20"/>
              </w:rPr>
              <w:t>false</w:t>
            </w:r>
          </w:p>
        </w:tc>
      </w:tr>
      <w:tr>
        <w:trPr>
          <w:cantSplit/>
        </w:trPr>
        <w:tc>
          <w:tcPr>
            <w:tcW w:type="dxa" w:w="2016"/>
            <w:vAlign w:val="center"/>
            <w:tcMar>
              <w:top w:w="85" w:type="dxa"/>
              <w:left w:w="90" w:type="dxa"/>
              <w:bottom w:w="85" w:type="dxa"/>
              <w:right w:w="90" w:type="dxa"/>
            </w:tcMar>
          </w:tcPr>
          <w:p>
            <w:pPr>
              <w:keepNext w:val="0"/>
              <w:spacing w:after="0" w:line="240" w:lineRule="auto"/>
            </w:pPr>
            <w:r>
              <w:rPr>
                <w:b w:val="0"/>
                <w:sz w:val="20"/>
              </w:rPr>
              <w:t>unknown</w:t>
            </w:r>
          </w:p>
        </w:tc>
        <w:tc>
          <w:tcPr>
            <w:tcW w:type="dxa" w:w="2016"/>
            <w:vAlign w:val="center"/>
            <w:tcMar>
              <w:top w:w="85" w:type="dxa"/>
              <w:left w:w="90" w:type="dxa"/>
              <w:bottom w:w="85" w:type="dxa"/>
              <w:right w:w="90" w:type="dxa"/>
            </w:tcMar>
          </w:tcPr>
          <w:p>
            <w:pPr>
              <w:keepNext w:val="0"/>
              <w:spacing w:after="0" w:line="240" w:lineRule="auto"/>
            </w:pPr>
            <w:r>
              <w:rPr>
                <w:b w:val="0"/>
                <w:sz w:val="20"/>
              </w:rPr>
              <w:t>unknown</w:t>
            </w:r>
          </w:p>
        </w:tc>
        <w:tc>
          <w:tcPr>
            <w:tcW w:type="dxa" w:w="3024"/>
            <w:vAlign w:val="center"/>
            <w:tcMar>
              <w:top w:w="85" w:type="dxa"/>
              <w:left w:w="90" w:type="dxa"/>
              <w:bottom w:w="85" w:type="dxa"/>
              <w:right w:w="90" w:type="dxa"/>
            </w:tcMar>
          </w:tcPr>
          <w:p>
            <w:pPr>
              <w:keepNext w:val="0"/>
              <w:spacing w:after="0" w:line="240" w:lineRule="auto"/>
            </w:pPr>
            <w:r>
              <w:rPr>
                <w:b w:val="0"/>
                <w:sz w:val="20"/>
              </w:rPr>
              <w:t>unknown</w:t>
            </w:r>
          </w:p>
        </w:tc>
        <w:tc>
          <w:tcPr>
            <w:tcW w:type="dxa" w:w="3024"/>
            <w:vAlign w:val="center"/>
            <w:tcMar>
              <w:top w:w="85" w:type="dxa"/>
              <w:left w:w="90" w:type="dxa"/>
              <w:bottom w:w="85" w:type="dxa"/>
              <w:right w:w="90" w:type="dxa"/>
            </w:tcMar>
          </w:tcPr>
          <w:p>
            <w:pPr>
              <w:keepNext w:val="0"/>
              <w:spacing w:after="0" w:line="240" w:lineRule="auto"/>
            </w:pPr>
            <w:r>
              <w:rPr>
                <w:b w:val="0"/>
                <w:sz w:val="20"/>
              </w:rPr>
              <w:t>unknown</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440"/>
        <w:gridCol w:w="1440"/>
        <w:gridCol w:w="2880"/>
      </w:tblGrid>
      <w:tr>
        <w:trPr>
          <w:tblHeader/>
          <w:cantSplit/>
        </w:trPr>
        <w:tc>
          <w:tcPr>
            <w:tcW w:type="dxa" w:w="4320"/>
            <w:vAlign w:val="center"/>
            <w:shd w:fill="E7EEF4"/>
            <w:tcMar>
              <w:top w:w="85" w:type="dxa"/>
              <w:left w:w="90" w:type="dxa"/>
              <w:bottom w:w="85" w:type="dxa"/>
              <w:right w:w="90" w:type="dxa"/>
            </w:tcMar>
          </w:tcPr>
          <w:p>
            <w:pPr>
              <w:keepNext w:val="0"/>
              <w:spacing w:after="0" w:line="240" w:lineRule="auto"/>
            </w:pPr>
            <w:r>
              <w:rPr>
                <w:b/>
                <w:sz w:val="20"/>
              </w:rPr>
              <w:t>Field availability</w:t>
            </w:r>
          </w:p>
        </w:tc>
        <w:tc>
          <w:tcPr>
            <w:tcW w:type="dxa" w:w="1440"/>
            <w:vAlign w:val="center"/>
            <w:shd w:fill="E7EEF4"/>
            <w:tcMar>
              <w:top w:w="85" w:type="dxa"/>
              <w:left w:w="90" w:type="dxa"/>
              <w:bottom w:w="85" w:type="dxa"/>
              <w:right w:w="90" w:type="dxa"/>
            </w:tcMar>
          </w:tcPr>
          <w:p>
            <w:pPr>
              <w:keepNext w:val="0"/>
              <w:spacing w:after="0" w:line="240" w:lineRule="auto"/>
            </w:pPr>
            <w:r>
              <w:rPr>
                <w:b/>
                <w:sz w:val="20"/>
              </w:rPr>
              <w:t>present</w:t>
            </w:r>
          </w:p>
        </w:tc>
        <w:tc>
          <w:tcPr>
            <w:tcW w:type="dxa" w:w="1440"/>
            <w:vAlign w:val="center"/>
            <w:shd w:fill="E7EEF4"/>
            <w:tcMar>
              <w:top w:w="85" w:type="dxa"/>
              <w:left w:w="90" w:type="dxa"/>
              <w:bottom w:w="85" w:type="dxa"/>
              <w:right w:w="90" w:type="dxa"/>
            </w:tcMar>
          </w:tcPr>
          <w:p>
            <w:pPr>
              <w:keepNext w:val="0"/>
              <w:spacing w:after="0" w:line="240" w:lineRule="auto"/>
            </w:pPr>
            <w:r>
              <w:rPr>
                <w:b/>
                <w:sz w:val="20"/>
              </w:rPr>
              <w:t>is_null</w:t>
            </w:r>
          </w:p>
        </w:tc>
        <w:tc>
          <w:tcPr>
            <w:tcW w:type="dxa" w:w="2880"/>
            <w:vAlign w:val="center"/>
            <w:shd w:fill="E7EEF4"/>
            <w:tcMar>
              <w:top w:w="85" w:type="dxa"/>
              <w:left w:w="90" w:type="dxa"/>
              <w:bottom w:w="85" w:type="dxa"/>
              <w:right w:w="90" w:type="dxa"/>
            </w:tcMar>
          </w:tcPr>
          <w:p>
            <w:pPr>
              <w:keepNext w:val="0"/>
              <w:spacing w:after="0" w:line="240" w:lineRule="auto"/>
            </w:pPr>
            <w:r>
              <w:rPr>
                <w:b/>
                <w:sz w:val="20"/>
              </w:rPr>
              <w:t>Value comparison</w:t>
            </w:r>
          </w:p>
        </w:tc>
      </w:tr>
      <w:tr>
        <w:trPr>
          <w:cantSplit/>
        </w:trPr>
        <w:tc>
          <w:tcPr>
            <w:tcW w:type="dxa" w:w="4320"/>
            <w:vAlign w:val="center"/>
            <w:tcMar>
              <w:top w:w="85" w:type="dxa"/>
              <w:left w:w="90" w:type="dxa"/>
              <w:bottom w:w="85" w:type="dxa"/>
              <w:right w:w="90" w:type="dxa"/>
            </w:tcMar>
          </w:tcPr>
          <w:p>
            <w:pPr>
              <w:keepNext w:val="0"/>
              <w:spacing w:after="0" w:line="240" w:lineRule="auto"/>
            </w:pPr>
            <w:r>
              <w:rPr>
                <w:b w:val="0"/>
                <w:sz w:val="20"/>
              </w:rPr>
              <w:t>Known non-null value</w:t>
            </w:r>
          </w:p>
        </w:tc>
        <w:tc>
          <w:tcPr>
            <w:tcW w:type="dxa" w:w="1440"/>
            <w:vAlign w:val="center"/>
            <w:tcMar>
              <w:top w:w="85" w:type="dxa"/>
              <w:left w:w="90" w:type="dxa"/>
              <w:bottom w:w="85" w:type="dxa"/>
              <w:right w:w="90" w:type="dxa"/>
            </w:tcMar>
          </w:tcPr>
          <w:p>
            <w:pPr>
              <w:keepNext w:val="0"/>
              <w:spacing w:after="0" w:line="240" w:lineRule="auto"/>
            </w:pPr>
            <w:r>
              <w:rPr>
                <w:b w:val="0"/>
                <w:sz w:val="20"/>
              </w:rPr>
              <w:t>true</w:t>
            </w:r>
          </w:p>
        </w:tc>
        <w:tc>
          <w:tcPr>
            <w:tcW w:type="dxa" w:w="1440"/>
            <w:vAlign w:val="center"/>
            <w:tcMar>
              <w:top w:w="85" w:type="dxa"/>
              <w:left w:w="90" w:type="dxa"/>
              <w:bottom w:w="85" w:type="dxa"/>
              <w:right w:w="90" w:type="dxa"/>
            </w:tcMar>
          </w:tcPr>
          <w:p>
            <w:pPr>
              <w:keepNext w:val="0"/>
              <w:spacing w:after="0" w:line="240" w:lineRule="auto"/>
            </w:pPr>
            <w:r>
              <w:rPr>
                <w:b w:val="0"/>
                <w:sz w:val="20"/>
              </w:rPr>
              <w:t>false</w:t>
            </w:r>
          </w:p>
        </w:tc>
        <w:tc>
          <w:tcPr>
            <w:tcW w:type="dxa" w:w="2880"/>
            <w:vAlign w:val="center"/>
            <w:tcMar>
              <w:top w:w="85" w:type="dxa"/>
              <w:left w:w="90" w:type="dxa"/>
              <w:bottom w:w="85" w:type="dxa"/>
              <w:right w:w="90" w:type="dxa"/>
            </w:tcMar>
          </w:tcPr>
          <w:p>
            <w:pPr>
              <w:keepNext w:val="0"/>
              <w:spacing w:after="0" w:line="240" w:lineRule="auto"/>
            </w:pPr>
            <w:r>
              <w:rPr>
                <w:b w:val="0"/>
                <w:sz w:val="20"/>
              </w:rPr>
              <w:t>Compare by declared type</w:t>
            </w:r>
          </w:p>
        </w:tc>
      </w:tr>
      <w:tr>
        <w:trPr>
          <w:cantSplit/>
        </w:trPr>
        <w:tc>
          <w:tcPr>
            <w:tcW w:type="dxa" w:w="4320"/>
            <w:vAlign w:val="center"/>
            <w:tcMar>
              <w:top w:w="85" w:type="dxa"/>
              <w:left w:w="90" w:type="dxa"/>
              <w:bottom w:w="85" w:type="dxa"/>
              <w:right w:w="90" w:type="dxa"/>
            </w:tcMar>
          </w:tcPr>
          <w:p>
            <w:pPr>
              <w:keepNext w:val="0"/>
              <w:spacing w:after="0" w:line="240" w:lineRule="auto"/>
            </w:pPr>
            <w:r>
              <w:rPr>
                <w:b w:val="0"/>
                <w:sz w:val="20"/>
              </w:rPr>
              <w:t>Known explicit null</w:t>
            </w:r>
          </w:p>
        </w:tc>
        <w:tc>
          <w:tcPr>
            <w:tcW w:type="dxa" w:w="1440"/>
            <w:vAlign w:val="center"/>
            <w:tcMar>
              <w:top w:w="85" w:type="dxa"/>
              <w:left w:w="90" w:type="dxa"/>
              <w:bottom w:w="85" w:type="dxa"/>
              <w:right w:w="90" w:type="dxa"/>
            </w:tcMar>
          </w:tcPr>
          <w:p>
            <w:pPr>
              <w:keepNext w:val="0"/>
              <w:spacing w:after="0" w:line="240" w:lineRule="auto"/>
            </w:pPr>
            <w:r>
              <w:rPr>
                <w:b w:val="0"/>
                <w:sz w:val="20"/>
              </w:rPr>
              <w:t>true</w:t>
            </w:r>
          </w:p>
        </w:tc>
        <w:tc>
          <w:tcPr>
            <w:tcW w:type="dxa" w:w="1440"/>
            <w:vAlign w:val="center"/>
            <w:tcMar>
              <w:top w:w="85" w:type="dxa"/>
              <w:left w:w="90" w:type="dxa"/>
              <w:bottom w:w="85" w:type="dxa"/>
              <w:right w:w="90" w:type="dxa"/>
            </w:tcMar>
          </w:tcPr>
          <w:p>
            <w:pPr>
              <w:keepNext w:val="0"/>
              <w:spacing w:after="0" w:line="240" w:lineRule="auto"/>
            </w:pPr>
            <w:r>
              <w:rPr>
                <w:b w:val="0"/>
                <w:sz w:val="20"/>
              </w:rPr>
              <w:t>true</w:t>
            </w:r>
          </w:p>
        </w:tc>
        <w:tc>
          <w:tcPr>
            <w:tcW w:type="dxa" w:w="2880"/>
            <w:vAlign w:val="center"/>
            <w:tcMar>
              <w:top w:w="85" w:type="dxa"/>
              <w:left w:w="90" w:type="dxa"/>
              <w:bottom w:w="85" w:type="dxa"/>
              <w:right w:w="90" w:type="dxa"/>
            </w:tcMar>
          </w:tcPr>
          <w:p>
            <w:pPr>
              <w:keepNext w:val="0"/>
              <w:spacing w:after="0" w:line="240" w:lineRule="auto"/>
            </w:pPr>
            <w:r>
              <w:rPr>
                <w:b w:val="0"/>
                <w:sz w:val="20"/>
              </w:rPr>
              <w:t>Use declared nullable equality; null equals null</w:t>
            </w:r>
          </w:p>
        </w:tc>
      </w:tr>
      <w:tr>
        <w:trPr>
          <w:cantSplit/>
        </w:trPr>
        <w:tc>
          <w:tcPr>
            <w:tcW w:type="dxa" w:w="4320"/>
            <w:vAlign w:val="center"/>
            <w:tcMar>
              <w:top w:w="85" w:type="dxa"/>
              <w:left w:w="90" w:type="dxa"/>
              <w:bottom w:w="85" w:type="dxa"/>
              <w:right w:w="90" w:type="dxa"/>
            </w:tcMar>
          </w:tcPr>
          <w:p>
            <w:pPr>
              <w:keepNext w:val="0"/>
              <w:spacing w:after="0" w:line="240" w:lineRule="auto"/>
            </w:pPr>
            <w:r>
              <w:rPr>
                <w:b w:val="0"/>
                <w:sz w:val="20"/>
              </w:rPr>
              <w:t>Authoritatively inspected and absent</w:t>
            </w:r>
          </w:p>
        </w:tc>
        <w:tc>
          <w:tcPr>
            <w:tcW w:type="dxa" w:w="1440"/>
            <w:vAlign w:val="center"/>
            <w:tcMar>
              <w:top w:w="85" w:type="dxa"/>
              <w:left w:w="90" w:type="dxa"/>
              <w:bottom w:w="85" w:type="dxa"/>
              <w:right w:w="90" w:type="dxa"/>
            </w:tcMar>
          </w:tcPr>
          <w:p>
            <w:pPr>
              <w:keepNext w:val="0"/>
              <w:spacing w:after="0" w:line="240" w:lineRule="auto"/>
            </w:pPr>
            <w:r>
              <w:rPr>
                <w:b w:val="0"/>
                <w:sz w:val="20"/>
              </w:rPr>
              <w:t>false</w:t>
            </w:r>
          </w:p>
        </w:tc>
        <w:tc>
          <w:tcPr>
            <w:tcW w:type="dxa" w:w="1440"/>
            <w:vAlign w:val="center"/>
            <w:tcMar>
              <w:top w:w="85" w:type="dxa"/>
              <w:left w:w="90" w:type="dxa"/>
              <w:bottom w:w="85" w:type="dxa"/>
              <w:right w:w="90" w:type="dxa"/>
            </w:tcMar>
          </w:tcPr>
          <w:p>
            <w:pPr>
              <w:keepNext w:val="0"/>
              <w:spacing w:after="0" w:line="240" w:lineRule="auto"/>
            </w:pPr>
            <w:r>
              <w:rPr>
                <w:b w:val="0"/>
                <w:sz w:val="20"/>
              </w:rPr>
              <w:t>false</w:t>
            </w:r>
          </w:p>
        </w:tc>
        <w:tc>
          <w:tcPr>
            <w:tcW w:type="dxa" w:w="2880"/>
            <w:vAlign w:val="center"/>
            <w:tcMar>
              <w:top w:w="85" w:type="dxa"/>
              <w:left w:w="90" w:type="dxa"/>
              <w:bottom w:w="85" w:type="dxa"/>
              <w:right w:w="90" w:type="dxa"/>
            </w:tcMar>
          </w:tcPr>
          <w:p>
            <w:pPr>
              <w:keepNext w:val="0"/>
              <w:spacing w:after="0" w:line="240" w:lineRule="auto"/>
            </w:pPr>
            <w:r>
              <w:rPr>
                <w:b w:val="0"/>
                <w:sz w:val="20"/>
              </w:rPr>
              <w:t>unknown</w:t>
            </w:r>
          </w:p>
        </w:tc>
      </w:tr>
      <w:tr>
        <w:trPr>
          <w:cantSplit/>
        </w:trPr>
        <w:tc>
          <w:tcPr>
            <w:tcW w:type="dxa" w:w="4320"/>
            <w:vAlign w:val="center"/>
            <w:tcMar>
              <w:top w:w="85" w:type="dxa"/>
              <w:left w:w="90" w:type="dxa"/>
              <w:bottom w:w="85" w:type="dxa"/>
              <w:right w:w="90" w:type="dxa"/>
            </w:tcMar>
          </w:tcPr>
          <w:p>
            <w:pPr>
              <w:keepNext w:val="0"/>
              <w:spacing w:after="0" w:line="240" w:lineRule="auto"/>
            </w:pPr>
            <w:r>
              <w:rPr>
                <w:b w:val="0"/>
                <w:sz w:val="20"/>
              </w:rPr>
              <w:t>Uninspected, unavailable or conflicted</w:t>
            </w:r>
          </w:p>
        </w:tc>
        <w:tc>
          <w:tcPr>
            <w:tcW w:type="dxa" w:w="1440"/>
            <w:vAlign w:val="center"/>
            <w:tcMar>
              <w:top w:w="85" w:type="dxa"/>
              <w:left w:w="90" w:type="dxa"/>
              <w:bottom w:w="85" w:type="dxa"/>
              <w:right w:w="90" w:type="dxa"/>
            </w:tcMar>
          </w:tcPr>
          <w:p>
            <w:pPr>
              <w:keepNext w:val="0"/>
              <w:spacing w:after="0" w:line="240" w:lineRule="auto"/>
            </w:pPr>
            <w:r>
              <w:rPr>
                <w:b w:val="0"/>
                <w:sz w:val="20"/>
              </w:rPr>
              <w:t>unknown</w:t>
            </w:r>
          </w:p>
        </w:tc>
        <w:tc>
          <w:tcPr>
            <w:tcW w:type="dxa" w:w="1440"/>
            <w:vAlign w:val="center"/>
            <w:tcMar>
              <w:top w:w="85" w:type="dxa"/>
              <w:left w:w="90" w:type="dxa"/>
              <w:bottom w:w="85" w:type="dxa"/>
              <w:right w:w="90" w:type="dxa"/>
            </w:tcMar>
          </w:tcPr>
          <w:p>
            <w:pPr>
              <w:keepNext w:val="0"/>
              <w:spacing w:after="0" w:line="240" w:lineRule="auto"/>
            </w:pPr>
            <w:r>
              <w:rPr>
                <w:b w:val="0"/>
                <w:sz w:val="20"/>
              </w:rPr>
              <w:t>unknown</w:t>
            </w:r>
          </w:p>
        </w:tc>
        <w:tc>
          <w:tcPr>
            <w:tcW w:type="dxa" w:w="2880"/>
            <w:vAlign w:val="center"/>
            <w:tcMar>
              <w:top w:w="85" w:type="dxa"/>
              <w:left w:w="90" w:type="dxa"/>
              <w:bottom w:w="85" w:type="dxa"/>
              <w:right w:w="90" w:type="dxa"/>
            </w:tcMar>
          </w:tcPr>
          <w:p>
            <w:pPr>
              <w:keepNext w:val="0"/>
              <w:spacing w:after="0" w:line="240" w:lineRule="auto"/>
            </w:pPr>
            <w:r>
              <w:rPr>
                <w:b w:val="0"/>
                <w:sz w:val="20"/>
              </w:rPr>
              <w:t>unknown</w:t>
            </w:r>
          </w:p>
        </w:tc>
      </w:tr>
    </w:tbl>
    <w:p>
      <w:pPr>
        <w:spacing w:after="0"/>
      </w:pPr>
    </w:p>
    <w:p>
      <w:pPr>
        <w:keepNext w:val="0"/>
      </w:pPr>
      <w:r>
        <w:t>Safe normalization flattens nested all within all or any within any, sorts and deduplicates canonical children, and removes double negation. It retains other nesting and operators. In particular, any(P, not P) and all(P, not P) both evaluate unknown when P is unknown; classical tautology simplifications would change the meaning.</w:t>
      </w:r>
    </w:p>
    <w:p>
      <w:pPr>
        <w:keepNext w:val="0"/>
      </w:pPr>
      <w:r>
        <w:t>The frame condition when describes the assertion itself. The applicability guard controls whether that recorded assertion transfers to a target situation. Both must be satisfied for current use. Preserve the existing modes exact_state, dependency_guarded, project_convention and general_procedure, and outputs applicable, inapplicable and unknown_requires_check. A complete condition can evaluate unknown in a particular context without making its source interpretation incomplete. [A, pp 16–17; P090–P092]</w:t>
      </w:r>
    </w:p>
    <w:p>
      <w:pPr>
        <w:keepNext w:val="0"/>
      </w:pPr>
      <w:r>
        <w:t>Repository state, environment and contract are distinct dependencies. Commit ancestry alone does not carry a passing test to a new candidate, and a later recorded time does not move an old observation into the current state. Preserve event time, recorded time and optional valid time separately. Explicit intervals are half-open [start, end); touching endpoints do not overlap. A null bound explicitly means an open end. Unknown time is different from an open bound. scope_only adds no time claim and does not assert timeless validity.</w:t>
      </w:r>
    </w:p>
    <w:p>
      <w:pPr>
        <w:keepNext w:val="0"/>
      </w:pPr>
      <w:r>
        <w:t>At least one interval endpoint must be specified; use scope_only instead of two null endpoints. Chronological evaluation uses the existing evidence-availability records, never a later embedding or catalog timestamp as a substitute for when the evidence became available.</w:t>
      </w:r>
    </w:p>
    <w:p>
      <w:pPr>
        <w:keepNext w:val="0"/>
      </w:pPr>
      <w:r>
        <w:t>Version 0.1 design defaults bound each guard to depth 8 and 128 nodes, each Boolean node to 32 children, each membership set to 64 terms, each bundle to 64 frames and each frame to 32 evidence bindings. Literal payloads are limited to 4,096 UTF-8 bytes. These are initial implementation limits to measure, not facts inferred from the source plans.</w:t>
      </w:r>
    </w:p>
    <w:p>
      <w:pPr>
        <w:pStyle w:val="Heading1"/>
      </w:pPr>
      <w:r>
        <w:t>8 Evidence support and conflict decisions</w:t>
      </w:r>
    </w:p>
    <w:p>
      <w:pPr>
        <w:keepNext w:val="0"/>
      </w:pPr>
      <w:r>
        <w:t>A claim and its evidence are distinct records. Evidence states what was observed or reported, which behavior it covers, whether it directly bears on the claim and which originating observation it derives from. Several summaries of one test count as one originating observation. A source reporting P establishes that the source reported P; whether it establishes P itself depends on evidence quality and scope. [A, pp 14–16; P086]</w:t>
      </w:r>
    </w:p>
    <w:p>
      <w:pPr>
        <w:keepNext w:val="0"/>
      </w:pPr>
      <w:r>
        <w:t>Support diagnostics use four labels: supported_only, refuted_only, conflicting and unknown. They summarize admitted supporting and opposing evidence in a target context; they are not objective truth values and do not replace three-valued guard evaluation. An optional confidence estimate remains attributed to its producer and cannot promote memory or pass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416"/>
      </w:tblGrid>
      <w:tr>
        <w:trPr>
          <w:tblHeader/>
          <w:cantSplit/>
        </w:trPr>
        <w:tc>
          <w:tcPr>
            <w:tcW w:type="dxa" w:w="2664"/>
            <w:vAlign w:val="center"/>
            <w:shd w:fill="E7EEF4"/>
            <w:tcMar>
              <w:top w:w="85" w:type="dxa"/>
              <w:left w:w="90" w:type="dxa"/>
              <w:bottom w:w="85" w:type="dxa"/>
              <w:right w:w="90" w:type="dxa"/>
            </w:tcMar>
          </w:tcPr>
          <w:p>
            <w:pPr>
              <w:keepNext w:val="0"/>
              <w:spacing w:after="0" w:line="240" w:lineRule="auto"/>
            </w:pPr>
            <w:r>
              <w:rPr>
                <w:b/>
                <w:sz w:val="20"/>
              </w:rPr>
              <w:t>Diagnostic</w:t>
            </w:r>
          </w:p>
        </w:tc>
        <w:tc>
          <w:tcPr>
            <w:tcW w:type="dxa" w:w="7416"/>
            <w:vAlign w:val="center"/>
            <w:shd w:fill="E7EEF4"/>
            <w:tcMar>
              <w:top w:w="85" w:type="dxa"/>
              <w:left w:w="90" w:type="dxa"/>
              <w:bottom w:w="85" w:type="dxa"/>
              <w:right w:w="90" w:type="dxa"/>
            </w:tcMar>
          </w:tcPr>
          <w:p>
            <w:pPr>
              <w:keepNext w:val="0"/>
              <w:spacing w:after="0" w:line="240" w:lineRule="auto"/>
            </w:pPr>
            <w:r>
              <w:rPr>
                <w:b/>
                <w:sz w:val="20"/>
              </w:rPr>
              <w:t>Required basis</w:t>
            </w:r>
          </w:p>
        </w:tc>
      </w:tr>
      <w:tr>
        <w:trPr>
          <w:cantSplit/>
        </w:trPr>
        <w:tc>
          <w:tcPr>
            <w:tcW w:type="dxa" w:w="2664"/>
            <w:vAlign w:val="center"/>
            <w:tcMar>
              <w:top w:w="85" w:type="dxa"/>
              <w:left w:w="90" w:type="dxa"/>
              <w:bottom w:w="85" w:type="dxa"/>
              <w:right w:w="90" w:type="dxa"/>
            </w:tcMar>
          </w:tcPr>
          <w:p>
            <w:pPr>
              <w:keepNext w:val="0"/>
              <w:spacing w:after="0" w:line="240" w:lineRule="auto"/>
            </w:pPr>
            <w:r>
              <w:rPr>
                <w:b w:val="0"/>
                <w:sz w:val="20"/>
              </w:rPr>
              <w:t>Factual opposition</w:t>
            </w:r>
          </w:p>
        </w:tc>
        <w:tc>
          <w:tcPr>
            <w:tcW w:type="dxa" w:w="7416"/>
            <w:vAlign w:val="center"/>
            <w:tcMar>
              <w:top w:w="85" w:type="dxa"/>
              <w:left w:w="90" w:type="dxa"/>
              <w:bottom w:w="85" w:type="dxa"/>
              <w:right w:w="90" w:type="dxa"/>
            </w:tcMar>
          </w:tcPr>
          <w:p>
            <w:pPr>
              <w:keepNext w:val="0"/>
              <w:spacing w:after="0" w:line="240" w:lineRule="auto"/>
            </w:pPr>
            <w:r>
              <w:rPr>
                <w:b w:val="0"/>
                <w:sz w:val="20"/>
              </w:rPr>
              <w:t>Same resolved proposition core, opposite polarity, compatible factual interpretation and proven overlapping situation.</w:t>
            </w:r>
          </w:p>
        </w:tc>
      </w:tr>
      <w:tr>
        <w:trPr>
          <w:cantSplit/>
        </w:trPr>
        <w:tc>
          <w:tcPr>
            <w:tcW w:type="dxa" w:w="2664"/>
            <w:vAlign w:val="center"/>
            <w:tcMar>
              <w:top w:w="85" w:type="dxa"/>
              <w:left w:w="90" w:type="dxa"/>
              <w:bottom w:w="85" w:type="dxa"/>
              <w:right w:w="90" w:type="dxa"/>
            </w:tcMar>
          </w:tcPr>
          <w:p>
            <w:pPr>
              <w:keepNext w:val="0"/>
              <w:spacing w:after="0" w:line="240" w:lineRule="auto"/>
            </w:pPr>
            <w:r>
              <w:rPr>
                <w:b w:val="0"/>
                <w:sz w:val="20"/>
              </w:rPr>
              <w:t>Functional value conflict</w:t>
            </w:r>
          </w:p>
        </w:tc>
        <w:tc>
          <w:tcPr>
            <w:tcW w:type="dxa" w:w="7416"/>
            <w:vAlign w:val="center"/>
            <w:tcMar>
              <w:top w:w="85" w:type="dxa"/>
              <w:left w:w="90" w:type="dxa"/>
              <w:bottom w:w="85" w:type="dxa"/>
              <w:right w:w="90" w:type="dxa"/>
            </w:tcMar>
          </w:tcPr>
          <w:p>
            <w:pPr>
              <w:keepNext w:val="0"/>
              <w:spacing w:after="0" w:line="240" w:lineRule="auto"/>
            </w:pPr>
            <w:r>
              <w:rPr>
                <w:b w:val="0"/>
                <w:sz w:val="20"/>
              </w:rPr>
              <w:t>Unequal positive values for a registered functional slot in one overlapping situation. Negative assertions are exclusions, not alternate values.</w:t>
            </w:r>
          </w:p>
        </w:tc>
      </w:tr>
      <w:tr>
        <w:trPr>
          <w:cantSplit/>
        </w:trPr>
        <w:tc>
          <w:tcPr>
            <w:tcW w:type="dxa" w:w="2664"/>
            <w:vAlign w:val="center"/>
            <w:tcMar>
              <w:top w:w="85" w:type="dxa"/>
              <w:left w:w="90" w:type="dxa"/>
              <w:bottom w:w="85" w:type="dxa"/>
              <w:right w:w="90" w:type="dxa"/>
            </w:tcMar>
          </w:tcPr>
          <w:p>
            <w:pPr>
              <w:keepNext w:val="0"/>
              <w:spacing w:after="0" w:line="240" w:lineRule="auto"/>
            </w:pPr>
            <w:r>
              <w:rPr>
                <w:b w:val="0"/>
                <w:sz w:val="20"/>
              </w:rPr>
              <w:t>Normative conflict</w:t>
            </w:r>
          </w:p>
        </w:tc>
        <w:tc>
          <w:tcPr>
            <w:tcW w:type="dxa" w:w="7416"/>
            <w:vAlign w:val="center"/>
            <w:tcMar>
              <w:top w:w="85" w:type="dxa"/>
              <w:left w:w="90" w:type="dxa"/>
              <w:bottom w:w="85" w:type="dxa"/>
              <w:right w:w="90" w:type="dxa"/>
            </w:tcMar>
          </w:tcPr>
          <w:p>
            <w:pPr>
              <w:keepNext w:val="0"/>
              <w:spacing w:after="0" w:line="240" w:lineRule="auto"/>
            </w:pPr>
            <w:r>
              <w:rPr>
                <w:b w:val="0"/>
                <w:sz w:val="20"/>
              </w:rPr>
              <w:t>Effective binding requirements cannot both be satisfied in an overlapping situation. The current contract/policy determines which norms are effective.</w:t>
            </w:r>
          </w:p>
        </w:tc>
      </w:tr>
      <w:tr>
        <w:trPr>
          <w:cantSplit/>
        </w:trPr>
        <w:tc>
          <w:tcPr>
            <w:tcW w:type="dxa" w:w="2664"/>
            <w:vAlign w:val="center"/>
            <w:tcMar>
              <w:top w:w="85" w:type="dxa"/>
              <w:left w:w="90" w:type="dxa"/>
              <w:bottom w:w="85" w:type="dxa"/>
              <w:right w:w="90" w:type="dxa"/>
            </w:tcMar>
          </w:tcPr>
          <w:p>
            <w:pPr>
              <w:keepNext w:val="0"/>
              <w:spacing w:after="0" w:line="240" w:lineRule="auto"/>
            </w:pPr>
            <w:r>
              <w:rPr>
                <w:b w:val="0"/>
                <w:sz w:val="20"/>
              </w:rPr>
              <w:t>Compliance violation or satisfaction</w:t>
            </w:r>
          </w:p>
        </w:tc>
        <w:tc>
          <w:tcPr>
            <w:tcW w:type="dxa" w:w="7416"/>
            <w:vAlign w:val="center"/>
            <w:tcMar>
              <w:top w:w="85" w:type="dxa"/>
              <w:left w:w="90" w:type="dxa"/>
              <w:bottom w:w="85" w:type="dxa"/>
              <w:right w:w="90" w:type="dxa"/>
            </w:tcMar>
          </w:tcPr>
          <w:p>
            <w:pPr>
              <w:keepNext w:val="0"/>
              <w:spacing w:after="0" w:line="240" w:lineRule="auto"/>
            </w:pPr>
            <w:r>
              <w:rPr>
                <w:b w:val="0"/>
                <w:sz w:val="20"/>
              </w:rPr>
              <w:t>Applicable observed evidence is compared with an effective norm. Missing coverage gives unknown; it does not count as satisfaction.</w:t>
            </w:r>
          </w:p>
        </w:tc>
      </w:tr>
      <w:tr>
        <w:trPr>
          <w:cantSplit/>
        </w:trPr>
        <w:tc>
          <w:tcPr>
            <w:tcW w:type="dxa" w:w="2664"/>
            <w:vAlign w:val="center"/>
            <w:tcMar>
              <w:top w:w="85" w:type="dxa"/>
              <w:left w:w="90" w:type="dxa"/>
              <w:bottom w:w="85" w:type="dxa"/>
              <w:right w:w="90" w:type="dxa"/>
            </w:tcMar>
          </w:tcPr>
          <w:p>
            <w:pPr>
              <w:keepNext w:val="0"/>
              <w:spacing w:after="0" w:line="240" w:lineRule="auto"/>
            </w:pPr>
            <w:r>
              <w:rPr>
                <w:b w:val="0"/>
                <w:sz w:val="20"/>
              </w:rPr>
              <w:t>Preference tension</w:t>
            </w:r>
          </w:p>
        </w:tc>
        <w:tc>
          <w:tcPr>
            <w:tcW w:type="dxa" w:w="7416"/>
            <w:vAlign w:val="center"/>
            <w:tcMar>
              <w:top w:w="85" w:type="dxa"/>
              <w:left w:w="90" w:type="dxa"/>
              <w:bottom w:w="85" w:type="dxa"/>
              <w:right w:w="90" w:type="dxa"/>
            </w:tcMar>
          </w:tcPr>
          <w:p>
            <w:pPr>
              <w:keepNext w:val="0"/>
              <w:spacing w:after="0" w:line="240" w:lineRule="auto"/>
            </w:pPr>
            <w:r>
              <w:rPr>
                <w:b w:val="0"/>
                <w:sz w:val="20"/>
              </w:rPr>
              <w:t>A preference competes with another preference or a requirement. Existing authority rules determine eligibility; similarity does not determine priority.</w:t>
            </w:r>
          </w:p>
        </w:tc>
      </w:tr>
      <w:tr>
        <w:trPr>
          <w:cantSplit/>
        </w:trPr>
        <w:tc>
          <w:tcPr>
            <w:tcW w:type="dxa" w:w="2664"/>
            <w:vAlign w:val="center"/>
            <w:tcMar>
              <w:top w:w="85" w:type="dxa"/>
              <w:left w:w="90" w:type="dxa"/>
              <w:bottom w:w="85" w:type="dxa"/>
              <w:right w:w="90" w:type="dxa"/>
            </w:tcMar>
          </w:tcPr>
          <w:p>
            <w:pPr>
              <w:keepNext w:val="0"/>
              <w:spacing w:after="0" w:line="240" w:lineRule="auto"/>
            </w:pPr>
            <w:r>
              <w:rPr>
                <w:b w:val="0"/>
                <w:sz w:val="20"/>
              </w:rPr>
              <w:t>Historical difference</w:t>
            </w:r>
          </w:p>
        </w:tc>
        <w:tc>
          <w:tcPr>
            <w:tcW w:type="dxa" w:w="7416"/>
            <w:vAlign w:val="center"/>
            <w:tcMar>
              <w:top w:w="85" w:type="dxa"/>
              <w:left w:w="90" w:type="dxa"/>
              <w:bottom w:w="85" w:type="dxa"/>
              <w:right w:w="90" w:type="dxa"/>
            </w:tcMar>
          </w:tcPr>
          <w:p>
            <w:pPr>
              <w:keepNext w:val="0"/>
              <w:spacing w:after="0" w:line="240" w:lineRule="auto"/>
            </w:pPr>
            <w:r>
              <w:rPr>
                <w:b w:val="0"/>
                <w:sz w:val="20"/>
              </w:rPr>
              <w:t>Differences are tied to disjoint valid times, states or superseded norms. Recency alone does not establish supersession.</w:t>
            </w:r>
          </w:p>
        </w:tc>
      </w:tr>
      <w:tr>
        <w:trPr>
          <w:cantSplit/>
        </w:trPr>
        <w:tc>
          <w:tcPr>
            <w:tcW w:type="dxa" w:w="2664"/>
            <w:vAlign w:val="center"/>
            <w:tcMar>
              <w:top w:w="85" w:type="dxa"/>
              <w:left w:w="90" w:type="dxa"/>
              <w:bottom w:w="85" w:type="dxa"/>
              <w:right w:w="90" w:type="dxa"/>
            </w:tcMar>
          </w:tcPr>
          <w:p>
            <w:pPr>
              <w:keepNext w:val="0"/>
              <w:spacing w:after="0" w:line="240" w:lineRule="auto"/>
            </w:pPr>
            <w:r>
              <w:rPr>
                <w:b w:val="0"/>
                <w:sz w:val="20"/>
              </w:rPr>
              <w:t>Potential conflict or undetermined</w:t>
            </w:r>
          </w:p>
        </w:tc>
        <w:tc>
          <w:tcPr>
            <w:tcW w:type="dxa" w:w="7416"/>
            <w:vAlign w:val="center"/>
            <w:tcMar>
              <w:top w:w="85" w:type="dxa"/>
              <w:left w:w="90" w:type="dxa"/>
              <w:bottom w:w="85" w:type="dxa"/>
              <w:right w:w="90" w:type="dxa"/>
            </w:tcMar>
          </w:tcPr>
          <w:p>
            <w:pPr>
              <w:keepNext w:val="0"/>
              <w:spacing w:after="0" w:line="240" w:lineRule="auto"/>
            </w:pPr>
            <w:r>
              <w:rPr>
                <w:b w:val="0"/>
                <w:sz w:val="20"/>
              </w:rPr>
              <w:t>Candidate claims resemble a conflict, but identity, coverage, authority or overlap cannot yet be established.</w:t>
            </w:r>
          </w:p>
        </w:tc>
      </w:tr>
    </w:tbl>
    <w:p>
      <w:pPr>
        <w:spacing w:after="0"/>
      </w:pPr>
    </w:p>
    <w:p>
      <w:pPr>
        <w:keepNext w:val="0"/>
      </w:pPr>
      <w:r>
        <w:t>Conflict candidate generation groups the canonical predicate and subject or functional slot, deliberately allowing opposing polarity and values into the candidate set. The classifier then checks mode, force, authority, scope, applicability and time. A new source does not overwrite an older claim automatically; explicit lifecycle decisions resolve or preserve conflicts.</w:t>
      </w:r>
    </w:p>
    <w:p>
      <w:pPr>
        <w:keepNext w:val="0"/>
      </w:pPr>
      <w:r>
        <w:t>The initial overlap checker proves disjointness from incompatible exact contexts, non-overlapping intervals or simple contradictory equalities/ranges. It may establish overlap from supported intersections or a concrete target context satisfying both guards. Arbitrary guarded overlap is not solved by version 0.1; unresolved cases remain potential conflicts. A negative Boolean setting is not rewritten to the opposite value when null or other values are possible.</w:t>
      </w:r>
    </w:p>
    <w:p>
      <w:pPr>
        <w:keepNext w:val="0"/>
      </w:pPr>
      <w:r>
        <w:t>Keep the verification service as the only owner of criterion and candidate outcomes. Retain passed, failed, blocked, not_run, flaky_or_inconclusive and infrastructure_error exactly. A semantic compliance diagnostic may point to evidence and missing checks, but cannot upgrade these records. [A, p 19; P130]</w:t>
      </w:r>
    </w:p>
    <w:p>
      <w:pPr>
        <w:pStyle w:val="Heading1"/>
      </w:pPr>
      <w:r>
        <w:t>9 Procedures and reusable guidance</w:t>
      </w:r>
    </w:p>
    <w:p>
      <w:pPr>
        <w:keepNext w:val="0"/>
      </w:pPr>
      <w:r>
        <w:t>Procedures retain the existing fields trigger, preconditions, diagnostic_steps, expected_observations, alternatives, implementation_principle, verification, stop_conditions, exceptions and evidence. This design adds typed references and semantic views to those fields rather than defining a second procedure execution language. [A, p 18]</w:t>
      </w:r>
    </w:p>
    <w:p>
      <w:pPr>
        <w:keepNext w:val="0"/>
      </w:pPr>
      <w:r>
        <w:t>A procedure representation emphasizes its problem concept, trigger, required situation, diagnostic action roles, expected observations, alternatives and failure or stop conditions. Step order and branching remain in the source procedure structure. A bag of feature coordinates cannot represent that control flow completely, so the ordered procedure and its exceptions remain in the delivered packet.</w:t>
      </w:r>
    </w:p>
    <w:p>
      <w:pPr>
        <w:keepNext w:val="0"/>
      </w:pPr>
      <w:r>
        <w:t>Expected observations are predictions, not observed outcomes. A task-local adaptation binds concrete entities and conditions without automatically becoming a reusable procedure revision. Successful or failed use attaches scoped evidence through normal memory admission. A general procedure can be relevant while still requiring applicability checks before use.</w:t>
      </w:r>
    </w:p>
    <w:p>
      <w:pPr>
        <w:pStyle w:val="Heading1"/>
      </w:pPr>
      <w:r>
        <w:t>10 Several retrieval views chosen by the question</w:t>
      </w:r>
    </w:p>
    <w:p>
      <w:pPr>
        <w:keepNext w:val="0"/>
      </w:pPr>
      <w:r>
        <w:t>Use a stable canonical semantic record with several derived views. The query selects a versioned retrieval profile describing required inputs, candidate channels, ranking and decision semantics. Several views may contribute to one question. A routing model can propose the profile, but the request validator checks its required context and records the selected profile and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tblHeader/>
          <w:cantSplit/>
        </w:trPr>
        <w:tc>
          <w:tcPr>
            <w:tcW w:type="dxa" w:w="2376"/>
            <w:vAlign w:val="center"/>
            <w:shd w:fill="E7EEF4"/>
            <w:tcMar>
              <w:top w:w="85" w:type="dxa"/>
              <w:left w:w="90" w:type="dxa"/>
              <w:bottom w:w="85" w:type="dxa"/>
              <w:right w:w="90" w:type="dxa"/>
            </w:tcMar>
          </w:tcPr>
          <w:p>
            <w:pPr>
              <w:keepNext w:val="0"/>
              <w:spacing w:after="0" w:line="240" w:lineRule="auto"/>
            </w:pPr>
            <w:r>
              <w:rPr>
                <w:b/>
                <w:sz w:val="20"/>
              </w:rPr>
              <w:t>Profile and question</w:t>
            </w:r>
          </w:p>
        </w:tc>
        <w:tc>
          <w:tcPr>
            <w:tcW w:type="dxa" w:w="3672"/>
            <w:vAlign w:val="center"/>
            <w:shd w:fill="E7EEF4"/>
            <w:tcMar>
              <w:top w:w="85" w:type="dxa"/>
              <w:left w:w="90" w:type="dxa"/>
              <w:bottom w:w="85" w:type="dxa"/>
              <w:right w:w="90" w:type="dxa"/>
            </w:tcMar>
          </w:tcPr>
          <w:p>
            <w:pPr>
              <w:keepNext w:val="0"/>
              <w:spacing w:after="0" w:line="240" w:lineRule="auto"/>
            </w:pPr>
            <w:r>
              <w:rPr>
                <w:b/>
                <w:sz w:val="20"/>
              </w:rPr>
              <w:t>Candidate channels</w:t>
            </w:r>
          </w:p>
        </w:tc>
        <w:tc>
          <w:tcPr>
            <w:tcW w:type="dxa" w:w="4032"/>
            <w:vAlign w:val="center"/>
            <w:shd w:fill="E7EEF4"/>
            <w:tcMar>
              <w:top w:w="85" w:type="dxa"/>
              <w:left w:w="90" w:type="dxa"/>
              <w:bottom w:w="85" w:type="dxa"/>
              <w:right w:w="90" w:type="dxa"/>
            </w:tcMar>
          </w:tcPr>
          <w:p>
            <w:pPr>
              <w:keepNext w:val="0"/>
              <w:spacing w:after="0" w:line="240" w:lineRule="auto"/>
            </w:pPr>
            <w:r>
              <w:rPr>
                <w:b/>
                <w:sz w:val="20"/>
              </w:rPr>
              <w:t>Decision boundary</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Type inventory</w:t>
              <w:br/>
              <w:t>Find every item of this type</w:t>
            </w:r>
          </w:p>
        </w:tc>
        <w:tc>
          <w:tcPr>
            <w:tcW w:type="dxa" w:w="3672"/>
            <w:vAlign w:val="center"/>
            <w:tcMar>
              <w:top w:w="85" w:type="dxa"/>
              <w:left w:w="90" w:type="dxa"/>
              <w:bottom w:w="85" w:type="dxa"/>
              <w:right w:w="90" w:type="dxa"/>
            </w:tcMar>
          </w:tcPr>
          <w:p>
            <w:pPr>
              <w:keepNext w:val="0"/>
              <w:spacing w:after="0" w:line="240" w:lineRule="auto"/>
            </w:pPr>
            <w:r>
              <w:rPr>
                <w:b w:val="0"/>
                <w:sz w:val="20"/>
              </w:rPr>
              <w:t>Exact type registry, declared subtype closure and a complete snapshot enumeration manifest.</w:t>
            </w:r>
          </w:p>
        </w:tc>
        <w:tc>
          <w:tcPr>
            <w:tcW w:type="dxa" w:w="4032"/>
            <w:vAlign w:val="center"/>
            <w:tcMar>
              <w:top w:w="85" w:type="dxa"/>
              <w:left w:w="90" w:type="dxa"/>
              <w:bottom w:w="85" w:type="dxa"/>
              <w:right w:w="90" w:type="dxa"/>
            </w:tcMar>
          </w:tcPr>
          <w:p>
            <w:pPr>
              <w:keepNext w:val="0"/>
              <w:spacing w:after="0" w:line="240" w:lineRule="auto"/>
            </w:pPr>
            <w:r>
              <w:rPr>
                <w:b w:val="0"/>
                <w:sz w:val="20"/>
              </w:rPr>
              <w:t>Return every eligible catalog match with coverage and stable pagination. No semantic rank cutoff.</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Aboutness</w:t>
              <w:br/>
              <w:t>What is this about?</w:t>
            </w:r>
          </w:p>
        </w:tc>
        <w:tc>
          <w:tcPr>
            <w:tcW w:type="dxa" w:w="3672"/>
            <w:vAlign w:val="center"/>
            <w:tcMar>
              <w:top w:w="85" w:type="dxa"/>
              <w:left w:w="90" w:type="dxa"/>
              <w:bottom w:w="85" w:type="dxa"/>
              <w:right w:w="90" w:type="dxa"/>
            </w:tcMar>
          </w:tcPr>
          <w:p>
            <w:pPr>
              <w:keepNext w:val="0"/>
              <w:spacing w:after="0" w:line="240" w:lineRule="auto"/>
            </w:pPr>
            <w:r>
              <w:rPr>
                <w:b w:val="0"/>
                <w:sz w:val="20"/>
              </w:rPr>
              <w:t>General text embedding, full-text search and controlled concepts.</w:t>
            </w:r>
          </w:p>
        </w:tc>
        <w:tc>
          <w:tcPr>
            <w:tcW w:type="dxa" w:w="4032"/>
            <w:vAlign w:val="center"/>
            <w:tcMar>
              <w:top w:w="85" w:type="dxa"/>
              <w:left w:w="90" w:type="dxa"/>
              <w:bottom w:w="85" w:type="dxa"/>
              <w:right w:w="90" w:type="dxa"/>
            </w:tcMar>
          </w:tcPr>
          <w:p>
            <w:pPr>
              <w:keepNext w:val="0"/>
              <w:spacing w:after="0" w:line="240" w:lineRule="auto"/>
            </w:pPr>
            <w:r>
              <w:rPr>
                <w:b w:val="0"/>
                <w:sz w:val="20"/>
              </w:rPr>
              <w:t>Returns relevant items; relevance makes no equivalence or truth claim.</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Same meaning</w:t>
              <w:br/>
              <w:t>Does this express the same statement?</w:t>
            </w:r>
          </w:p>
        </w:tc>
        <w:tc>
          <w:tcPr>
            <w:tcW w:type="dxa" w:w="3672"/>
            <w:vAlign w:val="center"/>
            <w:tcMar>
              <w:top w:w="85" w:type="dxa"/>
              <w:left w:w="90" w:type="dxa"/>
              <w:bottom w:w="85" w:type="dxa"/>
              <w:right w:w="90" w:type="dxa"/>
            </w:tcMar>
          </w:tcPr>
          <w:p>
            <w:pPr>
              <w:keepNext w:val="0"/>
              <w:spacing w:after="0" w:line="240" w:lineRule="auto"/>
            </w:pPr>
            <w:r>
              <w:rPr>
                <w:b w:val="0"/>
                <w:sz w:val="20"/>
              </w:rPr>
              <w:t>Canonical statement lookup, role and joint-atom features; dense search for recall.</w:t>
            </w:r>
          </w:p>
        </w:tc>
        <w:tc>
          <w:tcPr>
            <w:tcW w:type="dxa" w:w="4032"/>
            <w:vAlign w:val="center"/>
            <w:tcMar>
              <w:top w:w="85" w:type="dxa"/>
              <w:left w:w="90" w:type="dxa"/>
              <w:bottom w:w="85" w:type="dxa"/>
              <w:right w:w="90" w:type="dxa"/>
            </w:tcMar>
          </w:tcPr>
          <w:p>
            <w:pPr>
              <w:keepNext w:val="0"/>
              <w:spacing w:after="0" w:line="240" w:lineRule="auto"/>
            </w:pPr>
            <w:r>
              <w:rPr>
                <w:b w:val="0"/>
                <w:sz w:val="20"/>
              </w:rPr>
              <w:t>Exact comparison requires complete typed structure and compatible vocabulary. Same topic or proposition can still have different qualifiers.</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Applicable procedure</w:t>
              <w:br/>
              <w:t>What method might solve this?</w:t>
            </w:r>
          </w:p>
        </w:tc>
        <w:tc>
          <w:tcPr>
            <w:tcW w:type="dxa" w:w="3672"/>
            <w:vAlign w:val="center"/>
            <w:tcMar>
              <w:top w:w="85" w:type="dxa"/>
              <w:left w:w="90" w:type="dxa"/>
              <w:bottom w:w="85" w:type="dxa"/>
              <w:right w:w="90" w:type="dxa"/>
            </w:tcMar>
          </w:tcPr>
          <w:p>
            <w:pPr>
              <w:keepNext w:val="0"/>
              <w:spacing w:after="0" w:line="240" w:lineRule="auto"/>
            </w:pPr>
            <w:r>
              <w:rPr>
                <w:b w:val="0"/>
                <w:sz w:val="20"/>
              </w:rPr>
              <w:t>Procedure fields, concepts, text retrieval and bounded prerequisites/exceptions.</w:t>
            </w:r>
          </w:p>
        </w:tc>
        <w:tc>
          <w:tcPr>
            <w:tcW w:type="dxa" w:w="4032"/>
            <w:vAlign w:val="center"/>
            <w:tcMar>
              <w:top w:w="85" w:type="dxa"/>
              <w:left w:w="90" w:type="dxa"/>
              <w:bottom w:w="85" w:type="dxa"/>
              <w:right w:w="90" w:type="dxa"/>
            </w:tcMar>
          </w:tcPr>
          <w:p>
            <w:pPr>
              <w:keepNext w:val="0"/>
              <w:spacing w:after="0" w:line="240" w:lineRule="auto"/>
            </w:pPr>
            <w:r>
              <w:rPr>
                <w:b w:val="0"/>
                <w:sz w:val="20"/>
              </w:rPr>
              <w:t>Report applicable, inapplicable or unknown_requires_check. A procedure is not a guaranteed outcome.</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Dependency impact</w:t>
              <w:br/>
              <w:t>What depends on this?</w:t>
            </w:r>
          </w:p>
        </w:tc>
        <w:tc>
          <w:tcPr>
            <w:tcW w:type="dxa" w:w="3672"/>
            <w:vAlign w:val="center"/>
            <w:tcMar>
              <w:top w:w="85" w:type="dxa"/>
              <w:left w:w="90" w:type="dxa"/>
              <w:bottom w:w="85" w:type="dxa"/>
              <w:right w:w="90" w:type="dxa"/>
            </w:tcMar>
          </w:tcPr>
          <w:p>
            <w:pPr>
              <w:keepNext w:val="0"/>
              <w:spacing w:after="0" w:line="240" w:lineRule="auto"/>
            </w:pPr>
            <w:r>
              <w:rPr>
                <w:b w:val="0"/>
                <w:sz w:val="20"/>
              </w:rPr>
              <w:t>Exact entity lookup and reverse directed dependency traversal; text search for discovery.</w:t>
            </w:r>
          </w:p>
        </w:tc>
        <w:tc>
          <w:tcPr>
            <w:tcW w:type="dxa" w:w="4032"/>
            <w:vAlign w:val="center"/>
            <w:tcMar>
              <w:top w:w="85" w:type="dxa"/>
              <w:left w:w="90" w:type="dxa"/>
              <w:bottom w:w="85" w:type="dxa"/>
              <w:right w:w="90" w:type="dxa"/>
            </w:tcMar>
          </w:tcPr>
          <w:p>
            <w:pPr>
              <w:keepNext w:val="0"/>
              <w:spacing w:after="0" w:line="240" w:lineRule="auto"/>
            </w:pPr>
            <w:r>
              <w:rPr>
                <w:b w:val="0"/>
                <w:sz w:val="20"/>
              </w:rPr>
              <w:t>Return evidence-backed paths, hop/depth limits and completeness. An unrecorded edge remains unknown.</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Counterevidence</w:t>
              <w:br/>
              <w:t>What challenges this claim?</w:t>
            </w:r>
          </w:p>
        </w:tc>
        <w:tc>
          <w:tcPr>
            <w:tcW w:type="dxa" w:w="3672"/>
            <w:vAlign w:val="center"/>
            <w:tcMar>
              <w:top w:w="85" w:type="dxa"/>
              <w:left w:w="90" w:type="dxa"/>
              <w:bottom w:w="85" w:type="dxa"/>
              <w:right w:w="90" w:type="dxa"/>
            </w:tcMar>
          </w:tcPr>
          <w:p>
            <w:pPr>
              <w:keepNext w:val="0"/>
              <w:spacing w:after="0" w:line="240" w:lineRule="auto"/>
            </w:pPr>
            <w:r>
              <w:rPr>
                <w:b w:val="0"/>
                <w:sz w:val="20"/>
              </w:rPr>
              <w:t>Conflict-slot lookup, opposing assertions, evidence relations and text search.</w:t>
            </w:r>
          </w:p>
        </w:tc>
        <w:tc>
          <w:tcPr>
            <w:tcW w:type="dxa" w:w="4032"/>
            <w:vAlign w:val="center"/>
            <w:tcMar>
              <w:top w:w="85" w:type="dxa"/>
              <w:left w:w="90" w:type="dxa"/>
              <w:bottom w:w="85" w:type="dxa"/>
              <w:right w:w="90" w:type="dxa"/>
            </w:tcMar>
          </w:tcPr>
          <w:p>
            <w:pPr>
              <w:keepNext w:val="0"/>
              <w:spacing w:after="0" w:line="240" w:lineRule="auto"/>
            </w:pPr>
            <w:r>
              <w:rPr>
                <w:b w:val="0"/>
                <w:sz w:val="20"/>
              </w:rPr>
              <w:t>Explicit conflict classifier checks overlap, coverage and evidence origin. No hit does not prove the claim.</w:t>
            </w:r>
          </w:p>
        </w:tc>
      </w:tr>
      <w:tr>
        <w:trPr>
          <w:cantSplit/>
        </w:trPr>
        <w:tc>
          <w:tcPr>
            <w:tcW w:type="dxa" w:w="2376"/>
            <w:vAlign w:val="center"/>
            <w:tcMar>
              <w:top w:w="85" w:type="dxa"/>
              <w:left w:w="90" w:type="dxa"/>
              <w:bottom w:w="85" w:type="dxa"/>
              <w:right w:w="90" w:type="dxa"/>
            </w:tcMar>
          </w:tcPr>
          <w:p>
            <w:pPr>
              <w:keepNext w:val="0"/>
              <w:spacing w:after="0" w:line="240" w:lineRule="auto"/>
            </w:pPr>
            <w:r>
              <w:rPr>
                <w:b w:val="0"/>
                <w:sz w:val="20"/>
              </w:rPr>
              <w:t>Compliance</w:t>
              <w:br/>
              <w:t>Does this satisfy the current requirements?</w:t>
            </w:r>
          </w:p>
        </w:tc>
        <w:tc>
          <w:tcPr>
            <w:tcW w:type="dxa" w:w="3672"/>
            <w:vAlign w:val="center"/>
            <w:tcMar>
              <w:top w:w="85" w:type="dxa"/>
              <w:left w:w="90" w:type="dxa"/>
              <w:bottom w:w="85" w:type="dxa"/>
              <w:right w:w="90" w:type="dxa"/>
            </w:tcMar>
          </w:tcPr>
          <w:p>
            <w:pPr>
              <w:keepNext w:val="0"/>
              <w:spacing w:after="0" w:line="240" w:lineRule="auto"/>
            </w:pPr>
            <w:r>
              <w:rPr>
                <w:b w:val="0"/>
                <w:sz w:val="20"/>
              </w:rPr>
              <w:t>Enumerate every effective requirement, join applicable observations and verification records, then search for missing evidence.</w:t>
            </w:r>
          </w:p>
        </w:tc>
        <w:tc>
          <w:tcPr>
            <w:tcW w:type="dxa" w:w="4032"/>
            <w:vAlign w:val="center"/>
            <w:tcMar>
              <w:top w:w="85" w:type="dxa"/>
              <w:left w:w="90" w:type="dxa"/>
              <w:bottom w:w="85" w:type="dxa"/>
              <w:right w:w="90" w:type="dxa"/>
            </w:tcMar>
          </w:tcPr>
          <w:p>
            <w:pPr>
              <w:keepNext w:val="0"/>
              <w:spacing w:after="0" w:line="240" w:lineRule="auto"/>
            </w:pPr>
            <w:r>
              <w:rPr>
                <w:b w:val="0"/>
                <w:sz w:val="20"/>
              </w:rPr>
              <w:t>A per-requirement result and coverage manifest are required. Top-k retrieval cannot prove full compliance.</w:t>
            </w:r>
          </w:p>
        </w:tc>
      </w:tr>
    </w:tbl>
    <w:p>
      <w:pPr>
        <w:spacing w:after="0"/>
      </w:pPr>
    </w:p>
    <w:p>
      <w:pPr>
        <w:pStyle w:val="Heading2"/>
      </w:pPr>
      <w:r>
        <w:t>Initial representations</w:t>
      </w:r>
    </w:p>
    <w:p>
      <w:pPr>
        <w:keepNext w:val="0"/>
      </w:pPr>
      <w:r>
        <w:t>Start with the locally served general text encoder selected for qualification in the embedding addendum, exact type and identifier lookup, lexical search, explicit relationships and the semantic feature representation below. The initial seven profiles are query contracts, not a commitment to load seven neural models. One encoder can produce vectors for distinct rendered views, provided each input recipe and its comparability assumptions are versioned. [E, pp 1–3]</w:t>
      </w:r>
    </w:p>
    <w:p>
      <w:pPr>
        <w:keepNext w:val="0"/>
      </w:pPr>
      <w:r>
        <w:t>Candidate later spaces include a procedure embedding trained on problem-to-method pairs, a code-oriented space for natural-language-to-code retrieval, and a structural embedding for broader dependency similarity. Add each only when it improves its intended questions under the same resource budget. Direct dependency answers still require actual edges, and exact equivalence still requires typed checks.</w:t>
      </w:r>
    </w:p>
    <w:p>
      <w:pPr>
        <w:keepNext w:val="0"/>
      </w:pPr>
      <w:r>
        <w:t>Keep vectors from unrelated spaces separate. Search each eligible channel, deduplicate by the appropriate memory/revision identity and fuse ranked results using the existing reciprocal-rank-fusion baseline. Do not average distances or coordinates from unrelated encoders. Record profile, representation, encoder, prompt recipe, ranks and exclusions in the retrieval trace. [P095–P110]</w:t>
      </w:r>
    </w:p>
    <w:p>
      <w:pPr>
        <w:keepNext w:val="0"/>
      </w:pPr>
      <w:r>
        <w:t>Give correlated channels a shared family weight or quota so adding a second dense view does not create an unearned extra vote. Required enumeration and mandatory context remain outside rank competition. Record missing channels and partial index coverage; an optional dense failure can degrade under a declared policy, while missing obligation or type enumeration blocks a complete conclusion. Finding one observation through several spaces still counts as one observation.</w:t>
      </w:r>
    </w:p>
    <w:p>
      <w:pPr>
        <w:pStyle w:val="Heading2"/>
      </w:pPr>
      <w:r>
        <w:t>Our semantic feature space</w:t>
      </w:r>
    </w:p>
    <w:p>
      <w:pPr>
        <w:keepNext w:val="0"/>
      </w:pPr>
      <w:r>
        <w:t>The initial internal space is an inspectable sparse set of typed feature keys. It can use postings before a numeric vector index is justified. Families are predicate, mode_force, polarity, binding, joint_atom, conflict_slot, condition_tree, condition_atom, applicability, scope, concept and procedure_slot. A binding includes predicate, role and typed value; a joint atom preserves the whole signed relation. This prevents a collection of the right entities in the wrong roles from being treated as the same statement.</w:t>
      </w:r>
    </w:p>
    <w:p>
      <w:pPr>
        <w:keepNext w:val="0"/>
      </w:pPr>
      <w:r>
        <w:t>Store feature keys as canonical JSON tuples. Preserve the complete condition tree in addition to individual condition features. Purpose-specific profiles select useful families: aboutness can tolerate shared concepts, same-meaning comparison must preserve complete structure, and counterevidence groups the subject slot while allowing opposing values. Feature similarity retrieves candidates; it never supplies a semantic verdict.</w:t>
      </w:r>
    </w:p>
    <w:p>
      <w:pPr>
        <w:keepNext w:val="0"/>
      </w:pPr>
      <w:r>
        <w:t>Publish an immutable dictionary snapshot only when numeric coordinates are needed. The first snapshot assigns sorted canonical keys; later snapshots append IDs without reusing existing coordinates. Every vector names its snapshot. Cross-snapshot comparison requires an explicit mapping. Unknown keys remain in canonical postings until publication rather than collapsing into a shared OTHER dimension. Workspace-private keys and their existence/counts remain within the same visibility boundary.</w:t>
      </w:r>
    </w:p>
    <w:p>
      <w:pPr>
        <w:keepNext w:val="0"/>
      </w:pPr>
      <w:r>
        <w:t>Use weighted Jaccard overlap with all family weights initially equal as a transparent ranking baseline. Empty feature union returns no_score. This is a proposed baseline to evaluate, not a claim of optimal weights. Dense semantic similarity, structural overlap and exact matching remain distinct signals.</w:t>
      </w:r>
    </w:p>
    <w:p>
      <w:pPr>
        <w:pStyle w:val="Heading2"/>
      </w:pPr>
      <w:r>
        <w:t>Optional learned spaces</w:t>
      </w:r>
    </w:p>
    <w:p>
      <w:pPr>
        <w:keepNext w:val="0"/>
      </w:pPr>
      <w:r>
        <w:t>A later purpose-specific head may compute z_p = normalize(g_p(e_base, s_selected)), where e_base is a cached base embedding and s_selected contains explicit structural features. Train the query and item paths for the same declared objective. A projection of a base vector alone cannot recover distinctions already lost in that vector; selected role, polarity and qualifier features must remain available when the task needs them.</w:t>
      </w:r>
    </w:p>
    <w:p>
      <w:pPr>
        <w:keepNext w:val="0"/>
      </w:pPr>
      <w:r>
        <w:t>Training examples must define similarity by purpose. Paraphrases with identical qualifiers can be positives for same meaning; reversed roles, changed polarity, different versions and missing preconditions are hard negatives. For counterevidence, opposing claims are useful retrieval positives while their final conflict labels remain separate. Reusing the same label set across these objectives would teach incompatible notions of closeness.</w:t>
      </w:r>
    </w:p>
    <w:p>
      <w:pPr>
        <w:pStyle w:val="Heading1"/>
      </w:pPr>
      <w:r>
        <w:t>11 Storage lifecycle and reproducibility</w:t>
      </w:r>
    </w:p>
    <w:p>
      <w:pPr>
        <w:keepNext w:val="0"/>
      </w:pPr>
      <w:r>
        <w:t>Keep the existing memory_items and memory_revisions as the durable meaning-bearing records. canonical_fact_key remains a grouping key, not a uniqueness constraint that overwrites disagreement. Semantic frames may be validated content within a revision or a faithful materialized view tied to exactly one source revision. Any new claim introduced during extraction follows proposal and admission before becoming accepted content. [A, pp 22–25; P085–P094]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6120"/>
      </w:tblGrid>
      <w:tr>
        <w:trPr>
          <w:tblHeader/>
          <w:cantSplit/>
        </w:trPr>
        <w:tc>
          <w:tcPr>
            <w:tcW w:type="dxa" w:w="3960"/>
            <w:vAlign w:val="center"/>
            <w:shd w:fill="E7EEF4"/>
            <w:tcMar>
              <w:top w:w="85" w:type="dxa"/>
              <w:left w:w="90" w:type="dxa"/>
              <w:bottom w:w="85" w:type="dxa"/>
              <w:right w:w="90" w:type="dxa"/>
            </w:tcMar>
          </w:tcPr>
          <w:p>
            <w:pPr>
              <w:keepNext w:val="0"/>
              <w:spacing w:after="0" w:line="240" w:lineRule="auto"/>
            </w:pPr>
            <w:r>
              <w:rPr>
                <w:b/>
                <w:sz w:val="20"/>
              </w:rPr>
              <w:t>Proposed extension</w:t>
            </w:r>
          </w:p>
        </w:tc>
        <w:tc>
          <w:tcPr>
            <w:tcW w:type="dxa" w:w="6120"/>
            <w:vAlign w:val="center"/>
            <w:shd w:fill="E7EEF4"/>
            <w:tcMar>
              <w:top w:w="85" w:type="dxa"/>
              <w:left w:w="90" w:type="dxa"/>
              <w:bottom w:w="85" w:type="dxa"/>
              <w:right w:w="90" w:type="dxa"/>
            </w:tcMar>
          </w:tcPr>
          <w:p>
            <w:pPr>
              <w:keepNext w:val="0"/>
              <w:spacing w:after="0" w:line="240" w:lineRule="auto"/>
            </w:pPr>
            <w:r>
              <w:rPr>
                <w:b/>
                <w:sz w:val="20"/>
              </w:rPr>
              <w:t>Responsibility</w:t>
            </w:r>
          </w:p>
        </w:tc>
      </w:tr>
      <w:tr>
        <w:trPr>
          <w:cantSplit/>
        </w:trPr>
        <w:tc>
          <w:tcPr>
            <w:tcW w:type="dxa" w:w="3960"/>
            <w:vAlign w:val="center"/>
            <w:tcMar>
              <w:top w:w="85" w:type="dxa"/>
              <w:left w:w="90" w:type="dxa"/>
              <w:bottom w:w="85" w:type="dxa"/>
              <w:right w:w="90" w:type="dxa"/>
            </w:tcMar>
          </w:tcPr>
          <w:p>
            <w:pPr>
              <w:keepNext w:val="0"/>
              <w:spacing w:after="0" w:line="240" w:lineRule="auto"/>
            </w:pPr>
            <w:r>
              <w:rPr>
                <w:b w:val="0"/>
                <w:sz w:val="20"/>
              </w:rPr>
              <w:t>semantic_vocabulary_releases and semantic_term_definitions</w:t>
            </w:r>
          </w:p>
        </w:tc>
        <w:tc>
          <w:tcPr>
            <w:tcW w:type="dxa" w:w="6120"/>
            <w:vAlign w:val="center"/>
            <w:tcMar>
              <w:top w:w="85" w:type="dxa"/>
              <w:left w:w="90" w:type="dxa"/>
              <w:bottom w:w="85" w:type="dxa"/>
              <w:right w:w="90" w:type="dxa"/>
            </w:tcMar>
          </w:tcPr>
          <w:p>
            <w:pPr>
              <w:keepNext w:val="0"/>
              <w:spacing w:after="0" w:line="240" w:lineRule="auto"/>
            </w:pPr>
            <w:r>
              <w:rPr>
                <w:b w:val="0"/>
                <w:sz w:val="20"/>
              </w:rPr>
              <w:t>Immutable release manifest, term definitions, signatures, compatibility and migration policy.</w:t>
            </w:r>
          </w:p>
        </w:tc>
      </w:tr>
      <w:tr>
        <w:trPr>
          <w:cantSplit/>
        </w:trPr>
        <w:tc>
          <w:tcPr>
            <w:tcW w:type="dxa" w:w="3960"/>
            <w:vAlign w:val="center"/>
            <w:tcMar>
              <w:top w:w="85" w:type="dxa"/>
              <w:left w:w="90" w:type="dxa"/>
              <w:bottom w:w="85" w:type="dxa"/>
              <w:right w:w="90" w:type="dxa"/>
            </w:tcMar>
          </w:tcPr>
          <w:p>
            <w:pPr>
              <w:keepNext w:val="0"/>
              <w:spacing w:after="0" w:line="240" w:lineRule="auto"/>
            </w:pPr>
            <w:r>
              <w:rPr>
                <w:b w:val="0"/>
                <w:sz w:val="20"/>
              </w:rPr>
              <w:t>semantic_entity_bindings</w:t>
            </w:r>
          </w:p>
        </w:tc>
        <w:tc>
          <w:tcPr>
            <w:tcW w:type="dxa" w:w="6120"/>
            <w:vAlign w:val="center"/>
            <w:tcMar>
              <w:top w:w="85" w:type="dxa"/>
              <w:left w:w="90" w:type="dxa"/>
              <w:bottom w:w="85" w:type="dxa"/>
              <w:right w:w="90" w:type="dxa"/>
            </w:tcMar>
          </w:tcPr>
          <w:p>
            <w:pPr>
              <w:keepNext w:val="0"/>
              <w:spacing w:after="0" w:line="240" w:lineRule="auto"/>
            </w:pPr>
            <w:r>
              <w:rPr>
                <w:b w:val="0"/>
                <w:sz w:val="20"/>
              </w:rPr>
              <w:t>Narrow checked binding index for file, symbol, package/interface and other entities not already covered by existing tables. Reuse existing IDs where available.</w:t>
            </w:r>
          </w:p>
        </w:tc>
      </w:tr>
      <w:tr>
        <w:trPr>
          <w:cantSplit/>
        </w:trPr>
        <w:tc>
          <w:tcPr>
            <w:tcW w:type="dxa" w:w="3960"/>
            <w:vAlign w:val="center"/>
            <w:tcMar>
              <w:top w:w="85" w:type="dxa"/>
              <w:left w:w="90" w:type="dxa"/>
              <w:bottom w:w="85" w:type="dxa"/>
              <w:right w:w="90" w:type="dxa"/>
            </w:tcMar>
          </w:tcPr>
          <w:p>
            <w:pPr>
              <w:keepNext w:val="0"/>
              <w:spacing w:after="0" w:line="240" w:lineRule="auto"/>
            </w:pPr>
            <w:r>
              <w:rPr>
                <w:b w:val="0"/>
                <w:sz w:val="20"/>
              </w:rPr>
              <w:t>data type registry and typed data catalog</w:t>
            </w:r>
          </w:p>
        </w:tc>
        <w:tc>
          <w:tcPr>
            <w:tcW w:type="dxa" w:w="6120"/>
            <w:vAlign w:val="center"/>
            <w:tcMar>
              <w:top w:w="85" w:type="dxa"/>
              <w:left w:w="90" w:type="dxa"/>
              <w:bottom w:w="85" w:type="dxa"/>
              <w:right w:w="90" w:type="dxa"/>
            </w:tcMar>
          </w:tcPr>
          <w:p>
            <w:pPr>
              <w:keepNext w:val="0"/>
              <w:spacing w:after="0" w:line="240" w:lineRule="auto"/>
            </w:pPr>
            <w:r>
              <w:rPr>
                <w:b w:val="0"/>
                <w:sz w:val="20"/>
              </w:rPr>
              <w:t>Registered data-type definitions, subtype closure, one primary type per occurrence/generation, checked source ownership and ingestion/itemisation coverage.</w:t>
            </w:r>
          </w:p>
        </w:tc>
      </w:tr>
      <w:tr>
        <w:trPr>
          <w:cantSplit/>
        </w:trPr>
        <w:tc>
          <w:tcPr>
            <w:tcW w:type="dxa" w:w="3960"/>
            <w:vAlign w:val="center"/>
            <w:tcMar>
              <w:top w:w="85" w:type="dxa"/>
              <w:left w:w="90" w:type="dxa"/>
              <w:bottom w:w="85" w:type="dxa"/>
              <w:right w:w="90" w:type="dxa"/>
            </w:tcMar>
          </w:tcPr>
          <w:p>
            <w:pPr>
              <w:keepNext w:val="0"/>
              <w:spacing w:after="0" w:line="240" w:lineRule="auto"/>
            </w:pPr>
            <w:r>
              <w:rPr>
                <w:b w:val="0"/>
                <w:sz w:val="20"/>
              </w:rPr>
              <w:t>type enumeration manifests</w:t>
            </w:r>
          </w:p>
        </w:tc>
        <w:tc>
          <w:tcPr>
            <w:tcW w:type="dxa" w:w="6120"/>
            <w:vAlign w:val="center"/>
            <w:tcMar>
              <w:top w:w="85" w:type="dxa"/>
              <w:left w:w="90" w:type="dxa"/>
              <w:bottom w:w="85" w:type="dxa"/>
              <w:right w:w="90" w:type="dxa"/>
            </w:tcMar>
          </w:tcPr>
          <w:p>
            <w:pPr>
              <w:keepNext w:val="0"/>
              <w:spacing w:after="0" w:line="240" w:lineRule="auto"/>
            </w:pPr>
            <w:r>
              <w:rPr>
                <w:b w:val="0"/>
                <w:sz w:val="20"/>
              </w:rPr>
              <w:t>Frozen ordered item/revision identities, scope and query fingerprint, coverage and authenticated continuation state; current access is rechecked.</w:t>
            </w:r>
          </w:p>
        </w:tc>
      </w:tr>
      <w:tr>
        <w:trPr>
          <w:cantSplit/>
        </w:trPr>
        <w:tc>
          <w:tcPr>
            <w:tcW w:type="dxa" w:w="3960"/>
            <w:vAlign w:val="center"/>
            <w:tcMar>
              <w:top w:w="85" w:type="dxa"/>
              <w:left w:w="90" w:type="dxa"/>
              <w:bottom w:w="85" w:type="dxa"/>
              <w:right w:w="90" w:type="dxa"/>
            </w:tcMar>
          </w:tcPr>
          <w:p>
            <w:pPr>
              <w:keepNext w:val="0"/>
              <w:spacing w:after="0" w:line="240" w:lineRule="auto"/>
            </w:pPr>
            <w:r>
              <w:rPr>
                <w:b w:val="0"/>
                <w:sz w:val="20"/>
              </w:rPr>
              <w:t>memory_semantic_frames</w:t>
            </w:r>
          </w:p>
        </w:tc>
        <w:tc>
          <w:tcPr>
            <w:tcW w:type="dxa" w:w="6120"/>
            <w:vAlign w:val="center"/>
            <w:tcMar>
              <w:top w:w="85" w:type="dxa"/>
              <w:left w:w="90" w:type="dxa"/>
              <w:bottom w:w="85" w:type="dxa"/>
              <w:right w:w="90" w:type="dxa"/>
            </w:tcMar>
          </w:tcPr>
          <w:p>
            <w:pPr>
              <w:keepNext w:val="0"/>
              <w:spacing w:after="0" w:line="240" w:lineRule="auto"/>
            </w:pPr>
            <w:r>
              <w:rPr>
                <w:b w:val="0"/>
                <w:sz w:val="20"/>
              </w:rPr>
              <w:t>Versioned materialized views keyed to source revision, local frame ID, vocabulary, extractor and canonicalization version; no separate accepted head.</w:t>
            </w:r>
          </w:p>
        </w:tc>
      </w:tr>
      <w:tr>
        <w:trPr>
          <w:cantSplit/>
        </w:trPr>
        <w:tc>
          <w:tcPr>
            <w:tcW w:type="dxa" w:w="3960"/>
            <w:vAlign w:val="center"/>
            <w:tcMar>
              <w:top w:w="85" w:type="dxa"/>
              <w:left w:w="90" w:type="dxa"/>
              <w:bottom w:w="85" w:type="dxa"/>
              <w:right w:w="90" w:type="dxa"/>
            </w:tcMar>
          </w:tcPr>
          <w:p>
            <w:pPr>
              <w:keepNext w:val="0"/>
              <w:spacing w:after="0" w:line="240" w:lineRule="auto"/>
            </w:pPr>
            <w:r>
              <w:rPr>
                <w:b w:val="0"/>
                <w:sz w:val="20"/>
              </w:rPr>
              <w:t>need_query_views and query embeddings</w:t>
            </w:r>
          </w:p>
        </w:tc>
        <w:tc>
          <w:tcPr>
            <w:tcW w:type="dxa" w:w="6120"/>
            <w:vAlign w:val="center"/>
            <w:tcMar>
              <w:top w:w="85" w:type="dxa"/>
              <w:left w:w="90" w:type="dxa"/>
              <w:bottom w:w="85" w:type="dxa"/>
              <w:right w:w="90" w:type="dxa"/>
            </w:tcMar>
          </w:tcPr>
          <w:p>
            <w:pPr>
              <w:keepNext w:val="0"/>
              <w:spacing w:after="0" w:line="240" w:lineRule="auto"/>
            </w:pPr>
            <w:r>
              <w:rPr>
                <w:b w:val="0"/>
                <w:sz w:val="20"/>
              </w:rPr>
              <w:t>Views owned by existing need revisions; query embeddings key the retrieval run, need revision, exact input hash and space generation independently of memory chunks.</w:t>
            </w:r>
          </w:p>
        </w:tc>
      </w:tr>
      <w:tr>
        <w:trPr>
          <w:cantSplit/>
        </w:trPr>
        <w:tc>
          <w:tcPr>
            <w:tcW w:type="dxa" w:w="3960"/>
            <w:vAlign w:val="center"/>
            <w:tcMar>
              <w:top w:w="85" w:type="dxa"/>
              <w:left w:w="90" w:type="dxa"/>
              <w:bottom w:w="85" w:type="dxa"/>
              <w:right w:w="90" w:type="dxa"/>
            </w:tcMar>
          </w:tcPr>
          <w:p>
            <w:pPr>
              <w:keepNext w:val="0"/>
              <w:spacing w:after="0" w:line="240" w:lineRule="auto"/>
            </w:pPr>
            <w:r>
              <w:rPr>
                <w:b w:val="0"/>
                <w:sz w:val="20"/>
              </w:rPr>
              <w:t>semantic_feature_dictionaries and memory_semantic_features</w:t>
            </w:r>
          </w:p>
        </w:tc>
        <w:tc>
          <w:tcPr>
            <w:tcW w:type="dxa" w:w="6120"/>
            <w:vAlign w:val="center"/>
            <w:tcMar>
              <w:top w:w="85" w:type="dxa"/>
              <w:left w:w="90" w:type="dxa"/>
              <w:bottom w:w="85" w:type="dxa"/>
              <w:right w:w="90" w:type="dxa"/>
            </w:tcMar>
          </w:tcPr>
          <w:p>
            <w:pPr>
              <w:keepNext w:val="0"/>
              <w:spacing w:after="0" w:line="240" w:lineRule="auto"/>
            </w:pPr>
            <w:r>
              <w:rPr>
                <w:b w:val="0"/>
                <w:sz w:val="20"/>
              </w:rPr>
              <w:t>Scoped dictionary snapshots, postings or vectors, generation identity and derivation lineage.</w:t>
            </w:r>
          </w:p>
        </w:tc>
      </w:tr>
      <w:tr>
        <w:trPr>
          <w:cantSplit/>
        </w:trPr>
        <w:tc>
          <w:tcPr>
            <w:tcW w:type="dxa" w:w="3960"/>
            <w:vAlign w:val="center"/>
            <w:tcMar>
              <w:top w:w="85" w:type="dxa"/>
              <w:left w:w="90" w:type="dxa"/>
              <w:bottom w:w="85" w:type="dxa"/>
              <w:right w:w="90" w:type="dxa"/>
            </w:tcMar>
          </w:tcPr>
          <w:p>
            <w:pPr>
              <w:keepNext w:val="0"/>
              <w:spacing w:after="0" w:line="240" w:lineRule="auto"/>
            </w:pPr>
            <w:r>
              <w:rPr>
                <w:b w:val="0"/>
                <w:sz w:val="20"/>
              </w:rPr>
              <w:t>retrieval profile registry and embedding space extension</w:t>
            </w:r>
          </w:p>
        </w:tc>
        <w:tc>
          <w:tcPr>
            <w:tcW w:type="dxa" w:w="6120"/>
            <w:vAlign w:val="center"/>
            <w:tcMar>
              <w:top w:w="85" w:type="dxa"/>
              <w:left w:w="90" w:type="dxa"/>
              <w:bottom w:w="85" w:type="dxa"/>
              <w:right w:w="90" w:type="dxa"/>
            </w:tcMar>
          </w:tcPr>
          <w:p>
            <w:pPr>
              <w:keepNext w:val="0"/>
              <w:spacing w:after="0" w:line="240" w:lineRule="auto"/>
            </w:pPr>
            <w:r>
              <w:rPr>
                <w:b w:val="0"/>
                <w:sz w:val="20"/>
              </w:rPr>
              <w:t>Question contracts and encoding_kind: dense_model, semantic_features or learned_projection. Require the identities appropriate to each kind.</w:t>
            </w:r>
          </w:p>
        </w:tc>
      </w:tr>
    </w:tbl>
    <w:p>
      <w:pPr>
        <w:spacing w:after="0"/>
      </w:pPr>
    </w:p>
    <w:p>
      <w:pPr>
        <w:keepNext w:val="0"/>
      </w:pPr>
      <w:r>
        <w:t>A dense space records model weights/revision, tokenizer, pooling, input instructions, normalization, dimensions, metric and implementation identity. A deterministic semantic space records vocabulary, feature rules and dictionary identity; it must not fabricate a model revision. A learned projection records all input spaces, feature selectors, weights, training manifest and output conventions. Rendered-view versions and generation status are recorded separately, with explicit compatibility rules.</w:t>
      </w:r>
    </w:p>
    <w:p>
      <w:pPr>
        <w:keepNext w:val="0"/>
      </w:pPr>
      <w:r>
        <w:t>Reuse the existing building, evaluated, active and retired index-generation workflow. Materialization is idempotent and fenced, and performs deletion/eligibility checks before publishing. New index or head output cannot activate itself. Queries and asynchronous workers rejoin current visibility, lifecycle, deletion and applicability before final use. [P096, P100, P103, P107]</w:t>
      </w:r>
    </w:p>
    <w:p>
      <w:pPr>
        <w:keepNext w:val="0"/>
      </w:pPr>
      <w:r>
        <w:t>Every semantic frame, feature posting, embedding, rendered packet and training artifact registers derivation lineage. Retrieval denial takes effect before physical deletion completes, and resumable purge follows the existing deletion intent. Caches include the source revision, target state/environment/contract, guard-input hash, evaluator and relevant vocabulary/profile versions. A changing environment or corrected binding invalidates the affected assessment. [P091–P094]</w:t>
      </w:r>
    </w:p>
    <w:p>
      <w:pPr>
        <w:keepNext w:val="0"/>
      </w:pPr>
      <w:r>
        <w:t>The same lineage rules cover typed occurrences, parsed descendants, type assignments and enumeration manifests. Typed source objects retain their existing ownership and lifecycle domain. Catalog materialisation is idempotent on source revision, itemisation generation and occurrence locator; stale workers cannot recreate a deleted descendant. An exact index beginning with common scope/type/generation filters supports exhaustive lookup; its physical layout is tuned against real collection sizes.</w:t>
      </w:r>
    </w:p>
    <w:p>
      <w:pPr>
        <w:keepNext w:val="0"/>
      </w:pPr>
      <w:r>
        <w:t>Mandatory context and the current effective contract are fetched directly. Retrieval returns bounded evidence bundles containing prerequisites, exceptions, support and contradictions. Token compression must retain decisive polarity, conditions and evidence references. Persist the exact rendered packet, ordered records, ranks, exclusions and tokenizer/token counts for replay. [A, pp 17–18; P101, P106–P108]</w:t>
      </w:r>
    </w:p>
    <w:p>
      <w:pPr>
        <w:pStyle w:val="Heading1"/>
      </w:pPr>
      <w:r>
        <w:t>12 Release rules and evaluation</w:t>
      </w:r>
    </w:p>
    <w:p>
      <w:pPr>
        <w:keepNext w:val="0"/>
      </w:pPr>
      <w:r>
        <w:t>Vocabulary 0.1.0 is a design baseline. Term identifiers never acquire a new meaning silently. New terms, changed signatures, altered scope rules, new normalization and new feature weights produce explicit versions with declared compatibility. Reprocessing a source under a new extractor produces a new representation generation; it does not rewrite the source revision or its historical decisions.</w:t>
      </w:r>
    </w:p>
    <w:p>
      <w:pPr>
        <w:keepNext w:val="0"/>
      </w:pPr>
      <w:r>
        <w:t>Use chronological, repository- and task-family-held-out evaluation. Compare the same tasks, tools, sources and resource limits, starting each arm from an identical but independent snapshot. Each arm then learns only from its own prior tasks. Exclude future solutions, hidden scoring material and denied or deleted source derivatives from every retrieval and training path. [P129–P131, P149]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tblHeader/>
          <w:cantSplit/>
        </w:trPr>
        <w:tc>
          <w:tcPr>
            <w:tcW w:type="dxa" w:w="2592"/>
            <w:vAlign w:val="center"/>
            <w:shd w:fill="E7EEF4"/>
            <w:tcMar>
              <w:top w:w="85" w:type="dxa"/>
              <w:left w:w="90" w:type="dxa"/>
              <w:bottom w:w="85" w:type="dxa"/>
              <w:right w:w="90" w:type="dxa"/>
            </w:tcMar>
          </w:tcPr>
          <w:p>
            <w:pPr>
              <w:keepNext w:val="0"/>
              <w:spacing w:after="0" w:line="240" w:lineRule="auto"/>
            </w:pPr>
            <w:r>
              <w:rPr>
                <w:b/>
                <w:sz w:val="20"/>
              </w:rPr>
              <w:t>Evaluation area</w:t>
            </w:r>
          </w:p>
        </w:tc>
        <w:tc>
          <w:tcPr>
            <w:tcW w:type="dxa" w:w="7488"/>
            <w:vAlign w:val="center"/>
            <w:shd w:fill="E7EEF4"/>
            <w:tcMar>
              <w:top w:w="85" w:type="dxa"/>
              <w:left w:w="90" w:type="dxa"/>
              <w:bottom w:w="85" w:type="dxa"/>
              <w:right w:w="90" w:type="dxa"/>
            </w:tcMar>
          </w:tcPr>
          <w:p>
            <w:pPr>
              <w:keepNext w:val="0"/>
              <w:spacing w:after="0" w:line="240" w:lineRule="auto"/>
            </w:pPr>
            <w:r>
              <w:rPr>
                <w:b/>
                <w:sz w:val="20"/>
              </w:rPr>
              <w:t>Measure or required check</w:t>
            </w:r>
          </w:p>
        </w:tc>
      </w:tr>
      <w:tr>
        <w:trPr>
          <w:cantSplit/>
        </w:trPr>
        <w:tc>
          <w:tcPr>
            <w:tcW w:type="dxa" w:w="2592"/>
            <w:vAlign w:val="center"/>
            <w:tcMar>
              <w:top w:w="85" w:type="dxa"/>
              <w:left w:w="90" w:type="dxa"/>
              <w:bottom w:w="85" w:type="dxa"/>
              <w:right w:w="90" w:type="dxa"/>
            </w:tcMar>
          </w:tcPr>
          <w:p>
            <w:pPr>
              <w:keepNext w:val="0"/>
              <w:spacing w:after="0" w:line="240" w:lineRule="auto"/>
            </w:pPr>
            <w:r>
              <w:rPr>
                <w:b w:val="0"/>
                <w:sz w:val="20"/>
              </w:rPr>
              <w:t>Meaning fidelity</w:t>
            </w:r>
          </w:p>
        </w:tc>
        <w:tc>
          <w:tcPr>
            <w:tcW w:type="dxa" w:w="7488"/>
            <w:vAlign w:val="center"/>
            <w:tcMar>
              <w:top w:w="85" w:type="dxa"/>
              <w:left w:w="90" w:type="dxa"/>
              <w:bottom w:w="85" w:type="dxa"/>
              <w:right w:w="90" w:type="dxa"/>
            </w:tcMar>
          </w:tcPr>
          <w:p>
            <w:pPr>
              <w:keepNext w:val="0"/>
              <w:spacing w:after="0" w:line="240" w:lineRule="auto"/>
            </w:pPr>
            <w:r>
              <w:rPr>
                <w:b w:val="0"/>
                <w:sz w:val="20"/>
              </w:rPr>
              <w:t>Role, polarity, modality, conditions, typed values and source coverage survive extraction and recipient interpretation.</w:t>
            </w:r>
          </w:p>
        </w:tc>
      </w:tr>
      <w:tr>
        <w:trPr>
          <w:cantSplit/>
        </w:trPr>
        <w:tc>
          <w:tcPr>
            <w:tcW w:type="dxa" w:w="2592"/>
            <w:vAlign w:val="center"/>
            <w:tcMar>
              <w:top w:w="85" w:type="dxa"/>
              <w:left w:w="90" w:type="dxa"/>
              <w:bottom w:w="85" w:type="dxa"/>
              <w:right w:w="90" w:type="dxa"/>
            </w:tcMar>
          </w:tcPr>
          <w:p>
            <w:pPr>
              <w:keepNext w:val="0"/>
              <w:spacing w:after="0" w:line="240" w:lineRule="auto"/>
            </w:pPr>
            <w:r>
              <w:rPr>
                <w:b w:val="0"/>
                <w:sz w:val="20"/>
              </w:rPr>
              <w:t>Retrieval utility</w:t>
            </w:r>
          </w:p>
        </w:tc>
        <w:tc>
          <w:tcPr>
            <w:tcW w:type="dxa" w:w="7488"/>
            <w:vAlign w:val="center"/>
            <w:tcMar>
              <w:top w:w="85" w:type="dxa"/>
              <w:left w:w="90" w:type="dxa"/>
              <w:bottom w:w="85" w:type="dxa"/>
              <w:right w:w="90" w:type="dxa"/>
            </w:tcMar>
          </w:tcPr>
          <w:p>
            <w:pPr>
              <w:keepNext w:val="0"/>
              <w:spacing w:after="0" w:line="240" w:lineRule="auto"/>
            </w:pPr>
            <w:r>
              <w:rPr>
                <w:b w:val="0"/>
                <w:sz w:val="20"/>
              </w:rPr>
              <w:t>Recall and ranking quality by question profile, including counterevidence and procedure prerequisite recall.</w:t>
            </w:r>
          </w:p>
        </w:tc>
      </w:tr>
      <w:tr>
        <w:trPr>
          <w:cantSplit/>
        </w:trPr>
        <w:tc>
          <w:tcPr>
            <w:tcW w:type="dxa" w:w="2592"/>
            <w:vAlign w:val="center"/>
            <w:tcMar>
              <w:top w:w="85" w:type="dxa"/>
              <w:left w:w="90" w:type="dxa"/>
              <w:bottom w:w="85" w:type="dxa"/>
              <w:right w:w="90" w:type="dxa"/>
            </w:tcMar>
          </w:tcPr>
          <w:p>
            <w:pPr>
              <w:keepNext w:val="0"/>
              <w:spacing w:after="0" w:line="240" w:lineRule="auto"/>
            </w:pPr>
            <w:r>
              <w:rPr>
                <w:b w:val="0"/>
                <w:sz w:val="20"/>
              </w:rPr>
              <w:t>Decision correctness</w:t>
            </w:r>
          </w:p>
        </w:tc>
        <w:tc>
          <w:tcPr>
            <w:tcW w:type="dxa" w:w="7488"/>
            <w:vAlign w:val="center"/>
            <w:tcMar>
              <w:top w:w="85" w:type="dxa"/>
              <w:left w:w="90" w:type="dxa"/>
              <w:bottom w:w="85" w:type="dxa"/>
              <w:right w:w="90" w:type="dxa"/>
            </w:tcMar>
          </w:tcPr>
          <w:p>
            <w:pPr>
              <w:keepNext w:val="0"/>
              <w:spacing w:after="0" w:line="240" w:lineRule="auto"/>
            </w:pPr>
            <w:r>
              <w:rPr>
                <w:b w:val="0"/>
                <w:sz w:val="20"/>
              </w:rPr>
              <w:t>False equivalence, false conflict, missed conflict, unsupported applicability and false compliance; report unknowns separately.</w:t>
            </w:r>
          </w:p>
        </w:tc>
      </w:tr>
      <w:tr>
        <w:trPr>
          <w:cantSplit/>
        </w:trPr>
        <w:tc>
          <w:tcPr>
            <w:tcW w:type="dxa" w:w="2592"/>
            <w:vAlign w:val="center"/>
            <w:tcMar>
              <w:top w:w="85" w:type="dxa"/>
              <w:left w:w="90" w:type="dxa"/>
              <w:bottom w:w="85" w:type="dxa"/>
              <w:right w:w="90" w:type="dxa"/>
            </w:tcMar>
          </w:tcPr>
          <w:p>
            <w:pPr>
              <w:keepNext w:val="0"/>
              <w:spacing w:after="0" w:line="240" w:lineRule="auto"/>
            </w:pPr>
            <w:r>
              <w:rPr>
                <w:b w:val="0"/>
                <w:sz w:val="20"/>
              </w:rPr>
              <w:t>Agent outcome and resources</w:t>
            </w:r>
          </w:p>
        </w:tc>
        <w:tc>
          <w:tcPr>
            <w:tcW w:type="dxa" w:w="7488"/>
            <w:vAlign w:val="center"/>
            <w:tcMar>
              <w:top w:w="85" w:type="dxa"/>
              <w:left w:w="90" w:type="dxa"/>
              <w:bottom w:w="85" w:type="dxa"/>
              <w:right w:w="90" w:type="dxa"/>
            </w:tcMar>
          </w:tcPr>
          <w:p>
            <w:pPr>
              <w:keepNext w:val="0"/>
              <w:spacing w:after="0" w:line="240" w:lineRule="auto"/>
            </w:pPr>
            <w:r>
              <w:rPr>
                <w:b w:val="0"/>
                <w:sz w:val="20"/>
              </w:rPr>
              <w:t>Exact delivered patch outcome, regression and criterion coverage, latency, memory and total cost including embeddings and failed attempts.</w:t>
            </w:r>
          </w:p>
        </w:tc>
      </w:tr>
      <w:tr>
        <w:trPr>
          <w:cantSplit/>
        </w:trPr>
        <w:tc>
          <w:tcPr>
            <w:tcW w:type="dxa" w:w="2592"/>
            <w:vAlign w:val="center"/>
            <w:tcMar>
              <w:top w:w="85" w:type="dxa"/>
              <w:left w:w="90" w:type="dxa"/>
              <w:bottom w:w="85" w:type="dxa"/>
              <w:right w:w="90" w:type="dxa"/>
            </w:tcMar>
          </w:tcPr>
          <w:p>
            <w:pPr>
              <w:keepNext w:val="0"/>
              <w:spacing w:after="0" w:line="240" w:lineRule="auto"/>
            </w:pPr>
            <w:r>
              <w:rPr>
                <w:b w:val="0"/>
                <w:sz w:val="20"/>
              </w:rPr>
              <w:t>Operational boundaries</w:t>
            </w:r>
          </w:p>
        </w:tc>
        <w:tc>
          <w:tcPr>
            <w:tcW w:type="dxa" w:w="7488"/>
            <w:vAlign w:val="center"/>
            <w:tcMar>
              <w:top w:w="85" w:type="dxa"/>
              <w:left w:w="90" w:type="dxa"/>
              <w:bottom w:w="85" w:type="dxa"/>
              <w:right w:w="90" w:type="dxa"/>
            </w:tcMar>
          </w:tcPr>
          <w:p>
            <w:pPr>
              <w:keepNext w:val="0"/>
              <w:spacing w:after="0" w:line="240" w:lineRule="auto"/>
            </w:pPr>
            <w:r>
              <w:rPr>
                <w:b w:val="0"/>
                <w:sz w:val="20"/>
              </w:rPr>
              <w:t>No cross-workspace or chronology leakage, stale publication, automatic promotion or verification upgrades.</w:t>
            </w:r>
          </w:p>
        </w:tc>
      </w:tr>
      <w:tr>
        <w:trPr>
          <w:cantSplit/>
        </w:trPr>
        <w:tc>
          <w:tcPr>
            <w:tcW w:type="dxa" w:w="2592"/>
            <w:vAlign w:val="center"/>
            <w:tcMar>
              <w:top w:w="85" w:type="dxa"/>
              <w:left w:w="90" w:type="dxa"/>
              <w:bottom w:w="85" w:type="dxa"/>
              <w:right w:w="90" w:type="dxa"/>
            </w:tcMar>
          </w:tcPr>
          <w:p>
            <w:pPr>
              <w:keepNext w:val="0"/>
              <w:spacing w:after="0" w:line="240" w:lineRule="auto"/>
            </w:pPr>
            <w:r>
              <w:rPr>
                <w:b w:val="0"/>
                <w:sz w:val="20"/>
              </w:rPr>
              <w:t>Portability and migration</w:t>
            </w:r>
          </w:p>
        </w:tc>
        <w:tc>
          <w:tcPr>
            <w:tcW w:type="dxa" w:w="7488"/>
            <w:vAlign w:val="center"/>
            <w:tcMar>
              <w:top w:w="85" w:type="dxa"/>
              <w:left w:w="90" w:type="dxa"/>
              <w:bottom w:w="85" w:type="dxa"/>
              <w:right w:w="90" w:type="dxa"/>
            </w:tcMar>
          </w:tcPr>
          <w:p>
            <w:pPr>
              <w:keepNext w:val="0"/>
              <w:spacing w:after="0" w:line="240" w:lineRule="auto"/>
            </w:pPr>
            <w:r>
              <w:rPr>
                <w:b w:val="0"/>
                <w:sz w:val="20"/>
              </w:rPr>
              <w:t>Actual enabled writer/reader deployments preserve qualifiers; incompatible changes invalidate qualification and require re-evaluation.</w:t>
            </w:r>
          </w:p>
        </w:tc>
      </w:tr>
    </w:tbl>
    <w:p>
      <w:pPr>
        <w:spacing w:after="0"/>
      </w:pPr>
    </w:p>
    <w:p>
      <w:pPr>
        <w:keepNext w:val="0"/>
      </w:pPr>
      <w:r>
        <w:t>Run ablations for lexical/exact retrieval, general dense retrieval, added semantic features, added procedure views and any learned heads. A candidate cannot activate after failing a hard correctness or authority gate, even if aggregate ranking improves. Report uncertainty and per-profile regressions. The existing P134 writer-to-reader qualification must include these representations, their packet bytes and deployment identities. [P132–P134]</w:t>
      </w:r>
    </w:p>
    <w:p>
      <w:pPr>
        <w:keepNext w:val="0"/>
      </w:pPr>
      <w:r>
        <w:t>The companion contains 50 semantic and retrieval conformance scenarios plus a separate type-enumeration suite. They are acceptance specifications for the implementation. The included validation report distinguishes executed JSON/schema checks from semantic engine and live deployment tests that remain to be built. Optional training belongs to P149–P150 after the qualified baseline; current repository facts and user preferences continue to live in external memory. [P149–P150]</w:t>
      </w:r>
    </w:p>
    <w:p>
      <w:pPr>
        <w:pStyle w:val="Heading1"/>
      </w:pPr>
      <w:r>
        <w:t>13 Implementation additions and acceptance</w:t>
      </w:r>
    </w:p>
    <w:p>
      <w:pPr>
        <w:keepNext w:val="0"/>
      </w:pPr>
      <w:r>
        <w:t>S01–S12 below are addendum-local work items. They extend the P-series plan without renumbering or replacing it. Implement S01–S10 within the memory and retrieval phases, qualify S11 with Phase 12, and leave S12 behind the optional training boundary.</w:t>
      </w:r>
    </w:p>
    <w:p>
      <w:pPr>
        <w:pStyle w:val="Heading2"/>
      </w:pPr>
      <w:r>
        <w:t>S01 Publish vocabularies and wire schemas</w:t>
      </w:r>
    </w:p>
    <w:p>
      <w:pPr>
        <w:keepNext/>
      </w:pPr>
      <w:r>
        <w:rPr>
          <w:sz w:val="20"/>
        </w:rPr>
        <w:t>P085, P088; E07</w:t>
      </w:r>
    </w:p>
    <w:p>
      <w:pPr>
        <w:keepNext w:val="0"/>
      </w:pPr>
      <w:r>
        <w:t>Register immutable semantic and data-type definitions, agent/workflow subtypes, signatures, typed literals and schemas. Pass when valid fixtures load, subtype cycles fail and invalid roles, operators and authority fields are rejected.</w:t>
      </w:r>
    </w:p>
    <w:p>
      <w:pPr>
        <w:pStyle w:val="Heading2"/>
      </w:pPr>
      <w:r>
        <w:t>S02 Resolve entities and typed occurrences</w:t>
      </w:r>
    </w:p>
    <w:p>
      <w:pPr>
        <w:keepNext/>
      </w:pPr>
      <w:r>
        <w:rPr>
          <w:sz w:val="20"/>
        </w:rPr>
        <w:t>P085, P097</w:t>
      </w:r>
    </w:p>
    <w:p>
      <w:pPr>
        <w:keepNext w:val="0"/>
      </w:pPr>
      <w:r>
        <w:t>Bind aliases to checked scoped identities and give every catalogued occurrence one primary data type. Pass when equal labels across repositories, repeated values at different paths and definitions versus runs remain distinct; ambiguity is explicit.</w:t>
      </w:r>
    </w:p>
    <w:p>
      <w:pPr>
        <w:pStyle w:val="Heading2"/>
      </w:pPr>
      <w:r>
        <w:t>S03 Attach frames and evidence</w:t>
      </w:r>
    </w:p>
    <w:p>
      <w:pPr>
        <w:keepNext/>
      </w:pPr>
      <w:r>
        <w:rPr>
          <w:sz w:val="20"/>
        </w:rPr>
        <w:t>P085, P086, P088, P099</w:t>
      </w:r>
    </w:p>
    <w:p>
      <w:pPr>
        <w:keepNext w:val="0"/>
      </w:pPr>
      <w:r>
        <w:t>Store source spans, coverage, evidence interpretation and conjunction groups. Pass when partial extraction cannot claim full coverage and shared-source summaries count once.</w:t>
      </w:r>
    </w:p>
    <w:p>
      <w:pPr>
        <w:pStyle w:val="Heading2"/>
      </w:pPr>
      <w:r>
        <w:t>S04 Evaluate bounded conditions</w:t>
      </w:r>
    </w:p>
    <w:p>
      <w:pPr>
        <w:keepNext/>
      </w:pPr>
      <w:r>
        <w:rPr>
          <w:sz w:val="20"/>
        </w:rPr>
        <w:t>P090–P092</w:t>
      </w:r>
    </w:p>
    <w:p>
      <w:pPr>
        <w:keepNext w:val="0"/>
      </w:pPr>
      <w:r>
        <w:t>Implement type-checked three-valued guards, time intervals and dependency-aware cache invalidation. Pass all missing-value, version, exact-state and unknown-condition cases.</w:t>
      </w:r>
    </w:p>
    <w:p>
      <w:pPr>
        <w:pStyle w:val="Heading2"/>
      </w:pPr>
      <w:r>
        <w:t>S05 Canonicalize and compare</w:t>
      </w:r>
    </w:p>
    <w:p>
      <w:pPr>
        <w:keepNext/>
      </w:pPr>
      <w:r>
        <w:rPr>
          <w:sz w:val="20"/>
        </w:rPr>
        <w:t>P087, P099</w:t>
      </w:r>
    </w:p>
    <w:p>
      <w:pPr>
        <w:keepNext w:val="0"/>
      </w:pPr>
      <w:r>
        <w:t>Implement canonical bytes, fingerprints, resolved equality and compatible-release checks. Pass when role order in JSON is harmless but role reversal, polarity and qualifiers remain distinct.</w:t>
      </w:r>
    </w:p>
    <w:p>
      <w:pPr>
        <w:pStyle w:val="Heading2"/>
      </w:pPr>
      <w:r>
        <w:t>S06 Diagnose conflicts and compliance</w:t>
      </w:r>
    </w:p>
    <w:p>
      <w:pPr>
        <w:keepNext/>
      </w:pPr>
      <w:r>
        <w:rPr>
          <w:sz w:val="20"/>
        </w:rPr>
        <w:t>P087, P090, P095, P107</w:t>
      </w:r>
    </w:p>
    <w:p>
      <w:pPr>
        <w:keepNext w:val="0"/>
      </w:pPr>
      <w:r>
        <w:t>Build conflict candidates, bounded overlap checks and effective-norm comparison. Pass when historical differences, unknown overlap and untested requirements cannot become current conflict or success.</w:t>
      </w:r>
    </w:p>
    <w:p>
      <w:pPr>
        <w:pStyle w:val="Heading2"/>
      </w:pPr>
      <w:r>
        <w:t>S07 Materialize typed views and semantic features</w:t>
      </w:r>
    </w:p>
    <w:p>
      <w:pPr>
        <w:keepNext/>
      </w:pPr>
      <w:r>
        <w:rPr>
          <w:sz w:val="20"/>
        </w:rPr>
        <w:t>P093, P094, P099, P100, P103</w:t>
      </w:r>
    </w:p>
    <w:p>
      <w:pPr>
        <w:keepNext w:val="0"/>
      </w:pPr>
      <w:r>
        <w:t>Add typed catalogs and parsed descendants, coverage, postings, optional dictionaries, lineage and worker fences. Pass when deletion, stale workers and incompatible generations cannot publish usable results.</w:t>
      </w:r>
    </w:p>
    <w:p>
      <w:pPr>
        <w:pStyle w:val="Heading2"/>
      </w:pPr>
      <w:r>
        <w:t>S08 Register question profiles and exact enumeration</w:t>
      </w:r>
    </w:p>
    <w:p>
      <w:pPr>
        <w:keepNext/>
      </w:pPr>
      <w:r>
        <w:rPr>
          <w:sz w:val="20"/>
        </w:rPr>
        <w:t>P095–P108; E08</w:t>
      </w:r>
    </w:p>
    <w:p>
      <w:pPr>
        <w:keepNext w:val="0"/>
      </w:pPr>
      <w:r>
        <w:t>Implement seven contracts, required inputs, channel routing, rank fusion and frozen type manifests. Pass when pagination returns every authorized snapshot match exactly once, gaps stay visible and independent spaces are not averaged.</w:t>
      </w:r>
    </w:p>
    <w:p>
      <w:pPr>
        <w:pStyle w:val="Heading2"/>
      </w:pPr>
      <w:r>
        <w:t>S09 Preserve procedure meaning</w:t>
      </w:r>
    </w:p>
    <w:p>
      <w:pPr>
        <w:keepNext/>
      </w:pPr>
      <w:r>
        <w:rPr>
          <w:sz w:val="20"/>
        </w:rPr>
        <w:t>P085, P099, P101, P110</w:t>
      </w:r>
    </w:p>
    <w:p>
      <w:pPr>
        <w:keepNext w:val="0"/>
      </w:pPr>
      <w:r>
        <w:t>Index existing procedure slots and retain ordered structure, prerequisites, expectations and exceptions. Pass when predictions stay distinct from observations and adaptations do not auto-promote.</w:t>
      </w:r>
    </w:p>
    <w:p>
      <w:pPr>
        <w:pStyle w:val="Heading2"/>
      </w:pPr>
      <w:r>
        <w:t>S10 Deliver reproducible evidence packets</w:t>
      </w:r>
    </w:p>
    <w:p>
      <w:pPr>
        <w:keepNext/>
      </w:pPr>
      <w:r>
        <w:rPr>
          <w:sz w:val="20"/>
        </w:rPr>
        <w:t>P096, P106–P108</w:t>
      </w:r>
    </w:p>
    <w:p>
      <w:pPr>
        <w:keepNext w:val="0"/>
      </w:pPr>
      <w:r>
        <w:t>Recheck current eligibility and persist exact bytes, provenance and profile/space identities. Pass when compacting cannot omit decisive negation, conditions or counterevidence.</w:t>
      </w:r>
    </w:p>
    <w:p>
      <w:pPr>
        <w:pStyle w:val="Heading2"/>
      </w:pPr>
      <w:r>
        <w:t>S11 Qualify utility and portability</w:t>
      </w:r>
    </w:p>
    <w:p>
      <w:pPr>
        <w:keepNext/>
      </w:pPr>
      <w:r>
        <w:rPr>
          <w:sz w:val="20"/>
        </w:rPr>
        <w:t>P129–P134</w:t>
      </w:r>
    </w:p>
    <w:p>
      <w:pPr>
        <w:keepNext w:val="0"/>
      </w:pPr>
      <w:r>
        <w:t>Run profile ablations, chronological isolation, delivered-patch scoring and deployment qualification. Pass only against recorded release criteria, with per-profile failures and uncertainty visible.</w:t>
      </w:r>
    </w:p>
    <w:p>
      <w:pPr>
        <w:pStyle w:val="Heading2"/>
      </w:pPr>
      <w:r>
        <w:t>S12 Evaluate optional learned heads</w:t>
      </w:r>
    </w:p>
    <w:p>
      <w:pPr>
        <w:keepNext/>
      </w:pPr>
      <w:r>
        <w:rPr>
          <w:sz w:val="20"/>
        </w:rPr>
        <w:t>P149–P150; E09</w:t>
      </w:r>
    </w:p>
    <w:p>
      <w:pPr>
        <w:keepNext w:val="0"/>
      </w:pPr>
      <w:r>
        <w:t>Build provenance-preserving purpose-labelled datasets and register new immutable candidates. Pass when training lineage/splits are valid and no training or qualification step implicitly activates a model.</w:t>
      </w:r>
    </w:p>
    <w:p>
      <w:pPr>
        <w:pStyle w:val="Heading1"/>
      </w:pPr>
      <w:r>
        <w:t>14 Companion files and references</w:t>
      </w:r>
    </w:p>
    <w:p>
      <w:pPr>
        <w:keepNext w:val="0"/>
      </w:pPr>
      <w:r>
        <w:t>Agent_Semantic_Vocabulary_0_1_0.zip contains semantic and data-type catalogs, schemas for frames, typed items and queries, seven retrieval profiles, feature-encoding rules, illustrative fixtures, negative schema fixtures, service validation rules, semantic/type conformance cases and the actual validation report. Fixture identifiers do not identify real repository objects. The package is a design contract, not an installed runtime or database migration.</w:t>
      </w:r>
    </w:p>
    <w:p>
      <w:pPr>
        <w:keepNext w:val="0"/>
      </w:pPr>
      <w:r>
        <w:rPr>
          <w:sz w:val="20"/>
        </w:rPr>
        <w:t>[A] Multi_Model_Coding_Agent_Architecture_Specification.docx, version 1.0, 21 October 2026. Primary sections used: memory and applicability, pp 14–18; verification, p 19; schema and storage boundaries, pp 20–25; learning and evaluation, pp 26–27.</w:t>
      </w:r>
    </w:p>
    <w:p>
      <w:pPr>
        <w:keepNext w:val="0"/>
      </w:pPr>
      <w:r>
        <w:rPr>
          <w:sz w:val="20"/>
        </w:rPr>
        <w:t>[P] Multi_Model_Coding_Agent_Implementation_Plan.docx, version 1.0, 21 October 2026. Primary steps used: P085–P110, pp 38–47; P129–P134, pp 55–57; P149–P150, p 64.</w:t>
      </w:r>
    </w:p>
    <w:p>
      <w:pPr>
        <w:keepNext w:val="0"/>
      </w:pPr>
      <w:r>
        <w:rPr>
          <w:sz w:val="20"/>
        </w:rPr>
        <w:t>[E] Local_Embedding_Addendum.docx, version 1.0, 21 October 2026. Local deployment baseline and E01–E09; custom semantic space in E07–E09.</w:t>
      </w:r>
    </w:p>
    <w:p>
      <w:pPr>
        <w:spacing w:after="100"/>
      </w:pPr>
      <w:hyperlink r:id="rId10">
        <w:r>
          <w:rPr>
            <w:color w:val="174B73"/>
            <w:sz w:val="20"/>
          </w:rPr>
          <w:t>[R1] RFC 8785 JSON Canonicalization Scheme</w:t>
        </w:r>
      </w:hyperlink>
    </w:p>
    <w:p>
      <w:pPr>
        <w:spacing w:after="100"/>
      </w:pPr>
      <w:hyperlink r:id="rId11">
        <w:r>
          <w:rPr>
            <w:color w:val="174B73"/>
            <w:sz w:val="20"/>
          </w:rPr>
          <w:t>[R2] JSON Schema Draft 2020 12 Core</w:t>
        </w:r>
      </w:hyperlink>
    </w:p>
    <w:p>
      <w:pPr>
        <w:spacing w:after="100"/>
      </w:pPr>
      <w:hyperlink r:id="rId12">
        <w:r>
          <w:rPr>
            <w:color w:val="174B73"/>
            <w:sz w:val="20"/>
          </w:rPr>
          <w:t>[R3] PostgreSQL documentation Logical Operators</w:t>
        </w:r>
      </w:hyperlink>
    </w:p>
    <w:p>
      <w:pPr>
        <w:spacing w:after="100"/>
      </w:pPr>
      <w:hyperlink r:id="rId13">
        <w:r>
          <w:rPr>
            <w:color w:val="174B73"/>
            <w:sz w:val="20"/>
          </w:rPr>
          <w:t>[R4] RFC 8259 The JavaScript Object Notation Data Interchange Format</w:t>
        </w:r>
      </w:hyperlink>
    </w:p>
    <w:p>
      <w:pPr>
        <w:spacing w:after="100"/>
      </w:pPr>
      <w:hyperlink r:id="rId14">
        <w:r>
          <w:rPr>
            <w:color w:val="174B73"/>
            <w:sz w:val="20"/>
          </w:rPr>
          <w:t>[R5] PostgreSQL documentation Lexical Structure</w:t>
        </w:r>
      </w:hyperlink>
    </w:p>
    <w:p>
      <w:pPr>
        <w:keepNext w:val="0"/>
      </w:pPr>
      <w:r>
        <w:rPr>
          <w:sz w:val="20"/>
        </w:rPr>
        <w:t>External references checked 21 October 2026. They support the serialization, schema and logical conventions cited above. The domain vocabulary, question profiles, limits and integration choices are proposed by this addendum.</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Semantic vocabulary 0.1.0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fc-editor.org/rfc/rfc8785" TargetMode="External"/><Relationship Id="rId11" Type="http://schemas.openxmlformats.org/officeDocument/2006/relationships/hyperlink" Target="https://json-schema.org/draft/2020-12/json-schema-core" TargetMode="External"/><Relationship Id="rId12" Type="http://schemas.openxmlformats.org/officeDocument/2006/relationships/hyperlink" Target="https://www.postgresql.org/docs/current/functions-logical.html" TargetMode="External"/><Relationship Id="rId13" Type="http://schemas.openxmlformats.org/officeDocument/2006/relationships/hyperlink" Target="https://www.rfc-editor.org/rfc/rfc8259.html" TargetMode="External"/><Relationship Id="rId14" Type="http://schemas.openxmlformats.org/officeDocument/2006/relationships/hyperlink" Target="https://www.postgresql.org/docs/current/sql-syntax-lexic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Semantic Vocabulary and Semantics</dc:title>
  <dc:subject>Design addendum to the agent system implementation plan</dc:subject>
  <dc:creator/>
  <cp:keywords>agent memory, semantics, vocabulary, local embeddings, retrieval profiles</cp:keywords>
  <dc:description>generated by python-docx</dc:description>
  <cp:lastModifiedBy/>
  <cp:revision>1</cp:revision>
  <dcterms:created xsi:type="dcterms:W3CDTF">2013-12-23T23:15:00Z</dcterms:created>
  <dcterms:modified xsi:type="dcterms:W3CDTF">2013-12-23T23:15:00Z</dcterms:modified>
  <cp:category/>
</cp:coreProperties>
</file>