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Local Embeddings for Agent Memory</w:t>
      </w:r>
    </w:p>
    <w:p>
      <w:pPr>
        <w:pStyle w:val="Subtitle"/>
      </w:pPr>
      <w:r>
        <w:t>Addendum to the Multi Model Coding Agent Implementation Plan 1.0</w:t>
      </w:r>
    </w:p>
    <w:p>
      <w:pPr>
        <w:spacing w:after="180"/>
      </w:pPr>
      <w:r>
        <w:rPr>
          <w:sz w:val="20"/>
        </w:rPr>
        <w:t>21 October 2026  |  Proposed implementation guidance</w:t>
      </w:r>
    </w:p>
    <w:p>
      <w:pPr>
        <w:pStyle w:val="Heading1"/>
      </w:pPr>
      <w:r>
        <w:t>Recommendation</w:t>
      </w:r>
    </w:p>
    <w:p>
      <w:r>
        <w:rPr>
          <w:b/>
        </w:rPr>
        <w:t>Start implementation with Qwen3-Embedding-0.6B at 1,024 dimensions</w:t>
      </w:r>
      <w:r>
        <w:t>, served locally through the planned embedding adapter. Use it as the reference configuration while comparing smaller and alternative models on the actual repositories and memories. The production choice should balance useful retrieval, query latency and the resources shared with coding models. [1]</w:t>
      </w:r>
    </w:p>
    <w:p>
      <w:r>
        <w:t>Begin with one general encoder and develop a separate internal semantic space for the agent's concepts and relationships. Multiple reasoning models can share both. Keep PostgreSQL as the durable store and combine vector retrieval with exact identifiers, full-text search and bounded relationship traversal, as specified in Phase 9.</w:t>
      </w:r>
    </w:p>
    <w:p>
      <w:pPr>
        <w:pStyle w:val="Heading1"/>
      </w:pPr>
      <w:r>
        <w:t>Local model shortlist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77"/>
        <w:gridCol w:w="3629"/>
        <w:gridCol w:w="3974"/>
      </w:tblGrid>
      <w:tr>
        <w:trPr>
          <w:tblHeader/>
          <w:cantSplit/>
        </w:trPr>
        <w:tc>
          <w:tcPr>
            <w:tcW w:type="dxa" w:w="2477"/>
            <w:shd w:fill="E7EEF4"/>
            <w:vAlign w:val="center"/>
            <w:tcMar>
              <w:top w:w="85" w:type="dxa"/>
              <w:left w:w="90" w:type="dxa"/>
              <w:bottom w:w="85" w:type="dxa"/>
              <w:right w:w="90" w:type="dxa"/>
            </w:tcMar>
          </w:tcPr>
          <w:p>
            <w:pPr>
              <w:spacing w:after="0" w:line="240" w:lineRule="auto"/>
            </w:pPr>
            <w:r>
              <w:rPr>
                <w:b/>
                <w:sz w:val="20"/>
              </w:rPr>
              <w:t>Model and proposed output</w:t>
            </w:r>
          </w:p>
        </w:tc>
        <w:tc>
          <w:tcPr>
            <w:tcW w:type="dxa" w:w="3629"/>
            <w:shd w:fill="E7EEF4"/>
            <w:vAlign w:val="center"/>
            <w:tcMar>
              <w:top w:w="85" w:type="dxa"/>
              <w:left w:w="90" w:type="dxa"/>
              <w:bottom w:w="85" w:type="dxa"/>
              <w:right w:w="90" w:type="dxa"/>
            </w:tcMar>
          </w:tcPr>
          <w:p>
            <w:pPr>
              <w:spacing w:after="0" w:line="240" w:lineRule="auto"/>
            </w:pPr>
            <w:r>
              <w:rPr>
                <w:b/>
                <w:sz w:val="20"/>
              </w:rPr>
              <w:t>Strengths</w:t>
            </w:r>
          </w:p>
        </w:tc>
        <w:tc>
          <w:tcPr>
            <w:tcW w:type="dxa" w:w="3974"/>
            <w:shd w:fill="E7EEF4"/>
            <w:vAlign w:val="center"/>
            <w:tcMar>
              <w:top w:w="85" w:type="dxa"/>
              <w:left w:w="90" w:type="dxa"/>
              <w:bottom w:w="85" w:type="dxa"/>
              <w:right w:w="90" w:type="dxa"/>
            </w:tcMar>
          </w:tcPr>
          <w:p>
            <w:pPr>
              <w:spacing w:after="0" w:line="240" w:lineRule="auto"/>
            </w:pPr>
            <w:r>
              <w:rPr>
                <w:b/>
                <w:sz w:val="20"/>
              </w:rPr>
              <w:t>Weaknesses and deployment notes</w:t>
            </w:r>
          </w:p>
        </w:tc>
      </w:tr>
      <w:tr>
        <w:trPr>
          <w:cantSplit/>
        </w:trPr>
        <w:tc>
          <w:tcPr>
            <w:tcW w:type="dxa" w:w="2477"/>
            <w:vAlign w:val="center"/>
            <w:tcMar>
              <w:top w:w="85" w:type="dxa"/>
              <w:left w:w="90" w:type="dxa"/>
              <w:bottom w:w="85" w:type="dxa"/>
              <w:right w:w="90" w:type="dxa"/>
            </w:tcMar>
          </w:tcPr>
          <w:p>
            <w:pPr>
              <w:spacing w:after="0" w:line="240" w:lineRule="auto"/>
            </w:pPr>
            <w:r>
              <w:rPr>
                <w:sz w:val="20"/>
              </w:rPr>
              <w:t>Qwen3-Embedding-0.6B</w:t>
              <w:br/>
              <w:t>1,024 dimensions</w:t>
              <w:br/>
              <w:t>Apache 2.0 [1]</w:t>
            </w:r>
          </w:p>
        </w:tc>
        <w:tc>
          <w:tcPr>
            <w:tcW w:type="dxa" w:w="3629"/>
            <w:vAlign w:val="center"/>
            <w:tcMar>
              <w:top w:w="85" w:type="dxa"/>
              <w:left w:w="90" w:type="dxa"/>
              <w:bottom w:w="85" w:type="dxa"/>
              <w:right w:w="90" w:type="dxa"/>
            </w:tcMar>
          </w:tcPr>
          <w:p>
            <w:pPr>
              <w:spacing w:after="0" w:line="240" w:lineRule="auto"/>
            </w:pPr>
            <w:r>
              <w:rPr>
                <w:sz w:val="20"/>
              </w:rPr>
              <w:t>Broad text, code and multilingual coverage. Supports retrieval instructions and shorter outputs. A practical initial reference model.</w:t>
            </w:r>
          </w:p>
        </w:tc>
        <w:tc>
          <w:tcPr>
            <w:tcW w:type="dxa" w:w="3974"/>
            <w:vAlign w:val="center"/>
            <w:tcMar>
              <w:top w:w="85" w:type="dxa"/>
              <w:left w:w="90" w:type="dxa"/>
              <w:bottom w:w="85" w:type="dxa"/>
              <w:right w:w="90" w:type="dxa"/>
            </w:tcMar>
          </w:tcPr>
          <w:p>
            <w:pPr>
              <w:spacing w:after="0" w:line="240" w:lineRule="auto"/>
            </w:pPr>
            <w:r>
              <w:rPr>
                <w:sz w:val="20"/>
              </w:rPr>
              <w:t>More parameters than the smallest alternatives. Correct query instructions and pooling matter; project-specific quality remains to be measured.</w:t>
            </w:r>
          </w:p>
        </w:tc>
      </w:tr>
      <w:tr>
        <w:trPr>
          <w:cantSplit/>
        </w:trPr>
        <w:tc>
          <w:tcPr>
            <w:tcW w:type="dxa" w:w="2477"/>
            <w:vAlign w:val="center"/>
            <w:tcMar>
              <w:top w:w="85" w:type="dxa"/>
              <w:left w:w="90" w:type="dxa"/>
              <w:bottom w:w="85" w:type="dxa"/>
              <w:right w:w="90" w:type="dxa"/>
            </w:tcMar>
          </w:tcPr>
          <w:p>
            <w:pPr>
              <w:spacing w:after="0" w:line="240" w:lineRule="auto"/>
            </w:pPr>
            <w:r>
              <w:rPr>
                <w:sz w:val="20"/>
              </w:rPr>
              <w:t>EmbeddingGemma 2</w:t>
              <w:br/>
              <w:t>270M text core</w:t>
              <w:br/>
              <w:t>768 dimensions</w:t>
              <w:br/>
              <w:t>Apache 2.0 [2]</w:t>
            </w:r>
          </w:p>
        </w:tc>
        <w:tc>
          <w:tcPr>
            <w:tcW w:type="dxa" w:w="3629"/>
            <w:vAlign w:val="center"/>
            <w:tcMar>
              <w:top w:w="85" w:type="dxa"/>
              <w:left w:w="90" w:type="dxa"/>
              <w:bottom w:w="85" w:type="dxa"/>
              <w:right w:w="90" w:type="dxa"/>
            </w:tcMar>
          </w:tcPr>
          <w:p>
            <w:pPr>
              <w:spacing w:after="0" w:line="240" w:lineRule="auto"/>
            </w:pPr>
            <w:r>
              <w:rPr>
                <w:sz w:val="20"/>
              </w:rPr>
              <w:t>Compact text model with configurable output size. Attractive when embedding and coding models share limited memory.</w:t>
            </w:r>
          </w:p>
        </w:tc>
        <w:tc>
          <w:tcPr>
            <w:tcW w:type="dxa" w:w="3974"/>
            <w:vAlign w:val="center"/>
            <w:tcMar>
              <w:top w:w="85" w:type="dxa"/>
              <w:left w:w="90" w:type="dxa"/>
              <w:bottom w:w="85" w:type="dxa"/>
              <w:right w:w="90" w:type="dxa"/>
            </w:tcMar>
          </w:tcPr>
          <w:p>
            <w:pPr>
              <w:spacing w:after="0" w:line="240" w:lineRule="auto"/>
            </w:pPr>
            <w:r>
              <w:rPr>
                <w:sz w:val="20"/>
              </w:rPr>
              <w:t>Use the text-only configuration; optional encoders add weight. Use BF16 or FP32, not FP16. A recent release needs local qualification.</w:t>
            </w:r>
          </w:p>
        </w:tc>
      </w:tr>
      <w:tr>
        <w:trPr>
          <w:cantSplit/>
        </w:trPr>
        <w:tc>
          <w:tcPr>
            <w:tcW w:type="dxa" w:w="2477"/>
            <w:vAlign w:val="center"/>
            <w:tcMar>
              <w:top w:w="85" w:type="dxa"/>
              <w:left w:w="90" w:type="dxa"/>
              <w:bottom w:w="85" w:type="dxa"/>
              <w:right w:w="90" w:type="dxa"/>
            </w:tcMar>
          </w:tcPr>
          <w:p>
            <w:pPr>
              <w:spacing w:after="0" w:line="240" w:lineRule="auto"/>
            </w:pPr>
            <w:r>
              <w:rPr>
                <w:sz w:val="20"/>
              </w:rPr>
              <w:t>Harrier OSS v1 0.6B</w:t>
              <w:br/>
              <w:t>1,024 dimensions</w:t>
              <w:br/>
              <w:t>MIT [3]</w:t>
            </w:r>
          </w:p>
        </w:tc>
        <w:tc>
          <w:tcPr>
            <w:tcW w:type="dxa" w:w="3629"/>
            <w:vAlign w:val="center"/>
            <w:tcMar>
              <w:top w:w="85" w:type="dxa"/>
              <w:left w:w="90" w:type="dxa"/>
              <w:bottom w:w="85" w:type="dxa"/>
              <w:right w:w="90" w:type="dxa"/>
            </w:tcMar>
          </w:tcPr>
          <w:p>
            <w:pPr>
              <w:spacing w:after="0" w:line="240" w:lineRule="auto"/>
            </w:pPr>
            <w:r>
              <w:rPr>
                <w:sz w:val="20"/>
              </w:rPr>
              <w:t>General multilingual retrieval alternative with a long input window. Provides a useful comparison with the Qwen baseline.</w:t>
            </w:r>
          </w:p>
        </w:tc>
        <w:tc>
          <w:tcPr>
            <w:tcW w:type="dxa" w:w="3974"/>
            <w:vAlign w:val="center"/>
            <w:tcMar>
              <w:top w:w="85" w:type="dxa"/>
              <w:left w:w="90" w:type="dxa"/>
              <w:bottom w:w="85" w:type="dxa"/>
              <w:right w:w="90" w:type="dxa"/>
            </w:tcMar>
          </w:tcPr>
          <w:p>
            <w:pPr>
              <w:spacing w:after="0" w:line="240" w:lineRule="auto"/>
            </w:pPr>
            <w:r>
              <w:rPr>
                <w:sz w:val="20"/>
              </w:rPr>
              <w:t>Similar model size to Qwen 0.6B. Do not assume arbitrary output truncation is supported; preserve its documented encoding conventions.</w:t>
            </w:r>
          </w:p>
        </w:tc>
      </w:tr>
      <w:tr>
        <w:trPr>
          <w:cantSplit/>
        </w:trPr>
        <w:tc>
          <w:tcPr>
            <w:tcW w:type="dxa" w:w="2477"/>
            <w:vAlign w:val="center"/>
            <w:tcMar>
              <w:top w:w="85" w:type="dxa"/>
              <w:left w:w="90" w:type="dxa"/>
              <w:bottom w:w="85" w:type="dxa"/>
              <w:right w:w="90" w:type="dxa"/>
            </w:tcMar>
          </w:tcPr>
          <w:p>
            <w:pPr>
              <w:spacing w:after="0" w:line="240" w:lineRule="auto"/>
            </w:pPr>
            <w:r>
              <w:rPr>
                <w:sz w:val="20"/>
              </w:rPr>
              <w:t>Voyage 4 Nano</w:t>
              <w:br/>
              <w:t>340M parameters</w:t>
              <w:br/>
              <w:t>1,024 dimensions</w:t>
              <w:br/>
              <w:t>Apache 2.0 [4]</w:t>
            </w:r>
          </w:p>
        </w:tc>
        <w:tc>
          <w:tcPr>
            <w:tcW w:type="dxa" w:w="3629"/>
            <w:vAlign w:val="center"/>
            <w:tcMar>
              <w:top w:w="85" w:type="dxa"/>
              <w:left w:w="90" w:type="dxa"/>
              <w:bottom w:w="85" w:type="dxa"/>
              <w:right w:w="90" w:type="dxa"/>
            </w:tcMar>
          </w:tcPr>
          <w:p>
            <w:pPr>
              <w:spacing w:after="0" w:line="240" w:lineRule="auto"/>
            </w:pPr>
            <w:r>
              <w:rPr>
                <w:sz w:val="20"/>
              </w:rPr>
              <w:t>Compact model with supported output shortening. A useful challenger for local text retrieval and smaller vector indexes.</w:t>
            </w:r>
          </w:p>
        </w:tc>
        <w:tc>
          <w:tcPr>
            <w:tcW w:type="dxa" w:w="3974"/>
            <w:vAlign w:val="center"/>
            <w:tcMar>
              <w:top w:w="85" w:type="dxa"/>
              <w:left w:w="90" w:type="dxa"/>
              <w:bottom w:w="85" w:type="dxa"/>
              <w:right w:w="90" w:type="dxa"/>
            </w:tcMar>
          </w:tcPr>
          <w:p>
            <w:pPr>
              <w:spacing w:after="0" w:line="240" w:lineRule="auto"/>
            </w:pPr>
            <w:r>
              <w:rPr>
                <w:sz w:val="20"/>
              </w:rPr>
              <w:t>Select 1,024 dimensions explicitly; the local default is 2,048. Requires its documented query/document formats and mean pooling.</w:t>
            </w:r>
          </w:p>
        </w:tc>
      </w:tr>
      <w:tr>
        <w:trPr>
          <w:cantSplit/>
        </w:trPr>
        <w:tc>
          <w:tcPr>
            <w:tcW w:type="dxa" w:w="2477"/>
            <w:vAlign w:val="center"/>
            <w:tcMar>
              <w:top w:w="85" w:type="dxa"/>
              <w:left w:w="90" w:type="dxa"/>
              <w:bottom w:w="85" w:type="dxa"/>
              <w:right w:w="90" w:type="dxa"/>
            </w:tcMar>
          </w:tcPr>
          <w:p>
            <w:pPr>
              <w:spacing w:after="0" w:line="240" w:lineRule="auto"/>
            </w:pPr>
            <w:r>
              <w:rPr>
                <w:sz w:val="20"/>
              </w:rPr>
              <w:t>CodeRankEmbed</w:t>
              <w:br/>
              <w:t>137M parameters</w:t>
              <w:br/>
              <w:t>768 dimensions</w:t>
              <w:br/>
              <w:t>MIT [5]</w:t>
            </w:r>
          </w:p>
        </w:tc>
        <w:tc>
          <w:tcPr>
            <w:tcW w:type="dxa" w:w="3629"/>
            <w:vAlign w:val="center"/>
            <w:tcMar>
              <w:top w:w="85" w:type="dxa"/>
              <w:left w:w="90" w:type="dxa"/>
              <w:bottom w:w="85" w:type="dxa"/>
              <w:right w:w="90" w:type="dxa"/>
            </w:tcMar>
          </w:tcPr>
          <w:p>
            <w:pPr>
              <w:spacing w:after="0" w:line="240" w:lineRule="auto"/>
            </w:pPr>
            <w:r>
              <w:rPr>
                <w:sz w:val="20"/>
              </w:rPr>
              <w:t>Small specialist for finding code from natural-language questions. May recover evidence missed by a general model.</w:t>
            </w:r>
          </w:p>
        </w:tc>
        <w:tc>
          <w:tcPr>
            <w:tcW w:type="dxa" w:w="3974"/>
            <w:vAlign w:val="center"/>
            <w:tcMar>
              <w:top w:w="85" w:type="dxa"/>
              <w:left w:w="90" w:type="dxa"/>
              <w:bottom w:w="85" w:type="dxa"/>
              <w:right w:w="90" w:type="dxa"/>
            </w:tcMar>
          </w:tcPr>
          <w:p>
            <w:pPr>
              <w:spacing w:after="0" w:line="240" w:lineRule="auto"/>
            </w:pPr>
            <w:r>
              <w:rPr>
                <w:sz w:val="20"/>
              </w:rPr>
              <w:t>Code focus makes it less suitable as the only encoder for all memory. A second channel adds indexing and evaluation work.</w:t>
            </w:r>
          </w:p>
        </w:tc>
      </w:tr>
    </w:tbl>
    <w:p>
      <w:pPr>
        <w:spacing w:before="160"/>
      </w:pPr>
      <w:r>
        <w:rPr>
          <w:b/>
        </w:rPr>
        <w:t>Later options:</w:t>
      </w:r>
      <w:r>
        <w:t xml:space="preserve"> BGE-M3 supports dense, learned sparse and multi-vector retrieval, with additional integration work. Contextual encoders such as pplx-embed-context may help document chunks, but broaden re-embedding dependencies. Larger Qwen or Nemotron models should follow only if measured gains justify their resource cost. [6–8]</w:t>
      </w:r>
    </w:p>
    <w:p>
      <w:r>
        <w:br w:type="page"/>
      </w:r>
    </w:p>
    <w:p>
      <w:pPr>
        <w:pStyle w:val="Heading1"/>
      </w:pPr>
      <w:r>
        <w:t>Implementation refinements</w:t>
      </w:r>
    </w:p>
    <w:p>
      <w:r>
        <w:t>Apply the following refinements within the existing plan. E01–E09 are addendum references, not replacements for the P-series steps. The provisional Qwen configuration enables Phase 9 implementation; Phase 12 supplies evidence for final selection.</w:t>
      </w:r>
    </w:p>
    <w:p>
      <w:pPr>
        <w:pStyle w:val="Heading2"/>
      </w:pPr>
      <w:r>
        <w:t>E01 Register the complete encoding profile</w:t>
      </w:r>
    </w:p>
    <w:p>
      <w:r>
        <w:rPr>
          <w:b/>
        </w:rPr>
        <w:t>P100.</w:t>
      </w:r>
      <w:r>
        <w:t xml:space="preserve"> Record model and tokenizer revisions, query/document formats, pooling, normalisation, dimensions, precision, metric, preprocessing and generation. A model or encoding change creates a new space or generation. Pass when incompatible spaces are rejected even if their dimensions match, and backfilling cannot activate a candidate.</w:t>
      </w:r>
    </w:p>
    <w:p>
      <w:pPr>
        <w:pStyle w:val="Heading2"/>
      </w:pPr>
      <w:r>
        <w:t>E02 Qualify the local provider adapter</w:t>
      </w:r>
    </w:p>
    <w:p>
      <w:r>
        <w:rPr>
          <w:b/>
        </w:rPr>
        <w:t>P102.</w:t>
      </w:r>
      <w:r>
        <w:t xml:space="preserve"> Implement the initial model through a typed, pinned local adapter. Respect dispatch budgets and usage accounting. Pass when live encoding returns finite vectors of the registered size and follows the documented conventions; invalid outputs, oversized inputs and unavailable local models fail explicitly without silent remote fallback.</w:t>
      </w:r>
    </w:p>
    <w:p>
      <w:pPr>
        <w:pStyle w:val="Heading2"/>
      </w:pPr>
      <w:r>
        <w:t>E03 Materialise faithful source chunks</w:t>
      </w:r>
    </w:p>
    <w:p>
      <w:r>
        <w:rPr>
          <w:b/>
        </w:rPr>
        <w:t>P099 and P103.</w:t>
      </w:r>
      <w:r>
        <w:t xml:space="preserve"> Use coherent functions, classes and document sections, retaining paths, qualified symbols, revisions and relevant context. Preserve idempotent jobs, worker fencing and deletion propagation. Pass when unchanged input creates no duplicate vectors, changed dependencies regenerate affected chunks, and stale workers or deleted sources cannot publish embeddings.</w:t>
      </w:r>
    </w:p>
    <w:p>
      <w:pPr>
        <w:pStyle w:val="Heading2"/>
      </w:pPr>
      <w:r>
        <w:t>E04 Establish exact and hybrid retrieval</w:t>
      </w:r>
    </w:p>
    <w:p>
      <w:r>
        <w:rPr>
          <w:b/>
        </w:rPr>
        <w:t>P104 and P105.</w:t>
      </w:r>
      <w:r>
        <w:t xml:space="preserve"> Implement exact filtered vector search before approximate nearest neighbour (ANN) indexing. Combine independent ranks from exact, full-text, vector and relationship channels using the planned reciprocal rank fusion. Pass when useful semantic and identifier matches are retrieved, while excluded evidence cannot re-enter through expansion, fusion or reranking. Do not average incompatible vectors or raw scores.</w:t>
      </w:r>
    </w:p>
    <w:p>
      <w:pPr>
        <w:pStyle w:val="Heading2"/>
      </w:pPr>
      <w:r>
        <w:t>E05 Compare models under fixed conditions</w:t>
      </w:r>
    </w:p>
    <w:p>
      <w:r>
        <w:rPr>
          <w:b/>
        </w:rPr>
        <w:t>P129 to P131.</w:t>
      </w:r>
      <w:r>
        <w:t xml:space="preserve"> Benchmark the four general candidates on the same corpus snapshots, queries and resource ceilings. Keep CodeRankEmbed and a bounded reranker as optional ablations. Pass when retrieval metrics, resource measurements and outcomes for the exact returned patches are reproducible, with chronological visibility and held-out repositories or task families preserved.</w:t>
      </w:r>
    </w:p>
    <w:p>
      <w:pPr>
        <w:pStyle w:val="Heading2"/>
      </w:pPr>
      <w:r>
        <w:t>E06 Qualify the index and release profile</w:t>
      </w:r>
    </w:p>
    <w:p>
      <w:r>
        <w:rPr>
          <w:b/>
        </w:rPr>
        <w:t>P109, P100 and P133.</w:t>
      </w:r>
      <w:r>
        <w:t xml:space="preserve"> Compare ANN with exact search using the same embeddings, including restrictive filters and bounded fallback. Evaluate the combined model, dimensions, precision, index and fusion policy before activation. Pass when a new profile can be activated and rolled back atomically without mixing spaces or weakening visibility, deletion or chronology requirements.</w:t>
      </w:r>
    </w:p>
    <w:p>
      <w:r>
        <w:rPr>
          <w:b/>
        </w:rPr>
        <w:t>Shared boundary:</w:t>
      </w:r>
      <w:r>
        <w:t xml:space="preserve"> Every channel must enforce the existing scope, applicability, lifecycle and budget rules. Context added to a chunk must stay within the same visibility boundary. Embedding similarity never overrides these rules.</w:t>
      </w:r>
    </w:p>
    <w:p>
      <w:r>
        <w:br w:type="page"/>
      </w:r>
    </w:p>
    <w:p>
      <w:pPr>
        <w:pStyle w:val="Heading1"/>
      </w:pPr>
      <w:r>
        <w:t>An internal semantic reference frame</w:t>
      </w:r>
    </w:p>
    <w:p>
      <w:r>
        <w:t>Define a system-owned representation of the concepts, relationships and conditions that matter to the agent. Its records should state exactly what is asserted within a declared schema and retain the original evidence. Derived vectors can then support matching and generalisation. Dense similarity alone does not guarantee logical equivalence; recent research finds weaknesses on logic-sensitive relational distinctions. [12]</w:t>
      </w:r>
    </w:p>
    <w:p>
      <w:pPr>
        <w:pStyle w:val="Heading2"/>
      </w:pPr>
      <w:r>
        <w:t>E07 Define explicit meaning and transparent coordinates</w:t>
      </w:r>
    </w:p>
    <w:p>
      <w:r>
        <w:t>Extend P085–P088 and P099 with stable entity and concept IDs, argument roles, typed relations, polarity, modality, conditions and explicit unknown values. A proposed extraction remains subject to admission and evidence checks. Start with a small vocabulary for project facts, constraints and procedures; preserve unsupported content in its original form.</w:t>
      </w:r>
    </w:p>
    <w:p>
      <w:pPr>
        <w:spacing w:after="100"/>
      </w:pPr>
      <w:r>
        <w:rPr>
          <w:sz w:val="21"/>
        </w:rPr>
        <w:t>For example, “Response caching must be disabled in production” can carry the following inspectable fields. This is an illustrative record, not an established project requirement.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tblHeader/>
          <w:cantSplit/>
        </w:trPr>
        <w:tc>
          <w:tcPr>
            <w:tcW w:type="dxa" w:w="2880"/>
            <w:shd w:fill="E7EEF4"/>
            <w:vAlign w:val="center"/>
            <w:tcMar>
              <w:top w:w="70" w:type="dxa"/>
              <w:left w:w="90" w:type="dxa"/>
              <w:bottom w:w="70" w:type="dxa"/>
              <w:right w:w="90" w:type="dxa"/>
            </w:tcMar>
          </w:tcPr>
          <w:p>
            <w:pPr>
              <w:spacing w:after="0" w:line="240" w:lineRule="auto"/>
            </w:pPr>
            <w:r>
              <w:rPr>
                <w:b/>
                <w:sz w:val="20"/>
              </w:rPr>
              <w:t>Field</w:t>
            </w:r>
          </w:p>
        </w:tc>
        <w:tc>
          <w:tcPr>
            <w:tcW w:type="dxa" w:w="7200"/>
            <w:shd w:fill="E7EEF4"/>
            <w:vAlign w:val="center"/>
            <w:tcMar>
              <w:top w:w="70" w:type="dxa"/>
              <w:left w:w="90" w:type="dxa"/>
              <w:bottom w:w="70" w:type="dxa"/>
              <w:right w:w="90" w:type="dxa"/>
            </w:tcMar>
          </w:tcPr>
          <w:p>
            <w:pPr>
              <w:spacing w:after="0" w:line="240" w:lineRule="auto"/>
            </w:pPr>
            <w:r>
              <w:rPr>
                <w:b/>
                <w:sz w:val="20"/>
              </w:rPr>
              <w:t>Illustrative value</w:t>
            </w:r>
          </w:p>
        </w:tc>
      </w:tr>
      <w:tr>
        <w:trPr>
          <w:cantSplit/>
        </w:trPr>
        <w:tc>
          <w:tcPr>
            <w:tcW w:type="dxa" w:w="2880"/>
            <w:vAlign w:val="center"/>
            <w:tcMar>
              <w:top w:w="70" w:type="dxa"/>
              <w:left w:w="90" w:type="dxa"/>
              <w:bottom w:w="70" w:type="dxa"/>
              <w:right w:w="90" w:type="dxa"/>
            </w:tcMar>
          </w:tcPr>
          <w:p>
            <w:pPr>
              <w:spacing w:after="0" w:line="240" w:lineRule="auto"/>
            </w:pPr>
            <w:r>
              <w:rPr>
                <w:sz w:val="20"/>
              </w:rPr>
              <w:t>Kind and target</w:t>
            </w:r>
          </w:p>
        </w:tc>
        <w:tc>
          <w:tcPr>
            <w:tcW w:type="dxa" w:w="7200"/>
            <w:vAlign w:val="center"/>
            <w:tcMar>
              <w:top w:w="70" w:type="dxa"/>
              <w:left w:w="90" w:type="dxa"/>
              <w:bottom w:w="70" w:type="dxa"/>
              <w:right w:w="90" w:type="dxa"/>
            </w:tcMar>
          </w:tcPr>
          <w:p>
            <w:pPr>
              <w:spacing w:after="0" w:line="240" w:lineRule="auto"/>
            </w:pPr>
            <w:r>
              <w:rPr>
                <w:sz w:val="20"/>
              </w:rPr>
              <w:t>configuration_requirement; response_cache</w:t>
            </w:r>
          </w:p>
        </w:tc>
      </w:tr>
      <w:tr>
        <w:trPr>
          <w:cantSplit/>
        </w:trPr>
        <w:tc>
          <w:tcPr>
            <w:tcW w:type="dxa" w:w="2880"/>
            <w:vAlign w:val="center"/>
            <w:tcMar>
              <w:top w:w="70" w:type="dxa"/>
              <w:left w:w="90" w:type="dxa"/>
              <w:bottom w:w="70" w:type="dxa"/>
              <w:right w:w="90" w:type="dxa"/>
            </w:tcMar>
          </w:tcPr>
          <w:p>
            <w:pPr>
              <w:spacing w:after="0" w:line="240" w:lineRule="auto"/>
            </w:pPr>
            <w:r>
              <w:rPr>
                <w:sz w:val="20"/>
              </w:rPr>
              <w:t>Property and value</w:t>
            </w:r>
          </w:p>
        </w:tc>
        <w:tc>
          <w:tcPr>
            <w:tcW w:type="dxa" w:w="7200"/>
            <w:vAlign w:val="center"/>
            <w:tcMar>
              <w:top w:w="70" w:type="dxa"/>
              <w:left w:w="90" w:type="dxa"/>
              <w:bottom w:w="70" w:type="dxa"/>
              <w:right w:w="90" w:type="dxa"/>
            </w:tcMar>
          </w:tcPr>
          <w:p>
            <w:pPr>
              <w:spacing w:after="0" w:line="240" w:lineRule="auto"/>
            </w:pPr>
            <w:r>
              <w:rPr>
                <w:sz w:val="20"/>
              </w:rPr>
              <w:t>enabled = false; modality = must</w:t>
            </w:r>
          </w:p>
        </w:tc>
      </w:tr>
      <w:tr>
        <w:trPr>
          <w:cantSplit/>
        </w:trPr>
        <w:tc>
          <w:tcPr>
            <w:tcW w:type="dxa" w:w="2880"/>
            <w:vAlign w:val="center"/>
            <w:tcMar>
              <w:top w:w="70" w:type="dxa"/>
              <w:left w:w="90" w:type="dxa"/>
              <w:bottom w:w="70" w:type="dxa"/>
              <w:right w:w="90" w:type="dxa"/>
            </w:tcMar>
          </w:tcPr>
          <w:p>
            <w:pPr>
              <w:spacing w:after="0" w:line="240" w:lineRule="auto"/>
            </w:pPr>
            <w:r>
              <w:rPr>
                <w:sz w:val="20"/>
              </w:rPr>
              <w:t>Condition</w:t>
            </w:r>
          </w:p>
        </w:tc>
        <w:tc>
          <w:tcPr>
            <w:tcW w:type="dxa" w:w="7200"/>
            <w:vAlign w:val="center"/>
            <w:tcMar>
              <w:top w:w="70" w:type="dxa"/>
              <w:left w:w="90" w:type="dxa"/>
              <w:bottom w:w="70" w:type="dxa"/>
              <w:right w:w="90" w:type="dxa"/>
            </w:tcMar>
          </w:tcPr>
          <w:p>
            <w:pPr>
              <w:spacing w:after="0" w:line="240" w:lineRule="auto"/>
            </w:pPr>
            <w:r>
              <w:rPr>
                <w:sz w:val="20"/>
              </w:rPr>
              <w:t>environment = production</w:t>
            </w:r>
          </w:p>
        </w:tc>
      </w:tr>
      <w:tr>
        <w:trPr>
          <w:cantSplit/>
        </w:trPr>
        <w:tc>
          <w:tcPr>
            <w:tcW w:type="dxa" w:w="2880"/>
            <w:vAlign w:val="center"/>
            <w:tcMar>
              <w:top w:w="70" w:type="dxa"/>
              <w:left w:w="90" w:type="dxa"/>
              <w:bottom w:w="70" w:type="dxa"/>
              <w:right w:w="90" w:type="dxa"/>
            </w:tcMar>
          </w:tcPr>
          <w:p>
            <w:pPr>
              <w:spacing w:after="0" w:line="240" w:lineRule="auto"/>
            </w:pPr>
            <w:r>
              <w:rPr>
                <w:sz w:val="20"/>
              </w:rPr>
              <w:t>Scope and evidence</w:t>
            </w:r>
          </w:p>
        </w:tc>
        <w:tc>
          <w:tcPr>
            <w:tcW w:type="dxa" w:w="7200"/>
            <w:vAlign w:val="center"/>
            <w:tcMar>
              <w:top w:w="70" w:type="dxa"/>
              <w:left w:w="90" w:type="dxa"/>
              <w:bottom w:w="70" w:type="dxa"/>
              <w:right w:w="90" w:type="dxa"/>
            </w:tcMar>
          </w:tcPr>
          <w:p>
            <w:pPr>
              <w:spacing w:after="0" w:line="240" w:lineRule="auto"/>
            </w:pPr>
            <w:r>
              <w:rPr>
                <w:sz w:val="20"/>
              </w:rPr>
              <w:t>Repository/revision scope; originating source reference</w:t>
            </w:r>
          </w:p>
        </w:tc>
      </w:tr>
    </w:tbl>
    <w:p>
      <w:pPr>
        <w:spacing w:before="140"/>
      </w:pPr>
      <w:r>
        <w:t>Generate role-qualified sparse or categorical features from these fields, with a versioned coordinate dictionary under P100. Preserve relation bindings and use explicit predicates for conditions. Pass when supported fields round-trip without loss, missing values remain unknown, and reversed roles or changed conditions remain distinguishable.</w:t>
      </w:r>
    </w:p>
    <w:p>
      <w:pPr>
        <w:pStyle w:val="Heading2"/>
      </w:pPr>
      <w:r>
        <w:t>E08 Define what similarity should achieve</w:t>
      </w:r>
    </w:p>
    <w:p>
      <w:r>
        <w:t>Under P095, P104 and P105, distinguish equivalent meaning, applicable precedent and contradictory evidence. A production prohibition may be highly relevant to a conflict search while failing to support an action. Use purpose-specific ranking and the existing eligibility boundary; proximity alone never establishes support, truth or permission. [10]</w:t>
      </w:r>
    </w:p>
    <w:p>
      <w:pPr>
        <w:pStyle w:val="Heading2"/>
      </w:pPr>
      <w:r>
        <w:t>E09 Learn and qualify a specialised space</w:t>
      </w:r>
    </w:p>
    <w:p>
      <w:r>
        <w:t>Extend P149–P150 with an optional projection over frozen embeddings plus structured features, then encoder fine-tuning if needed. Train on verified query/item pairs and confusing but genuinely irrelevant examples; retain general-retrieval coverage. A projection cannot recover information absent from its inputs. Keep schema, dictionary, projection and training-data revisions in the space identity. [10–11]</w:t>
      </w:r>
    </w:p>
    <w:p>
      <w:r>
        <w:t>Under P129–P131 and P133, compare the general baseline, structured-feature channel and learned space. Test paraphrases plus minimal changes in negation, argument roles, version and conditions on held-out data. Pass when applicability gates remain intact and the added channel improves retrieval or exact-patch outcomes within budget. Include extraction errors, unknown concepts and rollback in qualification.</w:t>
      </w:r>
    </w:p>
    <w:p>
      <w:r>
        <w:br w:type="page"/>
      </w:r>
    </w:p>
    <w:p>
      <w:pPr>
        <w:pStyle w:val="Heading1"/>
      </w:pPr>
      <w:r>
        <w:t>Evaluation and deployment decisions</w:t>
      </w:r>
    </w:p>
    <w:p>
      <w:r>
        <w:t>Evaluate code behaviour, symbols and errors, documentation, prior outcomes and reusable procedures. Freeze relevance judgments and chronological source availability before comparing models. Include an exact/lexical baseline and an exact-vector baseline so embedding weaknesses can be separated from ANN losses.</w:t>
      </w:r>
    </w:p>
    <w:p>
      <w:r>
        <w:t>Record Recall@k and nDCG@k at fixed depths, median and p95 query latency, indexing throughput, peak RAM/VRAM, vector/index size and downstream patch acceptance. Use the same tasks and resource ceilings for each configuration. Account for embedding contention with coding models, rather than assessing an otherwise idle machine only.</w:t>
      </w:r>
    </w:p>
    <w:p>
      <w:r>
        <w:rPr>
          <w:b/>
        </w:rPr>
        <w:t>Release criterion:</w:t>
      </w:r>
      <w:r>
        <w:t xml:space="preserve"> Choose the smallest configuration that meets agreed retrieval and runtime targets and passes all existing correctness gates. Record the measurements, chosen profile and remaining limitations. Vendor benchmarks inform the shortlist; they do not establish the best model for this system.</w:t>
      </w:r>
    </w:p>
    <w:p>
      <w:pPr>
        <w:pStyle w:val="Heading1"/>
      </w:pPr>
      <w:r>
        <w:t>Local deployment requirements</w:t>
      </w:r>
    </w:p>
    <w:p>
      <w:r>
        <w:t>Keep pinned model artifacts in the project models/ directory and exclude weights from Git. Download approved artifacts during setup, then run indexing and queries locally. Start with the documented reference implementation and require encoding parity before changing serving backends. Schedule background indexing to respect the coding workload.</w:t>
      </w:r>
    </w:p>
    <w:p>
      <w:r>
        <w:t>Use 1,024-dimensional outputs for the initial Qwen and Voyage configurations. Current pgvector ANN limits are 2,000 dimensions for vector and 4,000 for halfvec; these are index limits, not general storage limits. A 4,096-dimensional output needs supported shortening or another indexing strategy. Validate against the extension version pinned by the implementation plan. [9]</w:t>
      </w:r>
    </w:p>
    <w:p>
      <w:r>
        <w:t>Treat model-weight quantisation, output-vector quantisation and dimension reduction as separate choices. Re-evaluate quality and resource use after each change; fewer parameters or smaller weights alone do not establish peak memory or end-to-end latency.</w:t>
      </w:r>
    </w:p>
    <w:p>
      <w:pPr>
        <w:pStyle w:val="Heading1"/>
      </w:pPr>
      <w:r>
        <w:t>Sources</w:t>
      </w:r>
    </w:p>
    <w:p>
      <w:pPr>
        <w:spacing w:after="100"/>
      </w:pPr>
      <w:r>
        <w:rPr>
          <w:sz w:val="19"/>
        </w:rPr>
        <w:t>Primary documentation and research reviewed on 21 October 2026. Specifications and licences apply to the named releases; pin the selected revision. Cross-references use Implementation Plan 1.0, Phases 8, 9, 12 and 15. E07–E09 are proposed extensions.</w:t>
      </w:r>
    </w:p>
    <w:p>
      <w:pPr>
        <w:spacing w:after="80"/>
      </w:pPr>
      <w:r>
        <w:rPr>
          <w:sz w:val="19"/>
        </w:rPr>
        <w:t xml:space="preserve">[1] </w:t>
      </w:r>
      <w:hyperlink r:id="rId10">
        <w:r>
          <w:rPr>
            <w:color w:val="174B73"/>
            <w:u w:val="single"/>
            <w:sz w:val="19"/>
          </w:rPr>
          <w:t>Qwen3-Embedding-0.6B model card</w:t>
        </w:r>
      </w:hyperlink>
    </w:p>
    <w:p>
      <w:pPr>
        <w:spacing w:after="80"/>
      </w:pPr>
      <w:r>
        <w:rPr>
          <w:sz w:val="19"/>
        </w:rPr>
        <w:t xml:space="preserve">[2] </w:t>
      </w:r>
      <w:hyperlink r:id="rId11">
        <w:r>
          <w:rPr>
            <w:color w:val="174B73"/>
            <w:u w:val="single"/>
            <w:sz w:val="19"/>
          </w:rPr>
          <w:t>EmbeddingGemma 2 model card and deployment guidance</w:t>
        </w:r>
      </w:hyperlink>
    </w:p>
    <w:p>
      <w:pPr>
        <w:spacing w:after="80"/>
      </w:pPr>
      <w:r>
        <w:rPr>
          <w:sz w:val="19"/>
        </w:rPr>
        <w:t xml:space="preserve">[3] </w:t>
      </w:r>
      <w:hyperlink r:id="rId12">
        <w:r>
          <w:rPr>
            <w:color w:val="174B73"/>
            <w:u w:val="single"/>
            <w:sz w:val="19"/>
          </w:rPr>
          <w:t>Harrier OSS v1 0.6B model card</w:t>
        </w:r>
      </w:hyperlink>
    </w:p>
    <w:p>
      <w:pPr>
        <w:spacing w:after="80"/>
      </w:pPr>
      <w:r>
        <w:rPr>
          <w:sz w:val="19"/>
        </w:rPr>
        <w:t xml:space="preserve">[4] </w:t>
      </w:r>
      <w:hyperlink r:id="rId13">
        <w:r>
          <w:rPr>
            <w:color w:val="174B73"/>
            <w:u w:val="single"/>
            <w:sz w:val="19"/>
          </w:rPr>
          <w:t>Voyage 4 Nano model card</w:t>
        </w:r>
      </w:hyperlink>
    </w:p>
    <w:p>
      <w:pPr>
        <w:spacing w:after="80"/>
      </w:pPr>
      <w:r>
        <w:rPr>
          <w:sz w:val="19"/>
        </w:rPr>
        <w:t xml:space="preserve">[5] </w:t>
      </w:r>
      <w:hyperlink r:id="rId14">
        <w:r>
          <w:rPr>
            <w:color w:val="174B73"/>
            <w:u w:val="single"/>
            <w:sz w:val="19"/>
          </w:rPr>
          <w:t>CodeRankEmbed model card</w:t>
        </w:r>
      </w:hyperlink>
    </w:p>
    <w:p>
      <w:pPr>
        <w:spacing w:after="80"/>
      </w:pPr>
      <w:r>
        <w:rPr>
          <w:sz w:val="19"/>
        </w:rPr>
        <w:t xml:space="preserve">[6] </w:t>
      </w:r>
      <w:hyperlink r:id="rId15">
        <w:r>
          <w:rPr>
            <w:color w:val="174B73"/>
            <w:u w:val="single"/>
            <w:sz w:val="19"/>
          </w:rPr>
          <w:t>BGE-M3 model card</w:t>
        </w:r>
      </w:hyperlink>
    </w:p>
    <w:p>
      <w:pPr>
        <w:spacing w:after="80"/>
      </w:pPr>
      <w:r>
        <w:rPr>
          <w:sz w:val="19"/>
        </w:rPr>
        <w:t xml:space="preserve">[7] </w:t>
      </w:r>
      <w:hyperlink r:id="rId16">
        <w:r>
          <w:rPr>
            <w:color w:val="174B73"/>
            <w:u w:val="single"/>
            <w:sz w:val="19"/>
          </w:rPr>
          <w:t>pplx-embed-context-v1-0.6b model card</w:t>
        </w:r>
      </w:hyperlink>
    </w:p>
    <w:p>
      <w:pPr>
        <w:spacing w:after="80"/>
      </w:pPr>
      <w:r>
        <w:rPr>
          <w:sz w:val="19"/>
        </w:rPr>
        <w:t xml:space="preserve">[8] </w:t>
      </w:r>
      <w:hyperlink r:id="rId17">
        <w:r>
          <w:rPr>
            <w:color w:val="174B73"/>
            <w:u w:val="single"/>
            <w:sz w:val="19"/>
          </w:rPr>
          <w:t>Nemotron-3-Embed-1B-BF16 model card</w:t>
        </w:r>
      </w:hyperlink>
    </w:p>
    <w:p>
      <w:pPr>
        <w:spacing w:after="80"/>
      </w:pPr>
      <w:r>
        <w:rPr>
          <w:sz w:val="19"/>
        </w:rPr>
        <w:t xml:space="preserve">[9] </w:t>
      </w:r>
      <w:hyperlink r:id="rId18">
        <w:r>
          <w:rPr>
            <w:color w:val="174B73"/>
            <w:u w:val="single"/>
            <w:sz w:val="19"/>
          </w:rPr>
          <w:t>pgvector documentation</w:t>
        </w:r>
      </w:hyperlink>
    </w:p>
    <w:p>
      <w:pPr>
        <w:spacing w:after="80"/>
      </w:pPr>
      <w:r>
        <w:rPr>
          <w:sz w:val="19"/>
        </w:rPr>
        <w:t xml:space="preserve">[10] </w:t>
      </w:r>
      <w:hyperlink r:id="rId19">
        <w:r>
          <w:rPr>
            <w:color w:val="174B73"/>
            <w:u w:val="single"/>
            <w:sz w:val="19"/>
          </w:rPr>
          <w:t>Sentence Transformers training overview</w:t>
        </w:r>
      </w:hyperlink>
    </w:p>
    <w:p>
      <w:pPr>
        <w:spacing w:after="80"/>
      </w:pPr>
      <w:r>
        <w:rPr>
          <w:sz w:val="19"/>
        </w:rPr>
        <w:t xml:space="preserve">[11] </w:t>
      </w:r>
      <w:hyperlink r:id="rId20">
        <w:r>
          <w:rPr>
            <w:color w:val="174B73"/>
            <w:u w:val="single"/>
            <w:sz w:val="19"/>
          </w:rPr>
          <w:t>Sentence Transformers bi-encoder training and hard negatives</w:t>
        </w:r>
      </w:hyperlink>
    </w:p>
    <w:p>
      <w:pPr>
        <w:spacing w:after="80"/>
      </w:pPr>
      <w:r>
        <w:rPr>
          <w:sz w:val="19"/>
        </w:rPr>
        <w:t xml:space="preserve">[12] </w:t>
      </w:r>
      <w:hyperlink r:id="rId21">
        <w:r>
          <w:rPr>
            <w:color w:val="174B73"/>
            <w:u w:val="single"/>
            <w:sz w:val="19"/>
          </w:rPr>
          <w:t>Do General NLP Embeddings Capture Ontological Reasoning? (2026)</w:t>
        </w:r>
      </w:hyperlink>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Local embedding addendum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huggingface.co/Qwen/Qwen3-Embedding-0.6B" TargetMode="External"/><Relationship Id="rId11" Type="http://schemas.openxmlformats.org/officeDocument/2006/relationships/hyperlink" Target="https://huggingface.co/google/embeddinggemma-2" TargetMode="External"/><Relationship Id="rId12" Type="http://schemas.openxmlformats.org/officeDocument/2006/relationships/hyperlink" Target="https://huggingface.co/microsoft/harrier-oss-v1-0.6b" TargetMode="External"/><Relationship Id="rId13" Type="http://schemas.openxmlformats.org/officeDocument/2006/relationships/hyperlink" Target="https://huggingface.co/voyageai/voyage-4-nano" TargetMode="External"/><Relationship Id="rId14" Type="http://schemas.openxmlformats.org/officeDocument/2006/relationships/hyperlink" Target="https://huggingface.co/nomic-ai/CodeRankEmbed" TargetMode="External"/><Relationship Id="rId15" Type="http://schemas.openxmlformats.org/officeDocument/2006/relationships/hyperlink" Target="https://huggingface.co/BAAI/bge-m3" TargetMode="External"/><Relationship Id="rId16" Type="http://schemas.openxmlformats.org/officeDocument/2006/relationships/hyperlink" Target="https://huggingface.co/perplexity-ai/pplx-embed-context-v1-0.6b" TargetMode="External"/><Relationship Id="rId17" Type="http://schemas.openxmlformats.org/officeDocument/2006/relationships/hyperlink" Target="https://huggingface.co/nvidia/Nemotron-3-Embed-1B-BF16" TargetMode="External"/><Relationship Id="rId18" Type="http://schemas.openxmlformats.org/officeDocument/2006/relationships/hyperlink" Target="https://github.com/pgvector/pgvector" TargetMode="External"/><Relationship Id="rId19" Type="http://schemas.openxmlformats.org/officeDocument/2006/relationships/hyperlink" Target="https://sbert.net/docs/sentence_transformer/training_overview.html" TargetMode="External"/><Relationship Id="rId20" Type="http://schemas.openxmlformats.org/officeDocument/2006/relationships/hyperlink" Target="https://www.sbert.net/examples/sentence_transformer/training/ms_marco/README.html" TargetMode="External"/><Relationship Id="rId21" Type="http://schemas.openxmlformats.org/officeDocument/2006/relationships/hyperlink" Target="https://arxiv.org/abs/2609.001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Embeddings for Agent Memory</dc:title>
  <dc:subject>Addendum to the Multi Model Coding Agent Implementation Plan 1.0</dc:subject>
  <dc:creator/>
  <cp:keywords>local embeddings, agent memory, pgvector, implementation plan</cp:keywords>
  <dc:description/>
  <cp:lastModifiedBy/>
  <cp:revision>1</cp:revision>
  <dcterms:created xsi:type="dcterms:W3CDTF">2013-12-23T23:15:00Z</dcterms:created>
  <dcterms:modified xsi:type="dcterms:W3CDTF">2013-12-23T23:15:00Z</dcterms:modified>
  <cp:category/>
</cp:coreProperties>
</file>