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v0.18)</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opening or disarming home security, or turning off a security camera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2425"/>
        <w:gridCol w:w="4347"/>
        <w:gridCol w:w="2037"/>
      </w:tblGrid>
      <w:tr>
        <w:trPr>
          <w:tblHeader/>
        </w:trPr>
        <w:tc>
          <w:tcPr>
            <w:tcW w:type="dxa" w:w="55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347"/>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20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G1</w:t>
            </w:r>
          </w:p>
        </w:tc>
        <w:tc>
          <w:tcPr>
            <w:tcW w:type="dxa" w:w="242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347"/>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20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G2</w:t>
            </w:r>
          </w:p>
        </w:tc>
        <w:tc>
          <w:tcPr>
            <w:tcW w:type="dxa" w:w="2425"/>
            <w:tcMar>
              <w:top w:type="dxa" w:w="60"/>
              <w:left w:type="dxa" w:w="100"/>
              <w:bottom w:type="dxa" w:w="60"/>
              <w:right w:type="dxa" w:w="100"/>
            </w:tcMar>
          </w:tcPr>
          <w:p>
            <w:pPr>
              <w:spacing w:after="0" w:before="0" w:line="252"/>
            </w:pPr>
            <w:r>
              <w:rPr>
                <w:sz w:val="19"/>
                <w:szCs w:val="19"/>
              </w:rPr>
              <w:t xml:space="preserve">No spend surprises</w:t>
            </w:r>
          </w:p>
        </w:tc>
        <w:tc>
          <w:tcPr>
            <w:tcW w:type="dxa" w:w="4347"/>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20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G3</w:t>
            </w:r>
          </w:p>
        </w:tc>
        <w:tc>
          <w:tcPr>
            <w:tcW w:type="dxa" w:w="242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347"/>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20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G4</w:t>
            </w:r>
          </w:p>
        </w:tc>
        <w:tc>
          <w:tcPr>
            <w:tcW w:type="dxa" w:w="2425"/>
            <w:tcMar>
              <w:top w:type="dxa" w:w="60"/>
              <w:left w:type="dxa" w:w="100"/>
              <w:bottom w:type="dxa" w:w="60"/>
              <w:right w:type="dxa" w:w="100"/>
            </w:tcMar>
          </w:tcPr>
          <w:p>
            <w:pPr>
              <w:spacing w:after="0" w:before="0" w:line="252"/>
            </w:pPr>
            <w:r>
              <w:rPr>
                <w:sz w:val="19"/>
                <w:szCs w:val="19"/>
              </w:rPr>
              <w:t xml:space="preserve">Trustworthy output</w:t>
            </w:r>
          </w:p>
        </w:tc>
        <w:tc>
          <w:tcPr>
            <w:tcW w:type="dxa" w:w="4347"/>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20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G5</w:t>
            </w:r>
          </w:p>
        </w:tc>
        <w:tc>
          <w:tcPr>
            <w:tcW w:type="dxa" w:w="242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347"/>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20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G6</w:t>
            </w:r>
          </w:p>
        </w:tc>
        <w:tc>
          <w:tcPr>
            <w:tcW w:type="dxa" w:w="2425"/>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347"/>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2037"/>
            <w:tcMar>
              <w:top w:type="dxa" w:w="60"/>
              <w:left w:type="dxa" w:w="100"/>
              <w:bottom w:type="dxa" w:w="60"/>
              <w:right w:type="dxa" w:w="100"/>
            </w:tcMar>
          </w:tcPr>
          <w:p>
            <w:pPr>
              <w:spacing w:after="0" w:before="0" w:line="252"/>
            </w:pPr>
            <w:r>
              <w:rPr>
                <w:sz w:val="19"/>
                <w:szCs w:val="19"/>
              </w:rPr>
              <w:t xml:space="preserve">≥30% lower (design partners validate the threshold)</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High-impact actions (RUN‑04) are always approved one at a time. A batch may change at most 10 records in total; larger sets are split or approved one at a time.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opening or disarming home security, or turning off a security camera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Payment, banking and remit-to details, and a contact’s own address, phone or identity fields, are never eligible.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unlocks, opens or disarms a home security device, or turns off a security camera (PAY‑08),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An approval to unlock, open, disarm or turn off a camera executes immediately; if it can’t, it lapses and the person approves again, with the biometric and presence checks.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266"/>
        <w:gridCol w:w="3984"/>
      </w:tblGrid>
      <w:tr>
        <w:trPr>
          <w:tblHeader/>
        </w:trPr>
        <w:tc>
          <w:tcPr>
            <w:tcW w:type="dxa" w:w="2110"/>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4"/>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Rule-override request</w:t>
            </w:r>
          </w:p>
        </w:tc>
        <w:tc>
          <w:tcPr>
            <w:tcW w:type="dxa" w:w="326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4"/>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4"/>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4"/>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Tool-description poisoning</w:t>
            </w:r>
          </w:p>
        </w:tc>
        <w:tc>
          <w:tcPr>
            <w:tcW w:type="dxa" w:w="326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4"/>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Persistent injection</w:t>
            </w:r>
          </w:p>
        </w:tc>
        <w:tc>
          <w:tcPr>
            <w:tcW w:type="dxa" w:w="326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4"/>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4"/>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4"/>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Best-of-N probing</w:t>
            </w:r>
          </w:p>
        </w:tc>
        <w:tc>
          <w:tcPr>
            <w:tcW w:type="dxa" w:w="326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4"/>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Mandate abuse</w:t>
            </w:r>
          </w:p>
        </w:tc>
        <w:tc>
          <w:tcPr>
            <w:tcW w:type="dxa" w:w="326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4"/>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shared assignment</w:t>
            </w:r>
          </w:p>
        </w:tc>
        <w:tc>
          <w:tcPr>
            <w:tcW w:type="dxa" w:w="326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4"/>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4"/>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Approver without authority</w:t>
            </w:r>
          </w:p>
        </w:tc>
        <w:tc>
          <w:tcPr>
            <w:tcW w:type="dxa" w:w="326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84"/>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Token theft</w:t>
            </w:r>
          </w:p>
        </w:tc>
        <w:tc>
          <w:tcPr>
            <w:tcW w:type="dxa" w:w="326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4"/>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Agent impersonation</w:t>
            </w:r>
          </w:p>
        </w:tc>
        <w:tc>
          <w:tcPr>
            <w:tcW w:type="dxa" w:w="326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4"/>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Signing-key theft</w:t>
            </w:r>
          </w:p>
        </w:tc>
        <w:tc>
          <w:tcPr>
            <w:tcW w:type="dxa" w:w="326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4"/>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4"/>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Cross-tenant leakage</w:t>
            </w:r>
          </w:p>
        </w:tc>
        <w:tc>
          <w:tcPr>
            <w:tcW w:type="dxa" w:w="326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4"/>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custom connector</w:t>
            </w:r>
          </w:p>
        </w:tc>
        <w:tc>
          <w:tcPr>
            <w:tcW w:type="dxa" w:w="3266"/>
            <w:tcMar>
              <w:top w:type="dxa" w:w="60"/>
              <w:left w:type="dxa" w:w="100"/>
              <w:bottom w:type="dxa" w:w="60"/>
              <w:right w:type="dxa" w:w="100"/>
            </w:tcMar>
          </w:tcPr>
          <w:p>
            <w:pPr>
              <w:spacing w:after="0" w:before="0" w:line="252"/>
            </w:pPr>
            <w:r>
              <w:rPr>
                <w:sz w:val="19"/>
                <w:szCs w:val="19"/>
              </w:rPr>
              <w:t xml:space="preserve">A connector exfiltrates data</w:t>
            </w:r>
          </w:p>
        </w:tc>
        <w:tc>
          <w:tcPr>
            <w:tcW w:type="dxa" w:w="3984"/>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Runaway cost</w:t>
            </w:r>
          </w:p>
        </w:tc>
        <w:tc>
          <w:tcPr>
            <w:tcW w:type="dxa" w:w="3266"/>
            <w:tcMar>
              <w:top w:type="dxa" w:w="60"/>
              <w:left w:type="dxa" w:w="100"/>
              <w:bottom w:type="dxa" w:w="60"/>
              <w:right w:type="dxa" w:w="100"/>
            </w:tcMar>
          </w:tcPr>
          <w:p>
            <w:pPr>
              <w:spacing w:after="0" w:before="0" w:line="252"/>
            </w:pPr>
            <w:r>
              <w:rPr>
                <w:sz w:val="19"/>
                <w:szCs w:val="19"/>
              </w:rPr>
              <w:t xml:space="preserve">A loop burns through tokens</w:t>
            </w:r>
          </w:p>
        </w:tc>
        <w:tc>
          <w:tcPr>
            <w:tcW w:type="dxa" w:w="3984"/>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Spoofed requester</w:t>
            </w:r>
          </w:p>
        </w:tc>
        <w:tc>
          <w:tcPr>
            <w:tcW w:type="dxa" w:w="3266"/>
            <w:tcMar>
              <w:top w:type="dxa" w:w="60"/>
              <w:left w:type="dxa" w:w="100"/>
              <w:bottom w:type="dxa" w:w="60"/>
              <w:right w:type="dxa" w:w="100"/>
            </w:tcMar>
          </w:tcPr>
          <w:p>
            <w:pPr>
              <w:spacing w:after="0" w:before="0" w:line="252"/>
            </w:pPr>
            <w:r>
              <w:rPr>
                <w:sz w:val="19"/>
                <w:szCs w:val="19"/>
              </w:rPr>
              <w:t xml:space="preserve">A fake email from "the boss"</w:t>
            </w:r>
          </w:p>
        </w:tc>
        <w:tc>
          <w:tcPr>
            <w:tcW w:type="dxa" w:w="3984"/>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Compromised partner mailbox</w:t>
            </w:r>
          </w:p>
        </w:tc>
        <w:tc>
          <w:tcPr>
            <w:tcW w:type="dxa" w:w="3266"/>
            <w:tcMar>
              <w:top w:type="dxa" w:w="60"/>
              <w:left w:type="dxa" w:w="100"/>
              <w:bottom w:type="dxa" w:w="60"/>
              <w:right w:type="dxa" w:w="100"/>
            </w:tcMar>
          </w:tcPr>
          <w:p>
            <w:pPr>
              <w:spacing w:after="0" w:before="0" w:line="252"/>
            </w:pPr>
            <w:r>
              <w:rPr>
                <w:sz w:val="19"/>
                <w:szCs w:val="19"/>
              </w:rPr>
              <w:t xml:space="preserve">A real vendor account, passing DMARC, asks to change payment or contact details</w:t>
            </w:r>
          </w:p>
        </w:tc>
        <w:tc>
          <w:tcPr>
            <w:tcW w:type="dxa" w:w="3984"/>
            <w:tcMar>
              <w:top w:type="dxa" w:w="60"/>
              <w:left w:type="dxa" w:w="100"/>
              <w:bottom w:type="dxa" w:w="60"/>
              <w:right w:type="dxa" w:w="100"/>
            </w:tcMar>
          </w:tcPr>
          <w:p>
            <w:pPr>
              <w:spacing w:after="0" w:before="0" w:line="252"/>
            </w:pPr>
            <w:r>
              <w:rPr>
                <w:sz w:val="19"/>
                <w:szCs w:val="19"/>
              </w:rPr>
              <w:t xml:space="preserve">Those fields are never mandate-eligible (ASG‑16); named contacts, tight bounds, tested recovery only.</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Unsafe physical action</w:t>
            </w:r>
          </w:p>
        </w:tc>
        <w:tc>
          <w:tcPr>
            <w:tcW w:type="dxa" w:w="326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4"/>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5"/>
        <w:gridCol w:w="2222"/>
        <w:gridCol w:w="1743"/>
        <w:gridCol w:w="1362"/>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3"/>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5"/>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3"/>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5"/>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3"/>
            <w:tcMar>
              <w:top w:type="dxa" w:w="60"/>
              <w:left w:type="dxa" w:w="100"/>
              <w:bottom w:type="dxa" w:w="60"/>
              <w:right w:type="dxa" w:w="100"/>
            </w:tcMar>
          </w:tcPr>
          <w:p>
            <w:pPr>
              <w:spacing w:after="0" w:before="0" w:line="252"/>
            </w:pPr>
            <w:r>
              <w:rPr>
                <w:sz w:val="19"/>
                <w:szCs w:val="19"/>
              </w:rPr>
              <w:t xml:space="preserve">Consumer catalog</w:t>
            </w:r>
          </w:p>
        </w:tc>
        <w:tc>
          <w:tcPr>
            <w:tcW w:type="dxa" w:w="136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5"/>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 an optional ASG‑16 pilot with ASG‑24’s controls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5"/>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3"/>
            <w:tcMar>
              <w:top w:type="dxa" w:w="60"/>
              <w:left w:type="dxa" w:w="100"/>
              <w:bottom w:type="dxa" w:w="60"/>
              <w:right w:type="dxa" w:w="100"/>
            </w:tcMar>
          </w:tcPr>
          <w:p>
            <w:pPr>
              <w:spacing w:after="0" w:before="0" w:line="252"/>
            </w:pPr>
            <w:r>
              <w:rPr>
                <w:sz w:val="19"/>
                <w:szCs w:val="19"/>
              </w:rPr>
              <w:t xml:space="preserve">Account cap</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5"/>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5"/>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3"/>
            <w:tcMar>
              <w:top w:type="dxa" w:w="60"/>
              <w:left w:type="dxa" w:w="100"/>
              <w:bottom w:type="dxa" w:w="60"/>
              <w:right w:type="dxa" w:w="100"/>
            </w:tcMar>
          </w:tcPr>
          <w:p>
            <w:pPr>
              <w:spacing w:after="0" w:before="0" w:line="252"/>
            </w:pPr>
            <w:r>
              <w:rPr>
                <w:sz w:val="19"/>
                <w:szCs w:val="19"/>
              </w:rPr>
              <w:t xml:space="preserve">SCH‑04–06</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5"/>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3"/>
            <w:tcMar>
              <w:top w:type="dxa" w:w="60"/>
              <w:left w:type="dxa" w:w="100"/>
              <w:bottom w:type="dxa" w:w="60"/>
              <w:right w:type="dxa" w:w="100"/>
            </w:tcMar>
          </w:tcPr>
          <w:p>
            <w:pPr>
              <w:spacing w:after="0" w:before="0" w:line="252"/>
            </w:pPr>
            <w:r>
              <w:rPr>
                <w:sz w:val="19"/>
                <w:szCs w:val="19"/>
              </w:rPr>
              <w:t xml:space="preserve">QA‑07</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5"/>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3"/>
            <w:tcMar>
              <w:top w:type="dxa" w:w="60"/>
              <w:left w:type="dxa" w:w="100"/>
              <w:bottom w:type="dxa" w:w="60"/>
              <w:right w:type="dxa" w:w="100"/>
            </w:tcMar>
          </w:tcPr>
          <w:p>
            <w:pPr>
              <w:spacing w:after="0" w:before="0" w:line="252"/>
            </w:pPr>
            <w:r>
              <w:rPr>
                <w:sz w:val="19"/>
                <w:szCs w:val="19"/>
              </w:rPr>
              <w:t xml:space="preserve">Consumer sign-in</w:t>
            </w:r>
          </w:p>
        </w:tc>
        <w:tc>
          <w:tcPr>
            <w:tcW w:type="dxa" w:w="136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3"/>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5"/>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3"/>
            <w:tcMar>
              <w:top w:type="dxa" w:w="60"/>
              <w:left w:type="dxa" w:w="100"/>
              <w:bottom w:type="dxa" w:w="60"/>
              <w:right w:type="dxa" w:w="100"/>
            </w:tcMar>
          </w:tcPr>
          <w:p>
            <w:pPr>
              <w:spacing w:after="0" w:before="0" w:line="252"/>
            </w:pPr>
            <w:r>
              <w:rPr>
                <w:sz w:val="19"/>
                <w:szCs w:val="19"/>
              </w:rPr>
              <w:t xml:space="preserve">SEC‑06</w:t>
            </w:r>
          </w:p>
        </w:tc>
        <w:tc>
          <w:tcPr>
            <w:tcW w:type="dxa" w:w="1362"/>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5"/>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3"/>
            <w:tcMar>
              <w:top w:type="dxa" w:w="60"/>
              <w:left w:type="dxa" w:w="100"/>
              <w:bottom w:type="dxa" w:w="60"/>
              <w:right w:type="dxa" w:w="100"/>
            </w:tcMar>
          </w:tcPr>
          <w:p>
            <w:pPr>
              <w:spacing w:after="0" w:before="0" w:line="252"/>
            </w:pPr>
            <w:r>
              <w:rPr>
                <w:sz w:val="19"/>
                <w:szCs w:val="19"/>
              </w:rPr>
              <w:t xml:space="preserve">Home scale</w:t>
            </w:r>
          </w:p>
        </w:tc>
        <w:tc>
          <w:tcPr>
            <w:tcW w:type="dxa" w:w="136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1418"/>
        <w:gridCol w:w="2323"/>
        <w:gridCol w:w="2707"/>
      </w:tblGrid>
      <w:tr>
        <w:trPr>
          <w:tblHeader/>
        </w:trPr>
        <w:tc>
          <w:tcPr>
            <w:tcW w:type="dxa" w:w="291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418"/>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323"/>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07"/>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35%</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60%</w:t>
            </w:r>
          </w:p>
        </w:tc>
        <w:tc>
          <w:tcPr>
            <w:tcW w:type="dxa" w:w="2707"/>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07"/>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07"/>
            <w:tcMar>
              <w:top w:type="dxa" w:w="60"/>
              <w:left w:type="dxa" w:w="100"/>
              <w:bottom w:type="dxa" w:w="60"/>
              <w:right w:type="dxa" w:w="100"/>
            </w:tcMar>
          </w:tcPr>
          <w:p>
            <w:pPr>
              <w:spacing w:after="0" w:before="0" w:line="252"/>
            </w:pPr>
            <w:r>
              <w:rPr>
                <w:sz w:val="19"/>
                <w:szCs w:val="19"/>
              </w:rPr>
              <w:t xml:space="preserve">Week-0 time study with each design partner; telemetry on review, approval and repair screens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07"/>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418"/>
            <w:tcMar>
              <w:top w:type="dxa" w:w="60"/>
              <w:left w:type="dxa" w:w="100"/>
              <w:bottom w:type="dxa" w:w="60"/>
              <w:right w:type="dxa" w:w="100"/>
            </w:tcMar>
          </w:tcPr>
          <w:p>
            <w:pPr>
              <w:spacing w:after="0" w:before="0" w:line="252"/>
            </w:pPr>
            <w:r>
              <w:rPr>
                <w:sz w:val="19"/>
                <w:szCs w:val="19"/>
              </w:rPr>
              <w:t xml:space="preserve">Diagnostic</w:t>
            </w:r>
          </w:p>
        </w:tc>
        <w:tc>
          <w:tcPr>
            <w:tcW w:type="dxa" w:w="2323"/>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upper 95% bound ≤15%</w:t>
            </w:r>
          </w:p>
        </w:tc>
        <w:tc>
          <w:tcPr>
            <w:tcW w:type="dxa" w:w="2707"/>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&lt;2%</w:t>
            </w:r>
          </w:p>
        </w:tc>
        <w:tc>
          <w:tcPr>
            <w:tcW w:type="dxa" w:w="2707"/>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≥90%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of interventions</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Supervision cost share</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≤15% of run cost</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07"/>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50%</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60% of licensed</w:t>
            </w:r>
          </w:p>
        </w:tc>
        <w:tc>
          <w:tcPr>
            <w:tcW w:type="dxa" w:w="2707"/>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Master-rule violations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 or a batch approval includes a high-impact action, or a batch changes more than 10 records</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and the beta's AWS region follows. The team plan and target date are set: three engineers, with design partners live by 2027-12-31.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 </w:t>
      </w:r>
      <w:r>
        <w:rPr>
          <w:i/>
          <w:iCs/>
        </w:rPr>
        <w:t xml:space="preserve">Set on 2026-10-10 at three: the founder and two engineers who join within about three months.</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pStyle w:val="ListParagraph"/>
        <w:numPr>
          <w:ilvl w:val="0"/>
          <w:numId w:val="2"/>
        </w:numPr>
        <w:spacing w:after="60" w:before="0"/>
      </w:pPr>
      <w:r>
        <w:rPr>
          <w:b/>
          <w:bCs/>
        </w:rPr>
        <w:t xml:space="preserve">Team and target date:</w:t>
      </w:r>
      <w:r>
        <w:t xml:space="preserve"> two engineers join the founder within about three months, making a team of three. Design partners use the Enterprise beta by 2027-12-31, and gate 1 follows by about 2028-03-31. The date allows for the hiring time and a 25% contingency on build time, and is re-baselined after the technical design's spikes in weeks 1–3. </w:t>
      </w:r>
      <w:r>
        <w:rPr>
          <w:i/>
          <w:iCs/>
        </w:rPr>
        <w:t xml:space="preserve">Collicity — Technical Design</w:t>
      </w:r>
      <w:r>
        <w:t xml:space="preserve"> (§14.3) gives the schedule.</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5"/>
        <w:gridCol w:w="1742"/>
        <w:gridCol w:w="2251"/>
        <w:gridCol w:w="2412"/>
      </w:tblGrid>
      <w:tr>
        <w:trPr>
          <w:tblHeader/>
        </w:trPr>
        <w:tc>
          <w:tcPr>
            <w:tcW w:type="dxa" w:w="2955"/>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2"/>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51"/>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12"/>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2"/>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51"/>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1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2"/>
            <w:tcMar>
              <w:top w:type="dxa" w:w="60"/>
              <w:left w:type="dxa" w:w="100"/>
              <w:bottom w:type="dxa" w:w="60"/>
              <w:right w:type="dxa" w:w="100"/>
            </w:tcMar>
          </w:tcPr>
          <w:p>
            <w:pPr>
              <w:spacing w:after="0" w:before="0" w:line="252"/>
            </w:pPr>
            <w:r>
              <w:rPr>
                <w:sz w:val="19"/>
                <w:szCs w:val="19"/>
              </w:rPr>
              <w:t xml:space="preserve">Product, security</w:t>
            </w:r>
          </w:p>
        </w:tc>
        <w:tc>
          <w:tcPr>
            <w:tcW w:type="dxa" w:w="2251"/>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12"/>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Are the two engineers hired and started? Each month they start after mid-January 2027 pushes the dates out by most of a month (</w:t>
            </w:r>
            <w:r>
              <w:rPr>
                <w:i/>
                <w:iCs/>
                <w:sz w:val="19"/>
                <w:szCs w:val="19"/>
              </w:rPr>
              <w:t xml:space="preserve">Collicity — Technical Design</w:t>
            </w:r>
            <w:r>
              <w:rPr>
                <w:sz w:val="19"/>
                <w:szCs w:val="19"/>
              </w:rPr>
              <w:t xml:space="preserve">, §14.3)</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Yes, for the target date</w:t>
            </w:r>
          </w:p>
        </w:tc>
        <w:tc>
          <w:tcPr>
            <w:tcW w:type="dxa" w:w="241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2"/>
            <w:tcMar>
              <w:top w:type="dxa" w:w="60"/>
              <w:left w:type="dxa" w:w="100"/>
              <w:bottom w:type="dxa" w:w="60"/>
              <w:right w:type="dxa" w:w="100"/>
            </w:tcMar>
          </w:tcPr>
          <w:p>
            <w:pPr>
              <w:spacing w:after="0" w:before="0" w:line="252"/>
            </w:pPr>
            <w:r>
              <w:rPr>
                <w:sz w:val="19"/>
                <w:szCs w:val="19"/>
              </w:rPr>
              <w:t xml:space="preserve">Engineering, product</w:t>
            </w:r>
          </w:p>
        </w:tc>
        <w:tc>
          <w:tcPr>
            <w:tcW w:type="dxa" w:w="2251"/>
            <w:tcMar>
              <w:top w:type="dxa" w:w="60"/>
              <w:left w:type="dxa" w:w="100"/>
              <w:bottom w:type="dxa" w:w="60"/>
              <w:right w:type="dxa" w:w="100"/>
            </w:tcMar>
          </w:tcPr>
          <w:p>
            <w:pPr>
              <w:spacing w:after="0" w:before="0" w:line="252"/>
            </w:pPr>
            <w:r>
              <w:rPr>
                <w:sz w:val="19"/>
                <w:szCs w:val="19"/>
              </w:rPr>
              <w:t xml:space="preserve">Before orchestrator build</w:t>
            </w:r>
          </w:p>
        </w:tc>
        <w:tc>
          <w:tcPr>
            <w:tcW w:type="dxa" w:w="2412"/>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2"/>
            <w:tcMar>
              <w:top w:type="dxa" w:w="60"/>
              <w:left w:type="dxa" w:w="100"/>
              <w:bottom w:type="dxa" w:w="60"/>
              <w:right w:type="dxa" w:w="100"/>
            </w:tcMar>
          </w:tcPr>
          <w:p>
            <w:pPr>
              <w:spacing w:after="0" w:before="0" w:line="252"/>
            </w:pPr>
            <w:r>
              <w:rPr>
                <w:sz w:val="19"/>
                <w:szCs w:val="19"/>
              </w:rPr>
              <w:t xml:space="preserve">Product, data</w:t>
            </w:r>
          </w:p>
        </w:tc>
        <w:tc>
          <w:tcPr>
            <w:tcW w:type="dxa" w:w="2251"/>
            <w:tcMar>
              <w:top w:type="dxa" w:w="60"/>
              <w:left w:type="dxa" w:w="100"/>
              <w:bottom w:type="dxa" w:w="60"/>
              <w:right w:type="dxa" w:w="100"/>
            </w:tcMar>
          </w:tcPr>
          <w:p>
            <w:pPr>
              <w:spacing w:after="0" w:before="0" w:line="252"/>
            </w:pPr>
            <w:r>
              <w:rPr>
                <w:sz w:val="19"/>
                <w:szCs w:val="19"/>
              </w:rPr>
              <w:t xml:space="preserve">Before beta</w:t>
            </w:r>
          </w:p>
        </w:tc>
        <w:tc>
          <w:tcPr>
            <w:tcW w:type="dxa" w:w="2412"/>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2"/>
            <w:tcMar>
              <w:top w:type="dxa" w:w="60"/>
              <w:left w:type="dxa" w:w="100"/>
              <w:bottom w:type="dxa" w:w="60"/>
              <w:right w:type="dxa" w:w="100"/>
            </w:tcMar>
          </w:tcPr>
          <w:p>
            <w:pPr>
              <w:spacing w:after="0" w:before="0" w:line="252"/>
            </w:pPr>
            <w:r>
              <w:rPr>
                <w:sz w:val="19"/>
                <w:szCs w:val="19"/>
              </w:rPr>
              <w:t xml:space="preserve">Product</w:t>
            </w:r>
          </w:p>
        </w:tc>
        <w:tc>
          <w:tcPr>
            <w:tcW w:type="dxa" w:w="2251"/>
            <w:tcMar>
              <w:top w:type="dxa" w:w="60"/>
              <w:left w:type="dxa" w:w="100"/>
              <w:bottom w:type="dxa" w:w="60"/>
              <w:right w:type="dxa" w:w="100"/>
            </w:tcMar>
          </w:tcPr>
          <w:p>
            <w:pPr>
              <w:spacing w:after="0" w:before="0" w:line="252"/>
            </w:pPr>
            <w:r>
              <w:rPr>
                <w:sz w:val="19"/>
                <w:szCs w:val="19"/>
              </w:rPr>
              <w:t xml:space="preserve">Before budget build</w:t>
            </w:r>
          </w:p>
        </w:tc>
        <w:tc>
          <w:tcPr>
            <w:tcW w:type="dxa" w:w="2412"/>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2"/>
            <w:tcMar>
              <w:top w:type="dxa" w:w="60"/>
              <w:left w:type="dxa" w:w="100"/>
              <w:bottom w:type="dxa" w:w="60"/>
              <w:right w:type="dxa" w:w="100"/>
            </w:tcMar>
          </w:tcPr>
          <w:p>
            <w:pPr>
              <w:spacing w:after="0" w:before="0" w:line="252"/>
            </w:pPr>
            <w:r>
              <w:rPr>
                <w:sz w:val="19"/>
                <w:szCs w:val="19"/>
              </w:rPr>
              <w:t xml:space="preserve">Business</w:t>
            </w:r>
          </w:p>
        </w:tc>
        <w:tc>
          <w:tcPr>
            <w:tcW w:type="dxa" w:w="2251"/>
            <w:tcMar>
              <w:top w:type="dxa" w:w="60"/>
              <w:left w:type="dxa" w:w="100"/>
              <w:bottom w:type="dxa" w:w="60"/>
              <w:right w:type="dxa" w:w="100"/>
            </w:tcMar>
          </w:tcPr>
          <w:p>
            <w:pPr>
              <w:spacing w:after="0" w:before="0" w:line="252"/>
            </w:pPr>
            <w:r>
              <w:rPr>
                <w:sz w:val="19"/>
                <w:szCs w:val="19"/>
              </w:rPr>
              <w:t xml:space="preserve">Before beta</w:t>
            </w:r>
          </w:p>
        </w:tc>
        <w:tc>
          <w:tcPr>
            <w:tcW w:type="dxa" w:w="2412"/>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2"/>
            <w:tcMar>
              <w:top w:type="dxa" w:w="60"/>
              <w:left w:type="dxa" w:w="100"/>
              <w:bottom w:type="dxa" w:w="60"/>
              <w:right w:type="dxa" w:w="100"/>
            </w:tcMar>
          </w:tcPr>
          <w:p>
            <w:pPr>
              <w:spacing w:after="0" w:before="0" w:line="252"/>
            </w:pPr>
            <w:r>
              <w:rPr>
                <w:sz w:val="19"/>
                <w:szCs w:val="19"/>
              </w:rPr>
              <w:t xml:space="preserve">Sales, legal</w:t>
            </w:r>
          </w:p>
        </w:tc>
        <w:tc>
          <w:tcPr>
            <w:tcW w:type="dxa" w:w="2251"/>
            <w:tcMar>
              <w:top w:type="dxa" w:w="60"/>
              <w:left w:type="dxa" w:w="100"/>
              <w:bottom w:type="dxa" w:w="60"/>
              <w:right w:type="dxa" w:w="100"/>
            </w:tcMar>
          </w:tcPr>
          <w:p>
            <w:pPr>
              <w:spacing w:after="0" w:before="0" w:line="252"/>
            </w:pPr>
            <w:r>
              <w:rPr>
                <w:sz w:val="19"/>
                <w:szCs w:val="19"/>
              </w:rPr>
              <w:t xml:space="preserve">Before Enterprise GA</w:t>
            </w:r>
          </w:p>
        </w:tc>
        <w:tc>
          <w:tcPr>
            <w:tcW w:type="dxa" w:w="2412"/>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2"/>
            <w:tcMar>
              <w:top w:type="dxa" w:w="60"/>
              <w:left w:type="dxa" w:w="100"/>
              <w:bottom w:type="dxa" w:w="60"/>
              <w:right w:type="dxa" w:w="100"/>
            </w:tcMar>
          </w:tcPr>
          <w:p>
            <w:pPr>
              <w:spacing w:after="0" w:before="0" w:line="252"/>
            </w:pPr>
            <w:r>
              <w:rPr>
                <w:sz w:val="19"/>
                <w:szCs w:val="19"/>
              </w:rPr>
              <w:t xml:space="preserve">Business development</w:t>
            </w:r>
          </w:p>
        </w:tc>
        <w:tc>
          <w:tcPr>
            <w:tcW w:type="dxa" w:w="2251"/>
            <w:tcMar>
              <w:top w:type="dxa" w:w="60"/>
              <w:left w:type="dxa" w:w="100"/>
              <w:bottom w:type="dxa" w:w="60"/>
              <w:right w:type="dxa" w:w="100"/>
            </w:tcMar>
          </w:tcPr>
          <w:p>
            <w:pPr>
              <w:spacing w:after="0" w:before="0" w:line="252"/>
            </w:pPr>
            <w:r>
              <w:rPr>
                <w:sz w:val="19"/>
                <w:szCs w:val="19"/>
              </w:rPr>
              <w:t xml:space="preserve">Before Home</w:t>
            </w:r>
          </w:p>
        </w:tc>
        <w:tc>
          <w:tcPr>
            <w:tcW w:type="dxa" w:w="241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2"/>
            <w:tcMar>
              <w:top w:type="dxa" w:w="60"/>
              <w:left w:type="dxa" w:w="100"/>
              <w:bottom w:type="dxa" w:w="60"/>
              <w:right w:type="dxa" w:w="100"/>
            </w:tcMar>
          </w:tcPr>
          <w:p>
            <w:pPr>
              <w:spacing w:after="0" w:before="0" w:line="252"/>
            </w:pPr>
            <w:r>
              <w:rPr>
                <w:sz w:val="19"/>
                <w:szCs w:val="19"/>
              </w:rPr>
              <w:t xml:space="preserve">Product</w:t>
            </w:r>
          </w:p>
        </w:tc>
        <w:tc>
          <w:tcPr>
            <w:tcW w:type="dxa" w:w="2251"/>
            <w:tcMar>
              <w:top w:type="dxa" w:w="60"/>
              <w:left w:type="dxa" w:w="100"/>
              <w:bottom w:type="dxa" w:w="60"/>
              <w:right w:type="dxa" w:w="100"/>
            </w:tcMar>
          </w:tcPr>
          <w:p>
            <w:pPr>
              <w:spacing w:after="0" w:before="0" w:line="252"/>
            </w:pPr>
            <w:r>
              <w:rPr>
                <w:sz w:val="19"/>
                <w:szCs w:val="19"/>
              </w:rPr>
              <w:t xml:space="preserve">No</w:t>
            </w:r>
          </w:p>
        </w:tc>
        <w:tc>
          <w:tcPr>
            <w:tcW w:type="dxa" w:w="2412"/>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12"/>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41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41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Is a 30% cut in hands-on time, with coverage and quality held, the right gate-1 threshold (G6)?</w:t>
            </w:r>
          </w:p>
        </w:tc>
        <w:tc>
          <w:tcPr>
            <w:tcW w:type="dxa" w:w="1742"/>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1"/>
            <w:tcMar>
              <w:top w:type="dxa" w:w="60"/>
              <w:left w:type="dxa" w:w="100"/>
              <w:bottom w:type="dxa" w:w="60"/>
              <w:right w:type="dxa" w:w="100"/>
            </w:tcMar>
          </w:tcPr>
          <w:p>
            <w:pPr>
              <w:spacing w:after="0" w:before="0" w:line="252"/>
            </w:pPr>
            <w:r>
              <w:rPr>
                <w:sz w:val="19"/>
                <w:szCs w:val="19"/>
              </w:rPr>
              <w:t xml:space="preserve">Before the beta starts</w:t>
            </w:r>
          </w:p>
        </w:tc>
        <w:tc>
          <w:tcPr>
            <w:tcW w:type="dxa" w:w="2412"/>
            <w:tcMar>
              <w:top w:type="dxa" w:w="60"/>
              <w:left w:type="dxa" w:w="100"/>
              <w:bottom w:type="dxa" w:w="60"/>
              <w:right w:type="dxa" w:w="100"/>
            </w:tcMar>
          </w:tcPr>
          <w:p>
            <w:pPr>
              <w:spacing w:after="0" w:before="0" w:line="252"/>
            </w:pPr>
            <w:r>
              <w:rPr>
                <w:sz w:val="19"/>
                <w:szCs w:val="19"/>
              </w:rPr>
              <w:t xml:space="preserve">30%</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742"/>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1"/>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412"/>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No</w:t>
            </w:r>
          </w:p>
        </w:tc>
        <w:tc>
          <w:tcPr>
            <w:tcW w:type="dxa" w:w="2412"/>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2"/>
            <w:tcMar>
              <w:top w:type="dxa" w:w="60"/>
              <w:left w:type="dxa" w:w="100"/>
              <w:bottom w:type="dxa" w:w="60"/>
              <w:right w:type="dxa" w:w="100"/>
            </w:tcMar>
          </w:tcPr>
          <w:p>
            <w:pPr>
              <w:spacing w:after="0" w:before="0" w:line="252"/>
            </w:pPr>
            <w:r>
              <w:rPr>
                <w:sz w:val="19"/>
                <w:szCs w:val="19"/>
              </w:rPr>
              <w:t xml:space="preserve">Engineering</w:t>
            </w:r>
          </w:p>
        </w:tc>
        <w:tc>
          <w:tcPr>
            <w:tcW w:type="dxa" w:w="2251"/>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12"/>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2"/>
            <w:tcMar>
              <w:top w:type="dxa" w:w="60"/>
              <w:left w:type="dxa" w:w="100"/>
              <w:bottom w:type="dxa" w:w="60"/>
              <w:right w:type="dxa" w:w="100"/>
            </w:tcMar>
          </w:tcPr>
          <w:p>
            <w:pPr>
              <w:spacing w:after="0" w:before="0" w:line="252"/>
            </w:pPr>
            <w:r>
              <w:rPr>
                <w:sz w:val="19"/>
                <w:szCs w:val="19"/>
              </w:rPr>
              <w:t xml:space="preserve">Product</w:t>
            </w:r>
          </w:p>
        </w:tc>
        <w:tc>
          <w:tcPr>
            <w:tcW w:type="dxa" w:w="2251"/>
            <w:tcMar>
              <w:top w:type="dxa" w:w="60"/>
              <w:left w:type="dxa" w:w="100"/>
              <w:bottom w:type="dxa" w:w="60"/>
              <w:right w:type="dxa" w:w="100"/>
            </w:tcMar>
          </w:tcPr>
          <w:p>
            <w:pPr>
              <w:spacing w:after="0" w:before="0" w:line="252"/>
            </w:pPr>
            <w:r>
              <w:rPr>
                <w:sz w:val="19"/>
                <w:szCs w:val="19"/>
              </w:rPr>
              <w:t xml:space="preserve">No (P2)</w:t>
            </w:r>
          </w:p>
        </w:tc>
        <w:tc>
          <w:tcPr>
            <w:tcW w:type="dxa" w:w="2412"/>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2"/>
            <w:tcMar>
              <w:top w:type="dxa" w:w="60"/>
              <w:left w:type="dxa" w:w="100"/>
              <w:bottom w:type="dxa" w:w="60"/>
              <w:right w:type="dxa" w:w="100"/>
            </w:tcMar>
          </w:tcPr>
          <w:p>
            <w:pPr>
              <w:spacing w:after="0" w:before="0" w:line="252"/>
            </w:pPr>
            <w:r>
              <w:rPr>
                <w:sz w:val="19"/>
                <w:szCs w:val="19"/>
              </w:rPr>
              <w:t xml:space="preserve">Business</w:t>
            </w:r>
          </w:p>
        </w:tc>
        <w:tc>
          <w:tcPr>
            <w:tcW w:type="dxa" w:w="2251"/>
            <w:tcMar>
              <w:top w:type="dxa" w:w="60"/>
              <w:left w:type="dxa" w:w="100"/>
              <w:bottom w:type="dxa" w:w="60"/>
              <w:right w:type="dxa" w:w="100"/>
            </w:tcMar>
          </w:tcPr>
          <w:p>
            <w:pPr>
              <w:spacing w:after="0" w:before="0" w:line="252"/>
            </w:pPr>
            <w:r>
              <w:rPr>
                <w:sz w:val="19"/>
                <w:szCs w:val="19"/>
              </w:rPr>
              <w:t xml:space="preserve">No (P2)</w:t>
            </w:r>
          </w:p>
        </w:tc>
        <w:tc>
          <w:tcPr>
            <w:tcW w:type="dxa" w:w="2412"/>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2"/>
            <w:tcMar>
              <w:top w:type="dxa" w:w="60"/>
              <w:left w:type="dxa" w:w="100"/>
              <w:bottom w:type="dxa" w:w="60"/>
              <w:right w:type="dxa" w:w="100"/>
            </w:tcMar>
          </w:tcPr>
          <w:p>
            <w:pPr>
              <w:spacing w:after="0" w:before="0" w:line="252"/>
            </w:pPr>
            <w:r>
              <w:rPr>
                <w:sz w:val="19"/>
                <w:szCs w:val="19"/>
              </w:rPr>
              <w:t xml:space="preserve">Product, legal</w:t>
            </w:r>
          </w:p>
        </w:tc>
        <w:tc>
          <w:tcPr>
            <w:tcW w:type="dxa" w:w="2251"/>
            <w:tcMar>
              <w:top w:type="dxa" w:w="60"/>
              <w:left w:type="dxa" w:w="100"/>
              <w:bottom w:type="dxa" w:w="60"/>
              <w:right w:type="dxa" w:w="100"/>
            </w:tcMar>
          </w:tcPr>
          <w:p>
            <w:pPr>
              <w:spacing w:after="0" w:before="0" w:line="252"/>
            </w:pPr>
            <w:r>
              <w:rPr>
                <w:sz w:val="19"/>
                <w:szCs w:val="19"/>
              </w:rPr>
              <w:t xml:space="preserve">No</w:t>
            </w:r>
          </w:p>
        </w:tc>
        <w:tc>
          <w:tcPr>
            <w:tcW w:type="dxa" w:w="2412"/>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Home minimum age?</w:t>
            </w:r>
          </w:p>
        </w:tc>
        <w:tc>
          <w:tcPr>
            <w:tcW w:type="dxa" w:w="1742"/>
            <w:tcMar>
              <w:top w:type="dxa" w:w="60"/>
              <w:left w:type="dxa" w:w="100"/>
              <w:bottom w:type="dxa" w:w="60"/>
              <w:right w:type="dxa" w:w="100"/>
            </w:tcMar>
          </w:tcPr>
          <w:p>
            <w:pPr>
              <w:spacing w:after="0" w:before="0" w:line="252"/>
            </w:pPr>
            <w:r>
              <w:rPr>
                <w:sz w:val="19"/>
                <w:szCs w:val="19"/>
              </w:rPr>
              <w:t xml:space="preserve">Legal</w:t>
            </w:r>
          </w:p>
        </w:tc>
        <w:tc>
          <w:tcPr>
            <w:tcW w:type="dxa" w:w="2251"/>
            <w:tcMar>
              <w:top w:type="dxa" w:w="60"/>
              <w:left w:type="dxa" w:w="100"/>
              <w:bottom w:type="dxa" w:w="60"/>
              <w:right w:type="dxa" w:w="100"/>
            </w:tcMar>
          </w:tcPr>
          <w:p>
            <w:pPr>
              <w:spacing w:after="0" w:before="0" w:line="252"/>
            </w:pPr>
            <w:r>
              <w:rPr>
                <w:sz w:val="19"/>
                <w:szCs w:val="19"/>
              </w:rPr>
              <w:t xml:space="preserve">Before Home launch</w:t>
            </w:r>
          </w:p>
        </w:tc>
        <w:tc>
          <w:tcPr>
            <w:tcW w:type="dxa" w:w="2412"/>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2"/>
            <w:tcMar>
              <w:top w:type="dxa" w:w="60"/>
              <w:left w:type="dxa" w:w="100"/>
              <w:bottom w:type="dxa" w:w="60"/>
              <w:right w:type="dxa" w:w="100"/>
            </w:tcMar>
          </w:tcPr>
          <w:p>
            <w:pPr>
              <w:spacing w:after="0" w:before="0" w:line="252"/>
            </w:pPr>
            <w:r>
              <w:rPr>
                <w:sz w:val="19"/>
                <w:szCs w:val="19"/>
              </w:rPr>
              <w:t xml:space="preserve">Product owner</w:t>
            </w:r>
          </w:p>
        </w:tc>
        <w:tc>
          <w:tcPr>
            <w:tcW w:type="dxa" w:w="2251"/>
            <w:tcMar>
              <w:top w:type="dxa" w:w="60"/>
              <w:left w:type="dxa" w:w="100"/>
              <w:bottom w:type="dxa" w:w="60"/>
              <w:right w:type="dxa" w:w="100"/>
            </w:tcMar>
          </w:tcPr>
          <w:p>
            <w:pPr>
              <w:spacing w:after="0" w:before="0" w:line="252"/>
            </w:pPr>
            <w:r>
              <w:rPr>
                <w:sz w:val="19"/>
                <w:szCs w:val="19"/>
              </w:rPr>
              <w:t xml:space="preserve">Before beta signing</w:t>
            </w:r>
          </w:p>
        </w:tc>
        <w:tc>
          <w:tcPr>
            <w:tcW w:type="dxa" w:w="2412"/>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2"/>
            <w:tcMar>
              <w:top w:type="dxa" w:w="60"/>
              <w:left w:type="dxa" w:w="100"/>
              <w:bottom w:type="dxa" w:w="60"/>
              <w:right w:type="dxa" w:w="100"/>
            </w:tcMar>
          </w:tcPr>
          <w:p>
            <w:pPr>
              <w:spacing w:after="0" w:before="0" w:line="252"/>
            </w:pPr>
            <w:r>
              <w:rPr>
                <w:sz w:val="19"/>
                <w:szCs w:val="19"/>
              </w:rPr>
              <w:t xml:space="preserve">Product, security</w:t>
            </w:r>
          </w:p>
        </w:tc>
        <w:tc>
          <w:tcPr>
            <w:tcW w:type="dxa" w:w="2251"/>
            <w:tcMar>
              <w:top w:type="dxa" w:w="60"/>
              <w:left w:type="dxa" w:w="100"/>
              <w:bottom w:type="dxa" w:w="60"/>
              <w:right w:type="dxa" w:w="100"/>
            </w:tcMar>
          </w:tcPr>
          <w:p>
            <w:pPr>
              <w:spacing w:after="0" w:before="0" w:line="252"/>
            </w:pPr>
            <w:r>
              <w:rPr>
                <w:sz w:val="19"/>
                <w:szCs w:val="19"/>
              </w:rPr>
              <w:t xml:space="preserve">No</w:t>
            </w:r>
          </w:p>
        </w:tc>
        <w:tc>
          <w:tcPr>
            <w:tcW w:type="dxa" w:w="2412"/>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55"/>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2"/>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51"/>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12"/>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9"/>
        <w:gridCol w:w="1108"/>
        <w:gridCol w:w="7013"/>
      </w:tblGrid>
      <w:tr>
        <w:trPr>
          <w:tblHeader/>
        </w:trPr>
        <w:tc>
          <w:tcPr>
            <w:tcW w:type="dxa" w:w="123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08"/>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13"/>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v0.18</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Team plan and target date set: two engineers join the founder within about three months, design partners use the Enterprise beta by 2027-12-31, and gate 1 follows by about 2028-03-31. The open question on the target date becomes one on hiring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v0.17</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The mandate hard line for home security names all four PAY‑08 actions: unlocking, opening, disarming and turning off a security camera (§1, ASG‑24)</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v0.16</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All four PAY‑08 approval-only actions are treated the same: turning off a security camera is high-impact (RUN‑04), and an approval to unlock, open, disarm or turn off a camera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v0.15</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A batch may change at most 10 records; larger sets are split or approved one at a time, and the redundant one-at-a-time sentence is gone (ASG‑11, §19). The payment, banking, remit-to and contact-identity exclusion covers every queue mandate (ASG‑16). Unlocking, opening and disarming are high-impact (RUN‑04), and an unlock or disarm approval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v0.14</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v0.13</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v0.12</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v0.11</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v0.10</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v0.9</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v0.8</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v0.7</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v0.6</w:t>
            </w:r>
          </w:p>
        </w:tc>
        <w:tc>
          <w:tcPr>
            <w:tcW w:type="dxa" w:w="1108"/>
            <w:tcMar>
              <w:top w:type="dxa" w:w="60"/>
              <w:left w:type="dxa" w:w="100"/>
              <w:bottom w:type="dxa" w:w="60"/>
              <w:right w:type="dxa" w:w="100"/>
            </w:tcMar>
          </w:tcPr>
          <w:p>
            <w:pPr>
              <w:spacing w:after="0" w:before="0" w:line="252"/>
            </w:pPr>
            <w:r>
              <w:rPr>
                <w:sz w:val="19"/>
                <w:szCs w:val="19"/>
              </w:rPr>
              <w:t xml:space="preserve">2026-10-10</w:t>
            </w:r>
          </w:p>
        </w:tc>
        <w:tc>
          <w:tcPr>
            <w:tcW w:type="dxa" w:w="7013"/>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v0.5</w:t>
            </w:r>
          </w:p>
        </w:tc>
        <w:tc>
          <w:tcPr>
            <w:tcW w:type="dxa" w:w="1108"/>
            <w:tcMar>
              <w:top w:type="dxa" w:w="60"/>
              <w:left w:type="dxa" w:w="100"/>
              <w:bottom w:type="dxa" w:w="60"/>
              <w:right w:type="dxa" w:w="100"/>
            </w:tcMar>
          </w:tcPr>
          <w:p>
            <w:pPr>
              <w:spacing w:after="0" w:before="0" w:line="252"/>
            </w:pPr>
            <w:r>
              <w:rPr>
                <w:sz w:val="19"/>
                <w:szCs w:val="19"/>
              </w:rPr>
              <w:t xml:space="preserve">2026-10-05</w:t>
            </w:r>
          </w:p>
        </w:tc>
        <w:tc>
          <w:tcPr>
            <w:tcW w:type="dxa" w:w="7013"/>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v0.4</w:t>
            </w:r>
          </w:p>
        </w:tc>
        <w:tc>
          <w:tcPr>
            <w:tcW w:type="dxa" w:w="1108"/>
            <w:tcMar>
              <w:top w:type="dxa" w:w="60"/>
              <w:left w:type="dxa" w:w="100"/>
              <w:bottom w:type="dxa" w:w="60"/>
              <w:right w:type="dxa" w:w="100"/>
            </w:tcMar>
          </w:tcPr>
          <w:p>
            <w:pPr>
              <w:spacing w:after="0" w:before="0" w:line="252"/>
            </w:pPr>
            <w:r>
              <w:rPr>
                <w:sz w:val="19"/>
                <w:szCs w:val="19"/>
              </w:rPr>
              <w:t xml:space="preserve">2026-10-05</w:t>
            </w:r>
          </w:p>
        </w:tc>
        <w:tc>
          <w:tcPr>
            <w:tcW w:type="dxa" w:w="7013"/>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v0.3</w:t>
            </w:r>
          </w:p>
        </w:tc>
        <w:tc>
          <w:tcPr>
            <w:tcW w:type="dxa" w:w="1108"/>
            <w:tcMar>
              <w:top w:type="dxa" w:w="60"/>
              <w:left w:type="dxa" w:w="100"/>
              <w:bottom w:type="dxa" w:w="60"/>
              <w:right w:type="dxa" w:w="100"/>
            </w:tcMar>
          </w:tcPr>
          <w:p>
            <w:pPr>
              <w:spacing w:after="0" w:before="0" w:line="252"/>
            </w:pPr>
            <w:r>
              <w:rPr>
                <w:sz w:val="19"/>
                <w:szCs w:val="19"/>
              </w:rPr>
              <w:t xml:space="preserve">2026-10-05</w:t>
            </w:r>
          </w:p>
        </w:tc>
        <w:tc>
          <w:tcPr>
            <w:tcW w:type="dxa" w:w="7013"/>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v0.2</w:t>
            </w:r>
          </w:p>
        </w:tc>
        <w:tc>
          <w:tcPr>
            <w:tcW w:type="dxa" w:w="1108"/>
            <w:tcMar>
              <w:top w:type="dxa" w:w="60"/>
              <w:left w:type="dxa" w:w="100"/>
              <w:bottom w:type="dxa" w:w="60"/>
              <w:right w:type="dxa" w:w="100"/>
            </w:tcMar>
          </w:tcPr>
          <w:p>
            <w:pPr>
              <w:spacing w:after="0" w:before="0" w:line="252"/>
            </w:pPr>
            <w:r>
              <w:rPr>
                <w:sz w:val="19"/>
                <w:szCs w:val="19"/>
              </w:rPr>
              <w:t xml:space="preserve">2026-10-05</w:t>
            </w:r>
          </w:p>
        </w:tc>
        <w:tc>
          <w:tcPr>
            <w:tcW w:type="dxa" w:w="7013"/>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w:t>
            </w:r>
          </w:p>
        </w:tc>
        <w:tc>
          <w:tcPr>
            <w:tcW w:type="dxa" w:w="1108"/>
            <w:tcMar>
              <w:top w:type="dxa" w:w="60"/>
              <w:left w:type="dxa" w:w="100"/>
              <w:bottom w:type="dxa" w:w="60"/>
              <w:right w:type="dxa" w:w="100"/>
            </w:tcMar>
          </w:tcPr>
          <w:p>
            <w:pPr>
              <w:spacing w:after="0" w:before="0" w:line="252"/>
            </w:pPr>
            <w:r>
              <w:rPr>
                <w:sz w:val="19"/>
                <w:szCs w:val="19"/>
              </w:rPr>
              <w:t xml:space="preserve">2026-10-05</w:t>
            </w:r>
          </w:p>
        </w:tc>
        <w:tc>
          <w:tcPr>
            <w:tcW w:type="dxa" w:w="7013"/>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zigzmfrfxnrj5lfuhmiak">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pj6aeyclp3nj-qxb10bqu">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kxc5ajojnhezhmd7dsb93">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f6cido83azu28isgtqjkk">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2x8papqccuktx-hb8jcae">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9dce0mv0scnh-nyrfzbq7">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dip8qgcocxb6nbupre37c">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kpwfjxpb7-lyrvgwfnhun">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k1xupxpdztfgu9lerycuf">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jn1zpyhzh42dlwhucm7y8">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f3amkbczavsiwmvkr0wo0">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zigzmfrfxnrj5lfuhmiak" Type="http://schemas.openxmlformats.org/officeDocument/2006/relationships/hyperlink" Target="https://docs.temporal.io/activity-definition#idempotency" TargetMode="External"/><Relationship Id="rIdpj6aeyclp3nj-qxb10bqu" Type="http://schemas.openxmlformats.org/officeDocument/2006/relationships/hyperlink" Target="https://learn.microsoft.com/en-us/entra/identity-platform/configurable-token-lifetimes" TargetMode="External"/><Relationship Id="rIdkxc5ajojnhezhmd7dsb93" Type="http://schemas.openxmlformats.org/officeDocument/2006/relationships/hyperlink" Target="https://cheatsheetseries.owasp.org/cheatsheets/LLM_Prompt_Injection_Prevention_Cheat_Sheet.html" TargetMode="External"/><Relationship Id="rIdf6cido83azu28isgtqjkk" Type="http://schemas.openxmlformats.org/officeDocument/2006/relationships/hyperlink" Target="https://learn.microsoft.com/en-us/entra/identity/app-provisioning/use-scim-to-provision-users-and-groups" TargetMode="External"/><Relationship Id="rId2x8papqccuktx-hb8jcae" Type="http://schemas.openxmlformats.org/officeDocument/2006/relationships/hyperlink" Target="https://learn.microsoft.com/en-us/entra/identity/conditional-access/concept-continuous-access-evaluation" TargetMode="External"/><Relationship Id="rId9dce0mv0scnh-nyrfzbq7" Type="http://schemas.openxmlformats.org/officeDocument/2006/relationships/hyperlink" Target="https://www.unicode.org/reports/tr39/" TargetMode="External"/><Relationship Id="rIddip8qgcocxb6nbupre37c" Type="http://schemas.openxmlformats.org/officeDocument/2006/relationships/hyperlink" Target="https://datatracker.ietf.org/doc/draft-ietf-webbotauth-httpsig-protocol/" TargetMode="External"/><Relationship Id="rIdkpwfjxpb7-lyrvgwfnhun" Type="http://schemas.openxmlformats.org/officeDocument/2006/relationships/hyperlink" Target="https://developers.cloudflare.com/bots/reference/bot-verification/web-bot-auth/" TargetMode="External"/><Relationship Id="rIdk1xupxpdztfgu9lerycuf" Type="http://schemas.openxmlformats.org/officeDocument/2006/relationships/hyperlink" Target="https://aws.amazon.com/about-aws/whats-new/2025/11/aws-waf-web-bot-auth-support" TargetMode="External"/><Relationship Id="rIdjn1zpyhzh42dlwhucm7y8" Type="http://schemas.openxmlformats.org/officeDocument/2006/relationships/hyperlink" Target="https://blog.cloudflare.com/secure-agentic-commerce/" TargetMode="External"/><Relationship Id="rIdf3amkbczavsiwmvkr0wo0"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v0.18)</dc:title>
  <dc:creator>Collicity</dc:creator>
  <cp:lastModifiedBy>Un-named</cp:lastModifiedBy>
  <cp:revision>1</cp:revision>
  <dcterms:created xsi:type="dcterms:W3CDTF">2026-10-11T02:09:01.145Z</dcterms:created>
  <dcterms:modified xsi:type="dcterms:W3CDTF">2026-10-11T02:09:01.147Z</dcterms:modified>
</cp:coreProperties>
</file>

<file path=docProps/custom.xml><?xml version="1.0" encoding="utf-8"?>
<Properties xmlns="http://schemas.openxmlformats.org/officeDocument/2006/custom-properties" xmlns:vt="http://schemas.openxmlformats.org/officeDocument/2006/docPropsVTypes"/>
</file>