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v0.5)</w:t>
      </w:r>
    </w:p>
    <w:p>
      <w:pPr>
        <w:spacing w:after="240"/>
      </w:pPr>
      <w:r>
        <w:rPr>
          <w:color w:val="595959"/>
        </w:rPr>
        <w:t xml:space="preserve">Oct 5,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w:t>
      </w:r>
    </w:p>
    <w:p>
      <w:pPr>
        <w:pStyle w:val="Heading2"/>
        <w:keepNext/>
      </w:pPr>
      <w:r>
        <w:t xml:space="preserve">Product invariants</w:t>
      </w:r>
    </w:p>
    <w:p>
      <w:r>
        <w:t xml:space="preserve">Five rules hold in every edition, client and connector. Each is enforced outside the model, has its own automated test suite and a zero-target guardrail in §19; weakening one requires a security review.</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and an approval or a still-valid pre-authorization for every side effect (ASG‑11, PAY‑02, PAY‑03). An approval or pre-authorization also covers the declared compensation of the action it authorizes, even after it has been used, has expired or has been revoked, so compensations are authorized too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or become standing instructions (CON‑10, SEC‑12).</w:t>
      </w:r>
    </w:p>
    <w:p>
      <w:pPr>
        <w:spacing w:after="0"/>
      </w:pPr>
    </w:p>
    <w:p>
      <w:pPr>
        <w:pStyle w:val="Heading1"/>
        <w:keepNext/>
      </w:pPr>
      <w:r>
        <w:t xml:space="preserve">2. Goals and non-goals</w:t>
      </w:r>
    </w:p>
    <w:p>
      <w:r>
        <w:t xml:space="preserve">v1 succeeds if people trust Collicity to finish recurring work end to end,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
        <w:gridCol w:w="2675"/>
        <w:gridCol w:w="4413"/>
        <w:gridCol w:w="1692"/>
      </w:tblGrid>
      <w:tr>
        <w:trPr>
          <w:tblHeader/>
        </w:trPr>
        <w:tc>
          <w:tcPr>
            <w:tcW w:type="dxa" w:w="580"/>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67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413"/>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1692"/>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G1</w:t>
            </w:r>
          </w:p>
        </w:tc>
        <w:tc>
          <w:tcPr>
            <w:tcW w:type="dxa" w:w="267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413"/>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1692"/>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G2</w:t>
            </w:r>
          </w:p>
        </w:tc>
        <w:tc>
          <w:tcPr>
            <w:tcW w:type="dxa" w:w="2675"/>
            <w:tcMar>
              <w:top w:type="dxa" w:w="60"/>
              <w:left w:type="dxa" w:w="100"/>
              <w:bottom w:type="dxa" w:w="60"/>
              <w:right w:type="dxa" w:w="100"/>
            </w:tcMar>
          </w:tcPr>
          <w:p>
            <w:pPr>
              <w:spacing w:after="0" w:before="0" w:line="252"/>
            </w:pPr>
            <w:r>
              <w:rPr>
                <w:sz w:val="19"/>
                <w:szCs w:val="19"/>
              </w:rPr>
              <w:t xml:space="preserve">No spend surprises</w:t>
            </w:r>
          </w:p>
        </w:tc>
        <w:tc>
          <w:tcPr>
            <w:tcW w:type="dxa" w:w="4413"/>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1692"/>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G3</w:t>
            </w:r>
          </w:p>
        </w:tc>
        <w:tc>
          <w:tcPr>
            <w:tcW w:type="dxa" w:w="267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413"/>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1692"/>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G4</w:t>
            </w:r>
          </w:p>
        </w:tc>
        <w:tc>
          <w:tcPr>
            <w:tcW w:type="dxa" w:w="2675"/>
            <w:tcMar>
              <w:top w:type="dxa" w:w="60"/>
              <w:left w:type="dxa" w:w="100"/>
              <w:bottom w:type="dxa" w:w="60"/>
              <w:right w:type="dxa" w:w="100"/>
            </w:tcMar>
          </w:tcPr>
          <w:p>
            <w:pPr>
              <w:spacing w:after="0" w:before="0" w:line="252"/>
            </w:pPr>
            <w:r>
              <w:rPr>
                <w:sz w:val="19"/>
                <w:szCs w:val="19"/>
              </w:rPr>
              <w:t xml:space="preserve">Trustworthy output</w:t>
            </w:r>
          </w:p>
        </w:tc>
        <w:tc>
          <w:tcPr>
            <w:tcW w:type="dxa" w:w="4413"/>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1692"/>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G5</w:t>
            </w:r>
          </w:p>
        </w:tc>
        <w:tc>
          <w:tcPr>
            <w:tcW w:type="dxa" w:w="267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413"/>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1692"/>
            <w:tcMar>
              <w:top w:type="dxa" w:w="60"/>
              <w:left w:type="dxa" w:w="100"/>
              <w:bottom w:type="dxa" w:w="60"/>
              <w:right w:type="dxa" w:w="100"/>
            </w:tcMar>
          </w:tcPr>
          <w:p>
            <w:pPr>
              <w:spacing w:after="0" w:before="0" w:line="252"/>
            </w:pPr>
            <w:r>
              <w:rPr>
                <w:sz w:val="19"/>
                <w:szCs w:val="19"/>
              </w:rPr>
              <w:t xml:space="preserve">100%</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(narrow, governed exception in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outputs and queue approvals offline;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a limit I set, so I stay in control of my money.</w:t>
      </w:r>
    </w:p>
    <w:p>
      <w:pPr>
        <w:pStyle w:val="ListParagraph"/>
        <w:numPr>
          <w:ilvl w:val="0"/>
          <w:numId w:val="5"/>
        </w:numPr>
        <w:spacing w:after="60" w:before="0"/>
      </w:pPr>
      <w:r>
        <w:t xml:space="preserve">As a home user, I want dinner ordered and my home readied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5"/>
        <w:gridCol w:w="3215"/>
        <w:gridCol w:w="4380"/>
      </w:tblGrid>
      <w:tr>
        <w:trPr>
          <w:tblHeader/>
        </w:trPr>
        <w:tc>
          <w:tcPr>
            <w:tcW w:type="dxa" w:w="1765"/>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15"/>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80"/>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Task</w:t>
            </w:r>
          </w:p>
        </w:tc>
        <w:tc>
          <w:tcPr>
            <w:tcW w:type="dxa" w:w="3215"/>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80"/>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Assignment</w:t>
            </w:r>
          </w:p>
        </w:tc>
        <w:tc>
          <w:tcPr>
            <w:tcW w:type="dxa" w:w="3215"/>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80"/>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Run</w:t>
            </w:r>
          </w:p>
        </w:tc>
        <w:tc>
          <w:tcPr>
            <w:tcW w:type="dxa" w:w="3215"/>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80"/>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Trigger</w:t>
            </w:r>
          </w:p>
        </w:tc>
        <w:tc>
          <w:tcPr>
            <w:tcW w:type="dxa" w:w="3215"/>
            <w:tcMar>
              <w:top w:type="dxa" w:w="60"/>
              <w:left w:type="dxa" w:w="100"/>
              <w:bottom w:type="dxa" w:w="60"/>
              <w:right w:type="dxa" w:w="100"/>
            </w:tcMar>
          </w:tcPr>
          <w:p>
            <w:pPr>
              <w:spacing w:after="0" w:before="0" w:line="252"/>
            </w:pPr>
            <w:r>
              <w:rPr>
                <w:sz w:val="19"/>
                <w:szCs w:val="19"/>
              </w:rPr>
              <w:t xml:space="preserve">What starts a run</w:t>
            </w:r>
          </w:p>
        </w:tc>
        <w:tc>
          <w:tcPr>
            <w:tcW w:type="dxa" w:w="4380"/>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Human step</w:t>
            </w:r>
          </w:p>
        </w:tc>
        <w:tc>
          <w:tcPr>
            <w:tcW w:type="dxa" w:w="3215"/>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80"/>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Approval gate</w:t>
            </w:r>
          </w:p>
        </w:tc>
        <w:tc>
          <w:tcPr>
            <w:tcW w:type="dxa" w:w="3215"/>
            <w:tcMar>
              <w:top w:type="dxa" w:w="60"/>
              <w:left w:type="dxa" w:w="100"/>
              <w:bottom w:type="dxa" w:w="60"/>
              <w:right w:type="dxa" w:w="100"/>
            </w:tcMar>
          </w:tcPr>
          <w:p>
            <w:pPr>
              <w:spacing w:after="0" w:before="0" w:line="252"/>
            </w:pPr>
            <w:r>
              <w:rPr>
                <w:sz w:val="19"/>
                <w:szCs w:val="19"/>
              </w:rPr>
              <w:t xml:space="preserve">Required confirmation before a risky action</w:t>
            </w:r>
          </w:p>
        </w:tc>
        <w:tc>
          <w:tcPr>
            <w:tcW w:type="dxa" w:w="4380"/>
            <w:tcMar>
              <w:top w:type="dxa" w:w="60"/>
              <w:left w:type="dxa" w:w="100"/>
              <w:bottom w:type="dxa" w:w="60"/>
              <w:right w:type="dxa" w:w="100"/>
            </w:tcMar>
          </w:tcPr>
          <w:p>
            <w:pPr>
              <w:spacing w:after="0" w:before="0" w:line="252"/>
            </w:pPr>
            <w:r>
              <w:rPr>
                <w:sz w:val="19"/>
                <w:szCs w:val="19"/>
              </w:rPr>
              <w:t xml:space="preserve">Default on for payments, external sends, deletes, permission or settings changes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Work queue</w:t>
            </w:r>
          </w:p>
        </w:tc>
        <w:tc>
          <w:tcPr>
            <w:tcW w:type="dxa" w:w="3215"/>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80"/>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Connector</w:t>
            </w:r>
          </w:p>
        </w:tc>
        <w:tc>
          <w:tcPr>
            <w:tcW w:type="dxa" w:w="3215"/>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80"/>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Template</w:t>
            </w:r>
          </w:p>
        </w:tc>
        <w:tc>
          <w:tcPr>
            <w:tcW w:type="dxa" w:w="3215"/>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80"/>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Budget</w:t>
            </w:r>
          </w:p>
        </w:tc>
        <w:tc>
          <w:tcPr>
            <w:tcW w:type="dxa" w:w="3215"/>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80"/>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Model performance inventory</w:t>
            </w:r>
          </w:p>
        </w:tc>
        <w:tc>
          <w:tcPr>
            <w:tcW w:type="dxa" w:w="3215"/>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80"/>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2"/>
        <w:gridCol w:w="820"/>
        <w:gridCol w:w="2800"/>
        <w:gridCol w:w="2968"/>
      </w:tblGrid>
      <w:tr>
        <w:trPr>
          <w:tblHeader/>
        </w:trPr>
        <w:tc>
          <w:tcPr>
            <w:tcW w:type="dxa" w:w="2772"/>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82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80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2968"/>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820"/>
            <w:tcMar>
              <w:top w:type="dxa" w:w="60"/>
              <w:left w:type="dxa" w:w="100"/>
              <w:bottom w:type="dxa" w:w="60"/>
              <w:right w:type="dxa" w:w="100"/>
            </w:tcMar>
          </w:tcPr>
          <w:p>
            <w:pPr>
              <w:spacing w:after="0" w:before="0" w:line="252"/>
            </w:pPr>
            <w:r>
              <w:rPr>
                <w:sz w:val="19"/>
                <w:szCs w:val="19"/>
              </w:rPr>
              <w:t xml:space="preserve">Full</w:t>
            </w:r>
          </w:p>
        </w:tc>
        <w:tc>
          <w:tcPr>
            <w:tcW w:type="dxa" w:w="2800"/>
            <w:tcMar>
              <w:top w:type="dxa" w:w="60"/>
              <w:left w:type="dxa" w:w="100"/>
              <w:bottom w:type="dxa" w:w="60"/>
              <w:right w:type="dxa" w:w="100"/>
            </w:tcMar>
          </w:tcPr>
          <w:p>
            <w:pPr>
              <w:spacing w:after="0" w:before="0" w:line="252"/>
            </w:pPr>
            <w:r>
              <w:rPr>
                <w:sz w:val="19"/>
                <w:szCs w:val="19"/>
              </w:rPr>
              <w:t xml:space="preserve">Full</w:t>
            </w:r>
          </w:p>
        </w:tc>
        <w:tc>
          <w:tcPr>
            <w:tcW w:type="dxa" w:w="2968"/>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Chat and ask-anything Q&amp;A</w:t>
            </w:r>
          </w:p>
        </w:tc>
        <w:tc>
          <w:tcPr>
            <w:tcW w:type="dxa" w:w="820"/>
            <w:tcMar>
              <w:top w:type="dxa" w:w="60"/>
              <w:left w:type="dxa" w:w="100"/>
              <w:bottom w:type="dxa" w:w="60"/>
              <w:right w:type="dxa" w:w="100"/>
            </w:tcMar>
          </w:tcPr>
          <w:p>
            <w:pPr>
              <w:spacing w:after="0" w:before="0" w:line="252"/>
            </w:pPr>
            <w:r>
              <w:rPr>
                <w:sz w:val="19"/>
                <w:szCs w:val="19"/>
              </w:rPr>
              <w:t xml:space="preserve">Yes</w:t>
            </w:r>
          </w:p>
        </w:tc>
        <w:tc>
          <w:tcPr>
            <w:tcW w:type="dxa" w:w="2800"/>
            <w:tcMar>
              <w:top w:type="dxa" w:w="60"/>
              <w:left w:type="dxa" w:w="100"/>
              <w:bottom w:type="dxa" w:w="60"/>
              <w:right w:type="dxa" w:w="100"/>
            </w:tcMar>
          </w:tcPr>
          <w:p>
            <w:pPr>
              <w:spacing w:after="0" w:before="0" w:line="252"/>
            </w:pPr>
            <w:r>
              <w:rPr>
                <w:sz w:val="19"/>
                <w:szCs w:val="19"/>
              </w:rPr>
              <w:t xml:space="preserve">Yes</w:t>
            </w:r>
          </w:p>
        </w:tc>
        <w:tc>
          <w:tcPr>
            <w:tcW w:type="dxa" w:w="2968"/>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Approvals and human steps</w:t>
            </w:r>
          </w:p>
        </w:tc>
        <w:tc>
          <w:tcPr>
            <w:tcW w:type="dxa" w:w="820"/>
            <w:tcMar>
              <w:top w:type="dxa" w:w="60"/>
              <w:left w:type="dxa" w:w="100"/>
              <w:bottom w:type="dxa" w:w="60"/>
              <w:right w:type="dxa" w:w="100"/>
            </w:tcMar>
          </w:tcPr>
          <w:p>
            <w:pPr>
              <w:spacing w:after="0" w:before="0" w:line="252"/>
            </w:pPr>
            <w:r>
              <w:rPr>
                <w:sz w:val="19"/>
                <w:szCs w:val="19"/>
              </w:rPr>
              <w:t xml:space="preserve">Yes</w:t>
            </w:r>
          </w:p>
        </w:tc>
        <w:tc>
          <w:tcPr>
            <w:tcW w:type="dxa" w:w="2800"/>
            <w:tcMar>
              <w:top w:type="dxa" w:w="60"/>
              <w:left w:type="dxa" w:w="100"/>
              <w:bottom w:type="dxa" w:w="60"/>
              <w:right w:type="dxa" w:w="100"/>
            </w:tcMar>
          </w:tcPr>
          <w:p>
            <w:pPr>
              <w:spacing w:after="0" w:before="0" w:line="252"/>
            </w:pPr>
            <w:r>
              <w:rPr>
                <w:sz w:val="19"/>
                <w:szCs w:val="19"/>
              </w:rPr>
              <w:t xml:space="preserve">Yes, with OS notifications</w:t>
            </w:r>
          </w:p>
        </w:tc>
        <w:tc>
          <w:tcPr>
            <w:tcW w:type="dxa" w:w="2968"/>
            <w:tcMar>
              <w:top w:type="dxa" w:w="60"/>
              <w:left w:type="dxa" w:w="100"/>
              <w:bottom w:type="dxa" w:w="60"/>
              <w:right w:type="dxa" w:w="100"/>
            </w:tcMar>
          </w:tcPr>
          <w:p>
            <w:pPr>
              <w:spacing w:after="0" w:before="0" w:line="252"/>
            </w:pPr>
            <w:r>
              <w:rPr>
                <w:sz w:val="19"/>
                <w:szCs w:val="19"/>
              </w:rPr>
              <w:t xml:space="preserve">Yes, actionable push; biometric confirm for payments</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Run monitoring and budgets</w:t>
            </w:r>
          </w:p>
        </w:tc>
        <w:tc>
          <w:tcPr>
            <w:tcW w:type="dxa" w:w="820"/>
            <w:tcMar>
              <w:top w:type="dxa" w:w="60"/>
              <w:left w:type="dxa" w:w="100"/>
              <w:bottom w:type="dxa" w:w="60"/>
              <w:right w:type="dxa" w:w="100"/>
            </w:tcMar>
          </w:tcPr>
          <w:p>
            <w:pPr>
              <w:spacing w:after="0" w:before="0" w:line="252"/>
            </w:pPr>
            <w:r>
              <w:rPr>
                <w:sz w:val="19"/>
                <w:szCs w:val="19"/>
              </w:rPr>
              <w:t xml:space="preserve">Yes</w:t>
            </w:r>
          </w:p>
        </w:tc>
        <w:tc>
          <w:tcPr>
            <w:tcW w:type="dxa" w:w="2800"/>
            <w:tcMar>
              <w:top w:type="dxa" w:w="60"/>
              <w:left w:type="dxa" w:w="100"/>
              <w:bottom w:type="dxa" w:w="60"/>
              <w:right w:type="dxa" w:w="100"/>
            </w:tcMar>
          </w:tcPr>
          <w:p>
            <w:pPr>
              <w:spacing w:after="0" w:before="0" w:line="252"/>
            </w:pPr>
            <w:r>
              <w:rPr>
                <w:sz w:val="19"/>
                <w:szCs w:val="19"/>
              </w:rPr>
              <w:t xml:space="preserve">Yes</w:t>
            </w:r>
          </w:p>
        </w:tc>
        <w:tc>
          <w:tcPr>
            <w:tcW w:type="dxa" w:w="2968"/>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Proximity (geofence) triggers</w:t>
            </w:r>
          </w:p>
        </w:tc>
        <w:tc>
          <w:tcPr>
            <w:tcW w:type="dxa" w:w="820"/>
            <w:tcMar>
              <w:top w:type="dxa" w:w="60"/>
              <w:left w:type="dxa" w:w="100"/>
              <w:bottom w:type="dxa" w:w="60"/>
              <w:right w:type="dxa" w:w="100"/>
            </w:tcMar>
          </w:tcPr>
          <w:p>
            <w:pPr>
              <w:spacing w:after="0" w:before="0" w:line="252"/>
            </w:pPr>
            <w:r>
              <w:rPr>
                <w:sz w:val="19"/>
                <w:szCs w:val="19"/>
              </w:rPr>
              <w:t xml:space="preserve">—</w:t>
            </w:r>
          </w:p>
        </w:tc>
        <w:tc>
          <w:tcPr>
            <w:tcW w:type="dxa" w:w="2800"/>
            <w:tcMar>
              <w:top w:type="dxa" w:w="60"/>
              <w:left w:type="dxa" w:w="100"/>
              <w:bottom w:type="dxa" w:w="60"/>
              <w:right w:type="dxa" w:w="100"/>
            </w:tcMar>
          </w:tcPr>
          <w:p>
            <w:pPr>
              <w:spacing w:after="0" w:before="0" w:line="252"/>
            </w:pPr>
            <w:r>
              <w:rPr>
                <w:sz w:val="19"/>
                <w:szCs w:val="19"/>
              </w:rPr>
              <w:t xml:space="preserve">—</w:t>
            </w:r>
          </w:p>
        </w:tc>
        <w:tc>
          <w:tcPr>
            <w:tcW w:type="dxa" w:w="2968"/>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Local connectors</w:t>
            </w:r>
          </w:p>
        </w:tc>
        <w:tc>
          <w:tcPr>
            <w:tcW w:type="dxa" w:w="820"/>
            <w:tcMar>
              <w:top w:type="dxa" w:w="60"/>
              <w:left w:type="dxa" w:w="100"/>
              <w:bottom w:type="dxa" w:w="60"/>
              <w:right w:type="dxa" w:w="100"/>
            </w:tcMar>
          </w:tcPr>
          <w:p>
            <w:pPr>
              <w:spacing w:after="0" w:before="0" w:line="252"/>
            </w:pPr>
            <w:r>
              <w:rPr>
                <w:sz w:val="19"/>
                <w:szCs w:val="19"/>
              </w:rPr>
              <w:t xml:space="preserve">—</w:t>
            </w:r>
          </w:p>
        </w:tc>
        <w:tc>
          <w:tcPr>
            <w:tcW w:type="dxa" w:w="280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2968"/>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Enterprise admin console</w:t>
            </w:r>
          </w:p>
        </w:tc>
        <w:tc>
          <w:tcPr>
            <w:tcW w:type="dxa" w:w="820"/>
            <w:tcMar>
              <w:top w:type="dxa" w:w="60"/>
              <w:left w:type="dxa" w:w="100"/>
              <w:bottom w:type="dxa" w:w="60"/>
              <w:right w:type="dxa" w:w="100"/>
            </w:tcMar>
          </w:tcPr>
          <w:p>
            <w:pPr>
              <w:spacing w:after="0" w:before="0" w:line="252"/>
            </w:pPr>
            <w:r>
              <w:rPr>
                <w:sz w:val="19"/>
                <w:szCs w:val="19"/>
              </w:rPr>
              <w:t xml:space="preserve">Yes</w:t>
            </w:r>
          </w:p>
        </w:tc>
        <w:tc>
          <w:tcPr>
            <w:tcW w:type="dxa" w:w="2800"/>
            <w:tcMar>
              <w:top w:type="dxa" w:w="60"/>
              <w:left w:type="dxa" w:w="100"/>
              <w:bottom w:type="dxa" w:w="60"/>
              <w:right w:type="dxa" w:w="100"/>
            </w:tcMar>
          </w:tcPr>
          <w:p>
            <w:pPr>
              <w:spacing w:after="0" w:before="0" w:line="252"/>
            </w:pPr>
            <w:r>
              <w:rPr>
                <w:sz w:val="19"/>
                <w:szCs w:val="19"/>
              </w:rPr>
              <w:t xml:space="preserve">Yes</w:t>
            </w:r>
          </w:p>
        </w:tc>
        <w:tc>
          <w:tcPr>
            <w:tcW w:type="dxa" w:w="2968"/>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Offline</w:t>
            </w:r>
          </w:p>
        </w:tc>
        <w:tc>
          <w:tcPr>
            <w:tcW w:type="dxa" w:w="820"/>
            <w:tcMar>
              <w:top w:type="dxa" w:w="60"/>
              <w:left w:type="dxa" w:w="100"/>
              <w:bottom w:type="dxa" w:w="60"/>
              <w:right w:type="dxa" w:w="100"/>
            </w:tcMar>
          </w:tcPr>
          <w:p>
            <w:pPr>
              <w:spacing w:after="0" w:before="0" w:line="252"/>
            </w:pPr>
            <w:r>
              <w:rPr>
                <w:sz w:val="19"/>
                <w:szCs w:val="19"/>
              </w:rPr>
              <w:t xml:space="preserve">—</w:t>
            </w:r>
          </w:p>
        </w:tc>
        <w:tc>
          <w:tcPr>
            <w:tcW w:type="dxa" w:w="2800"/>
            <w:tcMar>
              <w:top w:type="dxa" w:w="60"/>
              <w:left w:type="dxa" w:w="100"/>
              <w:bottom w:type="dxa" w:w="60"/>
              <w:right w:type="dxa" w:w="100"/>
            </w:tcMar>
          </w:tcPr>
          <w:p>
            <w:pPr>
              <w:spacing w:after="0" w:before="0" w:line="252"/>
            </w:pPr>
            <w:r>
              <w:rPr>
                <w:sz w:val="19"/>
                <w:szCs w:val="19"/>
              </w:rPr>
              <w:t xml:space="preserve">View cached outputs, queue approvals</w:t>
            </w:r>
          </w:p>
        </w:tc>
        <w:tc>
          <w:tcPr>
            <w:tcW w:type="dxa" w:w="2968"/>
            <w:tcMar>
              <w:top w:type="dxa" w:w="60"/>
              <w:left w:type="dxa" w:w="100"/>
              <w:bottom w:type="dxa" w:w="60"/>
              <w:right w:type="dxa" w:w="100"/>
            </w:tcMar>
          </w:tcPr>
          <w:p>
            <w:pPr>
              <w:spacing w:after="0" w:before="0" w:line="252"/>
            </w:pPr>
            <w:r>
              <w:rPr>
                <w:sz w:val="19"/>
                <w:szCs w:val="19"/>
              </w:rPr>
              <w:t xml:space="preserve">View cached outputs, queue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actionable push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7"/>
        <w:gridCol w:w="2785"/>
        <w:gridCol w:w="4558"/>
      </w:tblGrid>
      <w:tr>
        <w:trPr>
          <w:tblHeader/>
        </w:trPr>
        <w:tc>
          <w:tcPr>
            <w:tcW w:type="dxa" w:w="2017"/>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785"/>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558"/>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2017"/>
            <w:tcMar>
              <w:top w:type="dxa" w:w="60"/>
              <w:left w:type="dxa" w:w="100"/>
              <w:bottom w:type="dxa" w:w="60"/>
              <w:right w:type="dxa" w:w="100"/>
            </w:tcMar>
          </w:tcPr>
          <w:p>
            <w:pPr>
              <w:spacing w:after="0" w:before="0" w:line="252"/>
            </w:pPr>
            <w:r>
              <w:rPr>
                <w:sz w:val="19"/>
                <w:szCs w:val="19"/>
              </w:rPr>
              <w:t xml:space="preserve">Remote MCP server</w:t>
            </w:r>
          </w:p>
        </w:tc>
        <w:tc>
          <w:tcPr>
            <w:tcW w:type="dxa" w:w="2785"/>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558"/>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2017"/>
            <w:tcMar>
              <w:top w:type="dxa" w:w="60"/>
              <w:left w:type="dxa" w:w="100"/>
              <w:bottom w:type="dxa" w:w="60"/>
              <w:right w:type="dxa" w:w="100"/>
            </w:tcMar>
          </w:tcPr>
          <w:p>
            <w:pPr>
              <w:spacing w:after="0" w:before="0" w:line="252"/>
            </w:pPr>
            <w:r>
              <w:rPr>
                <w:sz w:val="19"/>
                <w:szCs w:val="19"/>
              </w:rPr>
              <w:t xml:space="preserve">API connector (REST / GraphQL)</w:t>
            </w:r>
          </w:p>
        </w:tc>
        <w:tc>
          <w:tcPr>
            <w:tcW w:type="dxa" w:w="2785"/>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558"/>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2017"/>
            <w:tcMar>
              <w:top w:type="dxa" w:w="60"/>
              <w:left w:type="dxa" w:w="100"/>
              <w:bottom w:type="dxa" w:w="60"/>
              <w:right w:type="dxa" w:w="100"/>
            </w:tcMar>
          </w:tcPr>
          <w:p>
            <w:pPr>
              <w:spacing w:after="0" w:before="0" w:line="252"/>
            </w:pPr>
            <w:r>
              <w:rPr>
                <w:sz w:val="19"/>
                <w:szCs w:val="19"/>
              </w:rPr>
              <w:t xml:space="preserve">Knowledge (RAG) source</w:t>
            </w:r>
          </w:p>
        </w:tc>
        <w:tc>
          <w:tcPr>
            <w:tcW w:type="dxa" w:w="2785"/>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558"/>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2017"/>
            <w:tcMar>
              <w:top w:type="dxa" w:w="60"/>
              <w:left w:type="dxa" w:w="100"/>
              <w:bottom w:type="dxa" w:w="60"/>
              <w:right w:type="dxa" w:w="100"/>
            </w:tcMar>
          </w:tcPr>
          <w:p>
            <w:pPr>
              <w:spacing w:after="0" w:before="0" w:line="252"/>
            </w:pPr>
            <w:r>
              <w:rPr>
                <w:sz w:val="19"/>
                <w:szCs w:val="19"/>
              </w:rPr>
              <w:t xml:space="preserve">Device-local</w:t>
            </w:r>
          </w:p>
        </w:tc>
        <w:tc>
          <w:tcPr>
            <w:tcW w:type="dxa" w:w="2785"/>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558"/>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2017"/>
            <w:tcMar>
              <w:top w:type="dxa" w:w="60"/>
              <w:left w:type="dxa" w:w="100"/>
              <w:bottom w:type="dxa" w:w="60"/>
              <w:right w:type="dxa" w:w="100"/>
            </w:tcMar>
          </w:tcPr>
          <w:p>
            <w:pPr>
              <w:spacing w:after="0" w:before="0" w:line="252"/>
            </w:pPr>
            <w:r>
              <w:rPr>
                <w:sz w:val="19"/>
                <w:szCs w:val="19"/>
              </w:rPr>
              <w:t xml:space="preserve">Event source</w:t>
            </w:r>
          </w:p>
        </w:tc>
        <w:tc>
          <w:tcPr>
            <w:tcW w:type="dxa" w:w="2785"/>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558"/>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2017"/>
            <w:tcMar>
              <w:top w:type="dxa" w:w="60"/>
              <w:left w:type="dxa" w:w="100"/>
              <w:bottom w:type="dxa" w:w="60"/>
              <w:right w:type="dxa" w:w="100"/>
            </w:tcMar>
          </w:tcPr>
          <w:p>
            <w:pPr>
              <w:spacing w:after="0" w:before="0" w:line="252"/>
            </w:pPr>
            <w:r>
              <w:rPr>
                <w:sz w:val="19"/>
                <w:szCs w:val="19"/>
              </w:rPr>
              <w:t xml:space="preserve">Browser automation (P2, gated)</w:t>
            </w:r>
          </w:p>
        </w:tc>
        <w:tc>
          <w:tcPr>
            <w:tcW w:type="dxa" w:w="2785"/>
            <w:tcMar>
              <w:top w:type="dxa" w:w="60"/>
              <w:left w:type="dxa" w:w="100"/>
              <w:bottom w:type="dxa" w:w="60"/>
              <w:right w:type="dxa" w:w="100"/>
            </w:tcMar>
          </w:tcPr>
          <w:p>
            <w:pPr>
              <w:spacing w:after="0" w:before="0" w:line="252"/>
            </w:pPr>
            <w:r>
              <w:rPr>
                <w:sz w:val="19"/>
                <w:szCs w:val="19"/>
              </w:rPr>
              <w:t xml:space="preserve">Sites with no API</w:t>
            </w:r>
          </w:p>
        </w:tc>
        <w:tc>
          <w:tcPr>
            <w:tcW w:type="dxa" w:w="4558"/>
            <w:tcMar>
              <w:top w:type="dxa" w:w="60"/>
              <w:left w:type="dxa" w:w="100"/>
              <w:bottom w:type="dxa" w:w="60"/>
              <w:right w:type="dxa" w:w="100"/>
            </w:tcMar>
          </w:tcPr>
          <w:p>
            <w:pPr>
              <w:spacing w:after="0" w:before="0" w:line="252"/>
            </w:pPr>
            <w:r>
              <w:rPr>
                <w:sz w:val="19"/>
                <w:szCs w:val="19"/>
              </w:rPr>
              <w:t xml:space="preserve">Highest risk; only if approved (§21)</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approval every time.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w:t>
      </w:r>
      <w:r>
        <w:rPr>
          <w:i/>
          <w:iCs/>
        </w:rPr>
        <w:t xml:space="preserve">(Decided 2026-10-05.)</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and (c) a matching Collicity audit record: user, connector, action, resource, run, task, model, approval, approver and result.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Untrusted content is also delimited and labeled in prompts, as basic hygiene only; labels are not a control.</w:t>
      </w:r>
    </w:p>
    <w:p>
      <w:pPr>
        <w:pStyle w:val="ListParagraph"/>
        <w:numPr>
          <w:ilvl w:val="0"/>
          <w:numId w:val="2"/>
        </w:numPr>
        <w:spacing w:after="60" w:before="0"/>
      </w:pPr>
      <w:r>
        <w:rPr>
          <w:b/>
          <w:bCs/>
        </w:rPr>
        <w:t xml:space="preserve">CON‑11 (P1) Data classification.</w:t>
      </w:r>
      <w:r>
        <w:t xml:space="preserve"> Connectors carry sensitivity labels (e.g., Microsoft Purview) into Collicity; routing and sharing honor them, e.g., "Confidential" content only to admin-approved models.</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and, from GA, how to check a person's own access to a resource and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5"/>
        <w:gridCol w:w="2035"/>
        <w:gridCol w:w="4054"/>
        <w:gridCol w:w="1886"/>
      </w:tblGrid>
      <w:tr>
        <w:trPr>
          <w:tblHeader/>
        </w:trPr>
        <w:tc>
          <w:tcPr>
            <w:tcW w:type="dxa" w:w="1385"/>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2035"/>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4054"/>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1886"/>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85"/>
            <w:tcMar>
              <w:top w:type="dxa" w:w="60"/>
              <w:left w:type="dxa" w:w="100"/>
              <w:bottom w:type="dxa" w:w="60"/>
              <w:right w:type="dxa" w:w="100"/>
            </w:tcMar>
          </w:tcPr>
          <w:p>
            <w:pPr>
              <w:spacing w:after="0" w:before="0" w:line="252"/>
            </w:pPr>
            <w:r>
              <w:rPr>
                <w:sz w:val="19"/>
                <w:szCs w:val="19"/>
              </w:rPr>
              <w:t xml:space="preserve">Email request triage</w:t>
            </w:r>
          </w:p>
        </w:tc>
        <w:tc>
          <w:tcPr>
            <w:tcW w:type="dxa" w:w="2035"/>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4054"/>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 apply change</w:t>
            </w:r>
          </w:p>
        </w:tc>
        <w:tc>
          <w:tcPr>
            <w:tcW w:type="dxa" w:w="1886"/>
            <w:tcMar>
              <w:top w:type="dxa" w:w="60"/>
              <w:left w:type="dxa" w:w="100"/>
              <w:bottom w:type="dxa" w:w="60"/>
              <w:right w:type="dxa" w:w="100"/>
            </w:tcMar>
          </w:tcPr>
          <w:p>
            <w:pPr>
              <w:spacing w:after="0" w:before="0" w:line="252"/>
            </w:pPr>
            <w:r>
              <w:rPr>
                <w:sz w:val="19"/>
                <w:szCs w:val="19"/>
              </w:rPr>
              <w:t xml:space="preserve">Approval before any write, unless pre-authorized</w:t>
            </w:r>
          </w:p>
        </w:tc>
      </w:tr>
      <w:tr>
        <w:trPr>
          <w:tblHeader w:val="off"/>
        </w:trPr>
        <w:tc>
          <w:tcPr>
            <w:tcW w:type="dxa" w:w="1385"/>
            <w:tcMar>
              <w:top w:type="dxa" w:w="60"/>
              <w:left w:type="dxa" w:w="100"/>
              <w:bottom w:type="dxa" w:w="60"/>
              <w:right w:type="dxa" w:w="100"/>
            </w:tcMar>
          </w:tcPr>
          <w:p>
            <w:pPr>
              <w:spacing w:after="0" w:before="0" w:line="252"/>
            </w:pPr>
            <w:r>
              <w:rPr>
                <w:sz w:val="19"/>
                <w:szCs w:val="19"/>
              </w:rPr>
              <w:t xml:space="preserve">Security posture report</w:t>
            </w:r>
          </w:p>
        </w:tc>
        <w:tc>
          <w:tcPr>
            <w:tcW w:type="dxa" w:w="2035"/>
            <w:tcMar>
              <w:top w:type="dxa" w:w="60"/>
              <w:left w:type="dxa" w:w="100"/>
              <w:bottom w:type="dxa" w:w="60"/>
              <w:right w:type="dxa" w:w="100"/>
            </w:tcMar>
          </w:tcPr>
          <w:p>
            <w:pPr>
              <w:spacing w:after="0" w:before="0" w:line="252"/>
            </w:pPr>
            <w:r>
              <w:rPr>
                <w:sz w:val="19"/>
                <w:szCs w:val="19"/>
              </w:rPr>
              <w:t xml:space="preserve">Weekly, Monday 06:00</w:t>
            </w:r>
          </w:p>
        </w:tc>
        <w:tc>
          <w:tcPr>
            <w:tcW w:type="dxa" w:w="4054"/>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H: analyst review → publish to SharePoint</w:t>
            </w:r>
          </w:p>
        </w:tc>
        <w:tc>
          <w:tcPr>
            <w:tcW w:type="dxa" w:w="1886"/>
            <w:tcMar>
              <w:top w:type="dxa" w:w="60"/>
              <w:left w:type="dxa" w:w="100"/>
              <w:bottom w:type="dxa" w:w="60"/>
              <w:right w:type="dxa" w:w="100"/>
            </w:tcMar>
          </w:tcPr>
          <w:p>
            <w:pPr>
              <w:spacing w:after="0" w:before="0" w:line="252"/>
            </w:pPr>
            <w:r>
              <w:rPr>
                <w:sz w:val="19"/>
                <w:szCs w:val="19"/>
              </w:rPr>
              <w:t xml:space="preserve">Review before publish</w:t>
            </w:r>
          </w:p>
        </w:tc>
      </w:tr>
      <w:tr>
        <w:trPr>
          <w:tblHeader w:val="off"/>
        </w:trPr>
        <w:tc>
          <w:tcPr>
            <w:tcW w:type="dxa" w:w="1385"/>
            <w:tcMar>
              <w:top w:type="dxa" w:w="60"/>
              <w:left w:type="dxa" w:w="100"/>
              <w:bottom w:type="dxa" w:w="60"/>
              <w:right w:type="dxa" w:w="100"/>
            </w:tcMar>
          </w:tcPr>
          <w:p>
            <w:pPr>
              <w:spacing w:after="0" w:before="0" w:line="252"/>
            </w:pPr>
            <w:r>
              <w:rPr>
                <w:sz w:val="19"/>
                <w:szCs w:val="19"/>
              </w:rPr>
              <w:t xml:space="preserve">Weekly meal plan</w:t>
            </w:r>
          </w:p>
        </w:tc>
        <w:tc>
          <w:tcPr>
            <w:tcW w:type="dxa" w:w="2035"/>
            <w:tcMar>
              <w:top w:type="dxa" w:w="60"/>
              <w:left w:type="dxa" w:w="100"/>
              <w:bottom w:type="dxa" w:w="60"/>
              <w:right w:type="dxa" w:w="100"/>
            </w:tcMar>
          </w:tcPr>
          <w:p>
            <w:pPr>
              <w:spacing w:after="0" w:before="0" w:line="252"/>
            </w:pPr>
            <w:r>
              <w:rPr>
                <w:sz w:val="19"/>
                <w:szCs w:val="19"/>
              </w:rPr>
              <w:t xml:space="preserve">Sunday 10:00</w:t>
            </w:r>
          </w:p>
        </w:tc>
        <w:tc>
          <w:tcPr>
            <w:tcW w:type="dxa" w:w="4054"/>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 create the delivery-night proximity trigger (§11)</w:t>
            </w:r>
          </w:p>
        </w:tc>
        <w:tc>
          <w:tcPr>
            <w:tcW w:type="dxa" w:w="1886"/>
            <w:tcMar>
              <w:top w:type="dxa" w:w="60"/>
              <w:left w:type="dxa" w:w="100"/>
              <w:bottom w:type="dxa" w:w="60"/>
              <w:right w:type="dxa" w:w="100"/>
            </w:tcMar>
          </w:tcPr>
          <w:p>
            <w:pPr>
              <w:spacing w:after="0" w:before="0" w:line="252"/>
            </w:pPr>
            <w:r>
              <w:rPr>
                <w:sz w:val="19"/>
                <w:szCs w:val="19"/>
              </w:rPr>
              <w:t xml:space="preserve">Payment approval or pre-authorized cap (§14)</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default on for payments, sends to external recipients, deletions and permission or settings changes. A user may pre-authorize a narrow class of action within explicit limits (e.g., purchases under a cap at one merchant); the pre-authorization is itself the logged approval. Enterprise admins can make gates mandatory.</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is resumable (§7.6). Suspending the user (ADM‑06) is different: it is a deprovisioning signal (CON‑06).</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role and authority checks, and auto-actions require medium or high; low-confidence mail goes to a review lane and is never auto-actioned.</w:t>
      </w:r>
    </w:p>
    <w:p>
      <w:pPr>
        <w:pStyle w:val="ListParagraph"/>
        <w:numPr>
          <w:ilvl w:val="0"/>
          <w:numId w:val="2"/>
        </w:numPr>
        <w:spacing w:after="60" w:before="0"/>
      </w:pPr>
      <w:r>
        <w:rPr>
          <w:b/>
          <w:bCs/>
        </w:rPr>
        <w:t xml:space="preserve">ASG‑16 (P1)</w:t>
      </w:r>
      <w:r>
        <w:t xml:space="preserve"> Items auto-execute only when confidence is above a threshold and the action is on the user's pre-authorized list; otherwise they wait for a click.</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requests from one sender are flagged. Auto-execution (ASG‑16) switches off for a sender after any rejected, flagged or invalid item until the queue owner turns it back on, so an attacker can't send many variants until one gets through.</w:t>
      </w:r>
    </w:p>
    <w:p>
      <w:pPr>
        <w:spacing w:after="0"/>
      </w:pPr>
    </w:p>
    <w:p>
      <w:pPr>
        <w:pStyle w:val="Heading2"/>
        <w:keepNext/>
      </w:pPr>
      <w:r>
        <w:t xml:space="preserve">7.5 Runtime semantics</w:t>
      </w:r>
    </w:p>
    <w:p>
      <w:r>
        <w:t xml:space="preserve">Seven behaviors need explicit rules before build. Each has a proposed default that owners can override per assignment; the defaults are still to be confirmed (§21).</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expire after 7 days by default.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expired (the expiry passed before the request was decided or its action ran).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needs approval when consequential). The builder warns when an irreversible step comes before steps that can fail and suggests moving it last. Compensations are actions too, so they pass the same gateway and policy, under the approval or pre-authorization of the action they reverse (invariant 2): an approval binds the declared compensation and its exact restore values, and a pre-authorization covers the declared compensation, with restore values recorded when the action runs.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Class (d) actions need approval each time unless they are compensable.</w:t>
      </w:r>
    </w:p>
    <w:p>
      <w:pPr>
        <w:spacing w:after="0"/>
      </w:pPr>
    </w:p>
    <w:p>
      <w:pPr>
        <w:spacing w:after="200" w:before="120"/>
        <w:jc w:val="center"/>
      </w:pPr>
      <w:r>
        <w:drawing>
          <wp:inline distT="0" distB="0" distL="0" distR="0">
            <wp:extent cx="5943600" cy="4467225"/>
            <wp:effectExtent t="0" r="0" b="0" l="0"/>
            <wp:docPr id="2"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The owner confirms one disclosure screen that lists the recipients and the source scopes the version declares (the sites, folders, lists and mailboxes its selectors resolve to). Each new edition then publishes without a new screen while it comes from the same version, its sources lie within those scopes, and its most restrictive label is no higher than that of the edition the owner confirmed. An edition is held for the owner to confirm again when any of these changes, when its label needs a second approver, or when the supervisor flagged it or injection screening found a positive (SUP‑03, SEC‑13).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and secret.</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approval or a pre-authorization the recipient made for that instance (ASG‑11, ASG‑16); pre-authorizations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Collicity never changes a target's permissions.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run creates a one-night proximity trigger: on Thursday between 17:00 and 20:00, when the phone enters the "Home" zone, Collicity orders the meal (cloud connector, subject to §14), sets the thermostat and turns on the lights (HomeKit actions run on the phone; other smart-home platforms run from the cloud).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8"/>
        <w:gridCol w:w="3192"/>
        <w:gridCol w:w="4150"/>
      </w:tblGrid>
      <w:tr>
        <w:trPr>
          <w:tblHeader/>
        </w:trPr>
        <w:tc>
          <w:tcPr>
            <w:tcW w:type="dxa" w:w="2018"/>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92"/>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150"/>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Sign-in</w:t>
            </w:r>
          </w:p>
        </w:tc>
        <w:tc>
          <w:tcPr>
            <w:tcW w:type="dxa" w:w="3192"/>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150"/>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MFA</w:t>
            </w:r>
          </w:p>
        </w:tc>
        <w:tc>
          <w:tcPr>
            <w:tcW w:type="dxa" w:w="3192"/>
            <w:tcMar>
              <w:top w:type="dxa" w:w="60"/>
              <w:left w:type="dxa" w:w="100"/>
              <w:bottom w:type="dxa" w:w="60"/>
              <w:right w:type="dxa" w:w="100"/>
            </w:tcMar>
          </w:tcPr>
          <w:p>
            <w:pPr>
              <w:spacing w:after="0" w:before="0" w:line="252"/>
            </w:pPr>
            <w:r>
              <w:rPr>
                <w:sz w:val="19"/>
                <w:szCs w:val="19"/>
              </w:rPr>
              <w:t xml:space="preserve">Passkeys or the provider's MFA; step-up for payments</w:t>
            </w:r>
          </w:p>
        </w:tc>
        <w:tc>
          <w:tcPr>
            <w:tcW w:type="dxa" w:w="4150"/>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Administration</w:t>
            </w:r>
          </w:p>
        </w:tc>
        <w:tc>
          <w:tcPr>
            <w:tcW w:type="dxa" w:w="3192"/>
            <w:tcMar>
              <w:top w:type="dxa" w:w="60"/>
              <w:left w:type="dxa" w:w="100"/>
              <w:bottom w:type="dxa" w:w="60"/>
              <w:right w:type="dxa" w:w="100"/>
            </w:tcMar>
          </w:tcPr>
          <w:p>
            <w:pPr>
              <w:spacing w:after="0" w:before="0" w:line="252"/>
            </w:pPr>
            <w:r>
              <w:rPr>
                <w:sz w:val="19"/>
                <w:szCs w:val="19"/>
              </w:rPr>
              <w:t xml:space="preserve">Account settings</w:t>
            </w:r>
          </w:p>
        </w:tc>
        <w:tc>
          <w:tcPr>
            <w:tcW w:type="dxa" w:w="4150"/>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Budgets</w:t>
            </w:r>
          </w:p>
        </w:tc>
        <w:tc>
          <w:tcPr>
            <w:tcW w:type="dxa" w:w="3192"/>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150"/>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Models</w:t>
            </w:r>
          </w:p>
        </w:tc>
        <w:tc>
          <w:tcPr>
            <w:tcW w:type="dxa" w:w="3192"/>
            <w:tcMar>
              <w:top w:type="dxa" w:w="60"/>
              <w:left w:type="dxa" w:w="100"/>
              <w:bottom w:type="dxa" w:w="60"/>
              <w:right w:type="dxa" w:w="100"/>
            </w:tcMar>
          </w:tcPr>
          <w:p>
            <w:pPr>
              <w:spacing w:after="0" w:before="0" w:line="252"/>
            </w:pPr>
            <w:r>
              <w:rPr>
                <w:sz w:val="19"/>
                <w:szCs w:val="19"/>
              </w:rPr>
              <w:t xml:space="preserve">Default provider or own keys</w:t>
            </w:r>
          </w:p>
        </w:tc>
        <w:tc>
          <w:tcPr>
            <w:tcW w:type="dxa" w:w="4150"/>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Connectors</w:t>
            </w:r>
          </w:p>
        </w:tc>
        <w:tc>
          <w:tcPr>
            <w:tcW w:type="dxa" w:w="3192"/>
            <w:tcMar>
              <w:top w:type="dxa" w:w="60"/>
              <w:left w:type="dxa" w:w="100"/>
              <w:bottom w:type="dxa" w:w="60"/>
              <w:right w:type="dxa" w:w="100"/>
            </w:tcMar>
          </w:tcPr>
          <w:p>
            <w:pPr>
              <w:spacing w:after="0" w:before="0" w:line="252"/>
            </w:pPr>
            <w:r>
              <w:rPr>
                <w:sz w:val="19"/>
                <w:szCs w:val="19"/>
              </w:rPr>
              <w:t xml:space="preserve">Consumer catalog</w:t>
            </w:r>
          </w:p>
        </w:tc>
        <w:tc>
          <w:tcPr>
            <w:tcW w:type="dxa" w:w="4150"/>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Data</w:t>
            </w:r>
          </w:p>
        </w:tc>
        <w:tc>
          <w:tcPr>
            <w:tcW w:type="dxa" w:w="3192"/>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150"/>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Audit</w:t>
            </w:r>
          </w:p>
        </w:tc>
        <w:tc>
          <w:tcPr>
            <w:tcW w:type="dxa" w:w="3192"/>
            <w:tcMar>
              <w:top w:type="dxa" w:w="60"/>
              <w:left w:type="dxa" w:w="100"/>
              <w:bottom w:type="dxa" w:w="60"/>
              <w:right w:type="dxa" w:w="100"/>
            </w:tcMar>
          </w:tcPr>
          <w:p>
            <w:pPr>
              <w:spacing w:after="0" w:before="0" w:line="252"/>
            </w:pPr>
            <w:r>
              <w:rPr>
                <w:sz w:val="19"/>
                <w:szCs w:val="19"/>
              </w:rPr>
              <w:t xml:space="preserve">Personal activity log</w:t>
            </w:r>
          </w:p>
        </w:tc>
        <w:tc>
          <w:tcPr>
            <w:tcW w:type="dxa" w:w="4150"/>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require approvals for classes of action.</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an approval that defaults to "ask every time".</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Default: approve each purchase</w:t>
      </w:r>
      <w:r>
        <w:t xml:space="preserve"> on the phone with biometrics, showing merchant, items, total including fees, tip and tax, and delivery time.</w:t>
      </w:r>
    </w:p>
    <w:p>
      <w:pPr>
        <w:pStyle w:val="ListParagraph"/>
        <w:numPr>
          <w:ilvl w:val="0"/>
          <w:numId w:val="2"/>
        </w:numPr>
        <w:spacing w:after="60" w:before="0"/>
      </w:pPr>
      <w:r>
        <w:rPr>
          <w:b/>
          <w:bCs/>
        </w:rPr>
        <w:t xml:space="preserve">PAY‑03 (P0) Optional pre-authorization.</w:t>
      </w:r>
      <w:r>
        <w:t xml:space="preserve"> The user can allow auto-purchase for one assignment, named merchants and an amount ceiling. Collicity still notifies after each purchase; the pre-authorization expires (default 90 days) and can be revoked anytime.</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Goal: keep Collicity out of PCI DSS cardholder-data scope.</w:t>
      </w:r>
    </w:p>
    <w:p>
      <w:pPr>
        <w:pStyle w:val="ListParagraph"/>
        <w:numPr>
          <w:ilvl w:val="0"/>
          <w:numId w:val="2"/>
        </w:numPr>
        <w:spacing w:after="60" w:before="0"/>
      </w:pPr>
      <w:r>
        <w:rPr>
          <w:b/>
          <w:bCs/>
        </w:rPr>
        <w:t xml:space="preserve">PAY‑05 (P0) Price-change guard.</w:t>
      </w:r>
      <w:r>
        <w:t xml:space="preserve"> If the final total exceeds the approved amount by more than a tolerance (default 5%) or breaks any cap, stop and ask again.</w:t>
      </w:r>
    </w:p>
    <w:p>
      <w:pPr>
        <w:pStyle w:val="ListParagraph"/>
        <w:numPr>
          <w:ilvl w:val="0"/>
          <w:numId w:val="2"/>
        </w:numPr>
        <w:spacing w:after="60" w:before="0"/>
      </w:pPr>
      <w:r>
        <w:rPr>
          <w:b/>
          <w:bCs/>
        </w:rPr>
        <w:t xml:space="preserve">PAY‑06 (P0) At most one order per approval,</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Safety-critical devices</w:t>
      </w:r>
      <w:r>
        <w:t xml:space="preserve"> — locks, garage doors, alarm systems — need approval every time, regardless of pre-authorization.</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Fully autonomous checkout likely needs merchant partnerships, an agent-payment protocol, or browser automation.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079"/>
        <w:gridCol w:w="4161"/>
      </w:tblGrid>
      <w:tr>
        <w:trPr>
          <w:tblHeader/>
        </w:trPr>
        <w:tc>
          <w:tcPr>
            <w:tcW w:type="dxa" w:w="2120"/>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079"/>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4161"/>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079"/>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4161"/>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capability grants (CON‑02); approval on external sends; supervisor policy check</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079"/>
            <w:tcMar>
              <w:top w:type="dxa" w:w="60"/>
              <w:left w:type="dxa" w:w="100"/>
              <w:bottom w:type="dxa" w:w="60"/>
              <w:right w:type="dxa" w:w="100"/>
            </w:tcMar>
          </w:tcPr>
          <w:p>
            <w:pPr>
              <w:spacing w:after="0" w:before="0" w:line="252"/>
            </w:pPr>
            <w:r>
              <w:rPr>
                <w:sz w:val="19"/>
                <w:szCs w:val="19"/>
              </w:rPr>
              <w:t xml:space="preserve">Instructions in Unicode tag characters, Base64, or a hidden spreadsheet sheet</w:t>
            </w:r>
          </w:p>
        </w:tc>
        <w:tc>
          <w:tcPr>
            <w:tcW w:type="dxa" w:w="4161"/>
            <w:tcMar>
              <w:top w:type="dxa" w:w="60"/>
              <w:left w:type="dxa" w:w="100"/>
              <w:bottom w:type="dxa" w:w="60"/>
              <w:right w:type="dxa" w:w="100"/>
            </w:tcMar>
          </w:tcPr>
          <w:p>
            <w:pPr>
              <w:spacing w:after="0" w:before="0" w:line="252"/>
            </w:pPr>
            <w:r>
              <w:rPr>
                <w:sz w:val="19"/>
                <w:szCs w:val="19"/>
              </w:rPr>
              <w:t xml:space="preserve">Normalization and hidden-content flags, including attachments (CON‑10)</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Persistent injection</w:t>
            </w:r>
          </w:p>
        </w:tc>
        <w:tc>
          <w:tcPr>
            <w:tcW w:type="dxa" w:w="3079"/>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4161"/>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Exfiltration through rendering</w:t>
            </w:r>
          </w:p>
        </w:tc>
        <w:tc>
          <w:tcPr>
            <w:tcW w:type="dxa" w:w="3079"/>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4161"/>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079"/>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4161"/>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Best-of-N probing</w:t>
            </w:r>
          </w:p>
        </w:tc>
        <w:tc>
          <w:tcPr>
            <w:tcW w:type="dxa" w:w="3079"/>
            <w:tcMar>
              <w:top w:type="dxa" w:w="60"/>
              <w:left w:type="dxa" w:w="100"/>
              <w:bottom w:type="dxa" w:w="60"/>
              <w:right w:type="dxa" w:w="100"/>
            </w:tcMar>
          </w:tcPr>
          <w:p>
            <w:pPr>
              <w:spacing w:after="0" w:before="0" w:line="252"/>
            </w:pPr>
            <w:r>
              <w:rPr>
                <w:sz w:val="19"/>
                <w:szCs w:val="19"/>
              </w:rPr>
              <w:t xml:space="preserve">An attacker mails many variants of a request until one is auto-actioned</w:t>
            </w:r>
          </w:p>
        </w:tc>
        <w:tc>
          <w:tcPr>
            <w:tcW w:type="dxa" w:w="4161"/>
            <w:tcMar>
              <w:top w:type="dxa" w:w="60"/>
              <w:left w:type="dxa" w:w="100"/>
              <w:bottom w:type="dxa" w:w="60"/>
              <w:right w:type="dxa" w:w="100"/>
            </w:tcMar>
          </w:tcPr>
          <w:p>
            <w:pPr>
              <w:spacing w:after="0" w:before="0" w:line="252"/>
            </w:pPr>
            <w:r>
              <w:rPr>
                <w:sz w:val="19"/>
                <w:szCs w:val="19"/>
              </w:rPr>
              <w:t xml:space="preserve">Per-sender limits and auto-execution cut-off (ASG‑17); injection screening (SEC‑13)</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Malicious shared assignment</w:t>
            </w:r>
          </w:p>
        </w:tc>
        <w:tc>
          <w:tcPr>
            <w:tcW w:type="dxa" w:w="3079"/>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4161"/>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pre-authorization; an admin can withdraw the share and pause its instances (ASG‑13)</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079"/>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4161"/>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Token theft</w:t>
            </w:r>
          </w:p>
        </w:tc>
        <w:tc>
          <w:tcPr>
            <w:tcW w:type="dxa" w:w="3079"/>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4161"/>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079"/>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4161"/>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Cross-tenant leakage</w:t>
            </w:r>
          </w:p>
        </w:tc>
        <w:tc>
          <w:tcPr>
            <w:tcW w:type="dxa" w:w="3079"/>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4161"/>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Malicious custom connector</w:t>
            </w:r>
          </w:p>
        </w:tc>
        <w:tc>
          <w:tcPr>
            <w:tcW w:type="dxa" w:w="3079"/>
            <w:tcMar>
              <w:top w:type="dxa" w:w="60"/>
              <w:left w:type="dxa" w:w="100"/>
              <w:bottom w:type="dxa" w:w="60"/>
              <w:right w:type="dxa" w:w="100"/>
            </w:tcMar>
          </w:tcPr>
          <w:p>
            <w:pPr>
              <w:spacing w:after="0" w:before="0" w:line="252"/>
            </w:pPr>
            <w:r>
              <w:rPr>
                <w:sz w:val="19"/>
                <w:szCs w:val="19"/>
              </w:rPr>
              <w:t xml:space="preserve">A connector exfiltrates data</w:t>
            </w:r>
          </w:p>
        </w:tc>
        <w:tc>
          <w:tcPr>
            <w:tcW w:type="dxa" w:w="4161"/>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Runaway cost</w:t>
            </w:r>
          </w:p>
        </w:tc>
        <w:tc>
          <w:tcPr>
            <w:tcW w:type="dxa" w:w="3079"/>
            <w:tcMar>
              <w:top w:type="dxa" w:w="60"/>
              <w:left w:type="dxa" w:w="100"/>
              <w:bottom w:type="dxa" w:w="60"/>
              <w:right w:type="dxa" w:w="100"/>
            </w:tcMar>
          </w:tcPr>
          <w:p>
            <w:pPr>
              <w:spacing w:after="0" w:before="0" w:line="252"/>
            </w:pPr>
            <w:r>
              <w:rPr>
                <w:sz w:val="19"/>
                <w:szCs w:val="19"/>
              </w:rPr>
              <w:t xml:space="preserve">A loop burns through tokens</w:t>
            </w:r>
          </w:p>
        </w:tc>
        <w:tc>
          <w:tcPr>
            <w:tcW w:type="dxa" w:w="4161"/>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Spoofed requester</w:t>
            </w:r>
          </w:p>
        </w:tc>
        <w:tc>
          <w:tcPr>
            <w:tcW w:type="dxa" w:w="3079"/>
            <w:tcMar>
              <w:top w:type="dxa" w:w="60"/>
              <w:left w:type="dxa" w:w="100"/>
              <w:bottom w:type="dxa" w:w="60"/>
              <w:right w:type="dxa" w:w="100"/>
            </w:tcMar>
          </w:tcPr>
          <w:p>
            <w:pPr>
              <w:spacing w:after="0" w:before="0" w:line="252"/>
            </w:pPr>
            <w:r>
              <w:rPr>
                <w:sz w:val="19"/>
                <w:szCs w:val="19"/>
              </w:rPr>
              <w:t xml:space="preserve">A fake email from "the boss"</w:t>
            </w:r>
          </w:p>
        </w:tc>
        <w:tc>
          <w:tcPr>
            <w:tcW w:type="dxa" w:w="4161"/>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w:t>
            </w:r>
          </w:p>
        </w:tc>
      </w:tr>
      <w:tr>
        <w:trPr>
          <w:tblHeader w:val="off"/>
        </w:trPr>
        <w:tc>
          <w:tcPr>
            <w:tcW w:type="dxa" w:w="2120"/>
            <w:tcMar>
              <w:top w:type="dxa" w:w="60"/>
              <w:left w:type="dxa" w:w="100"/>
              <w:bottom w:type="dxa" w:w="60"/>
              <w:right w:type="dxa" w:w="100"/>
            </w:tcMar>
          </w:tcPr>
          <w:p>
            <w:pPr>
              <w:spacing w:after="0" w:before="0" w:line="252"/>
            </w:pPr>
            <w:r>
              <w:rPr>
                <w:sz w:val="19"/>
                <w:szCs w:val="19"/>
              </w:rPr>
              <w:t xml:space="preserve">Unsafe physical action</w:t>
            </w:r>
          </w:p>
        </w:tc>
        <w:tc>
          <w:tcPr>
            <w:tcW w:type="dxa" w:w="3079"/>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4161"/>
            <w:tcMar>
              <w:top w:type="dxa" w:w="60"/>
              <w:left w:type="dxa" w:w="100"/>
              <w:bottom w:type="dxa" w:w="60"/>
              <w:right w:type="dxa" w:w="100"/>
            </w:tcMar>
          </w:tcPr>
          <w:p>
            <w:pPr>
              <w:spacing w:after="0" w:before="0" w:line="252"/>
            </w:pPr>
            <w:r>
              <w:rPr>
                <w:sz w:val="19"/>
                <w:szCs w:val="19"/>
              </w:rPr>
              <w:t xml:space="preserve">Approval for safety-critical devices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direct, indirect, encoded, attachment, multi-turn and best-of-N cases, run against instrumented tool stubs and data seeded with honeytokens, and re-run on every model, prompt or connector change; third-party penetration test before GA;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confirms a disclosure screen listing the recipients and every source behind the content. A recurring report share is confirmed once for the editions within its bounds (ASG‑19); the read and Publisher conditions hold for every edition.</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(P1) Injection screening as a signal.</w:t>
      </w:r>
      <w:r>
        <w:t xml:space="preserve"> A classifier from a different model family than the worker screens untrusted inputs, planned actions and outputs for injection patterns, and the supervisor compares each run's actual tool calls with the task's plan. A positive result raises risk: auto-execution and pre-authorization are suspended for that item, and it goes to human review. A negative result never grants anything, since a guardrail model can itself be manipulated.</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3"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and credentials it,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7"/>
        <w:gridCol w:w="6823"/>
      </w:tblGrid>
      <w:tr>
        <w:trPr>
          <w:tblHeader/>
        </w:trPr>
        <w:tc>
          <w:tcPr>
            <w:tcW w:type="dxa" w:w="2537"/>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23"/>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Availability</w:t>
            </w:r>
          </w:p>
        </w:tc>
        <w:tc>
          <w:tcPr>
            <w:tcW w:type="dxa" w:w="6823"/>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Schedule accuracy</w:t>
            </w:r>
          </w:p>
        </w:tc>
        <w:tc>
          <w:tcPr>
            <w:tcW w:type="dxa" w:w="6823"/>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Proximity trigger latency</w:t>
            </w:r>
          </w:p>
        </w:tc>
        <w:tc>
          <w:tcPr>
            <w:tcW w:type="dxa" w:w="6823"/>
            <w:tcMar>
              <w:top w:type="dxa" w:w="60"/>
              <w:left w:type="dxa" w:w="100"/>
              <w:bottom w:type="dxa" w:w="60"/>
              <w:right w:type="dxa" w:w="100"/>
            </w:tcMar>
          </w:tcPr>
          <w:p>
            <w:pPr>
              <w:spacing w:after="0" w:before="0" w:line="252"/>
            </w:pPr>
            <w:r>
              <w:rPr>
                <w:sz w:val="19"/>
                <w:szCs w:val="19"/>
              </w:rPr>
              <w:t xml:space="preserve">Trigger to first action under 30 s (p95) while the device is online</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UI responsiveness</w:t>
            </w:r>
          </w:p>
        </w:tc>
        <w:tc>
          <w:tcPr>
            <w:tcW w:type="dxa" w:w="6823"/>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Revocation</w:t>
            </w:r>
          </w:p>
        </w:tc>
        <w:tc>
          <w:tcPr>
            <w:tcW w:type="dxa" w:w="6823"/>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Durability</w:t>
            </w:r>
          </w:p>
        </w:tc>
        <w:tc>
          <w:tcPr>
            <w:tcW w:type="dxa" w:w="6823"/>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Scale (design point, year 1)</w:t>
            </w:r>
          </w:p>
        </w:tc>
        <w:tc>
          <w:tcPr>
            <w:tcW w:type="dxa" w:w="6823"/>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Data residency</w:t>
            </w:r>
          </w:p>
        </w:tc>
        <w:tc>
          <w:tcPr>
            <w:tcW w:type="dxa" w:w="6823"/>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Observability</w:t>
            </w:r>
          </w:p>
        </w:tc>
        <w:tc>
          <w:tcPr>
            <w:tcW w:type="dxa" w:w="6823"/>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Accessibility</w:t>
            </w:r>
          </w:p>
        </w:tc>
        <w:tc>
          <w:tcPr>
            <w:tcW w:type="dxa" w:w="6823"/>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Localization</w:t>
            </w:r>
          </w:p>
        </w:tc>
        <w:tc>
          <w:tcPr>
            <w:tcW w:type="dxa" w:w="6823"/>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Supportability</w:t>
            </w:r>
          </w:p>
        </w:tc>
        <w:tc>
          <w:tcPr>
            <w:tcW w:type="dxa" w:w="6823"/>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4"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4"/>
        <w:gridCol w:w="2877"/>
        <w:gridCol w:w="1963"/>
        <w:gridCol w:w="1676"/>
        <w:gridCol w:w="1080"/>
      </w:tblGrid>
      <w:tr>
        <w:trPr>
          <w:tblHeader/>
        </w:trPr>
        <w:tc>
          <w:tcPr>
            <w:tcW w:type="dxa" w:w="1764"/>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877"/>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676"/>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080"/>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Platforms (§5)</w:t>
            </w:r>
          </w:p>
        </w:tc>
        <w:tc>
          <w:tcPr>
            <w:tcW w:type="dxa" w:w="2877"/>
            <w:tcMar>
              <w:top w:type="dxa" w:w="60"/>
              <w:left w:type="dxa" w:w="100"/>
              <w:bottom w:type="dxa" w:w="60"/>
              <w:right w:type="dxa" w:w="100"/>
            </w:tcMar>
          </w:tcPr>
          <w:p>
            <w:pPr>
              <w:spacing w:after="0" w:before="0" w:line="252"/>
            </w:pPr>
            <w:r>
              <w:rPr>
                <w:sz w:val="19"/>
                <w:szCs w:val="19"/>
              </w:rPr>
              <w:t xml:space="preserve">PLT‑01 web only; PLT‑06</w:t>
            </w:r>
          </w:p>
        </w:tc>
        <w:tc>
          <w:tcPr>
            <w:tcW w:type="dxa" w:w="1963"/>
            <w:tcMar>
              <w:top w:type="dxa" w:w="60"/>
              <w:left w:type="dxa" w:w="100"/>
              <w:bottom w:type="dxa" w:w="60"/>
              <w:right w:type="dxa" w:w="100"/>
            </w:tcMar>
          </w:tcPr>
          <w:p>
            <w:pPr>
              <w:spacing w:after="0" w:before="0" w:line="252"/>
            </w:pPr>
            <w:r>
              <w:rPr>
                <w:sz w:val="19"/>
                <w:szCs w:val="19"/>
              </w:rPr>
              <w:t xml:space="preserve">PLT‑01 desktop and mobile; PLT‑02; PLT‑03 approvals; PLT‑05</w:t>
            </w:r>
          </w:p>
        </w:tc>
        <w:tc>
          <w:tcPr>
            <w:tcW w:type="dxa" w:w="1676"/>
            <w:tcMar>
              <w:top w:type="dxa" w:w="60"/>
              <w:left w:type="dxa" w:w="100"/>
              <w:bottom w:type="dxa" w:w="60"/>
              <w:right w:type="dxa" w:w="100"/>
            </w:tcMar>
          </w:tcPr>
          <w:p>
            <w:pPr>
              <w:spacing w:after="0" w:before="0" w:line="252"/>
            </w:pPr>
            <w:r>
              <w:rPr>
                <w:sz w:val="19"/>
                <w:szCs w:val="19"/>
              </w:rPr>
              <w:t xml:space="preserve">PLT‑03 payment biometrics; PLT‑04</w:t>
            </w:r>
          </w:p>
        </w:tc>
        <w:tc>
          <w:tcPr>
            <w:tcW w:type="dxa" w:w="1080"/>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Connectors (§6)</w:t>
            </w:r>
          </w:p>
        </w:tc>
        <w:tc>
          <w:tcPr>
            <w:tcW w:type="dxa" w:w="2877"/>
            <w:tcMar>
              <w:top w:type="dxa" w:w="60"/>
              <w:left w:type="dxa" w:w="100"/>
              <w:bottom w:type="dxa" w:w="60"/>
              <w:right w:type="dxa" w:w="100"/>
            </w:tcMar>
          </w:tcPr>
          <w:p>
            <w:pPr>
              <w:spacing w:after="0" w:before="0" w:line="252"/>
            </w:pPr>
            <w:r>
              <w:rPr>
                <w:sz w:val="19"/>
                <w:szCs w:val="19"/>
              </w:rPr>
              <w:t xml:space="preserve">CON‑01–04, 06–10; CON‑05 only if a partner needs it; Graph plus at most 2 partner connectors, each with a full CON‑12 manifest</w:t>
            </w:r>
          </w:p>
        </w:tc>
        <w:tc>
          <w:tcPr>
            <w:tcW w:type="dxa" w:w="1963"/>
            <w:tcMar>
              <w:top w:type="dxa" w:w="60"/>
              <w:left w:type="dxa" w:w="100"/>
              <w:bottom w:type="dxa" w:w="60"/>
              <w:right w:type="dxa" w:w="100"/>
            </w:tcMar>
          </w:tcPr>
          <w:p>
            <w:pPr>
              <w:spacing w:after="0" w:before="0" w:line="252"/>
            </w:pPr>
            <w:r>
              <w:rPr>
                <w:sz w:val="19"/>
                <w:szCs w:val="19"/>
              </w:rPr>
              <w:t xml:space="preserve">CON‑11–15; enterprise launch catalog</w:t>
            </w:r>
          </w:p>
        </w:tc>
        <w:tc>
          <w:tcPr>
            <w:tcW w:type="dxa" w:w="1676"/>
            <w:tcMar>
              <w:top w:type="dxa" w:w="60"/>
              <w:left w:type="dxa" w:w="100"/>
              <w:bottom w:type="dxa" w:w="60"/>
              <w:right w:type="dxa" w:w="100"/>
            </w:tcMar>
          </w:tcPr>
          <w:p>
            <w:pPr>
              <w:spacing w:after="0" w:before="0" w:line="252"/>
            </w:pPr>
            <w:r>
              <w:rPr>
                <w:sz w:val="19"/>
                <w:szCs w:val="19"/>
              </w:rPr>
              <w:t xml:space="preserve">Consumer catalog</w:t>
            </w:r>
          </w:p>
        </w:tc>
        <w:tc>
          <w:tcPr>
            <w:tcW w:type="dxa" w:w="1080"/>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Tasks and runtime (§7)</w:t>
            </w:r>
          </w:p>
        </w:tc>
        <w:tc>
          <w:tcPr>
            <w:tcW w:type="dxa" w:w="2877"/>
            <w:tcMar>
              <w:top w:type="dxa" w:w="60"/>
              <w:left w:type="dxa" w:w="100"/>
              <w:bottom w:type="dxa" w:w="60"/>
              <w:right w:type="dxa" w:w="100"/>
            </w:tcMar>
          </w:tcPr>
          <w:p>
            <w:pPr>
              <w:spacing w:after="0" w:before="0" w:line="252"/>
            </w:pPr>
            <w:r>
              <w:rPr>
                <w:sz w:val="19"/>
                <w:szCs w:val="19"/>
              </w:rPr>
              <w:t xml:space="preserve">ASG‑01, 02, 04–06, 09–15, 17, with every action approved (no pre-authorization before gate 1); RUN‑01–07</w:t>
            </w:r>
          </w:p>
        </w:tc>
        <w:tc>
          <w:tcPr>
            <w:tcW w:type="dxa" w:w="1963"/>
            <w:tcMar>
              <w:top w:type="dxa" w:w="60"/>
              <w:left w:type="dxa" w:w="100"/>
              <w:bottom w:type="dxa" w:w="60"/>
              <w:right w:type="dxa" w:w="100"/>
            </w:tcMar>
          </w:tcPr>
          <w:p>
            <w:pPr>
              <w:spacing w:after="0" w:before="0" w:line="252"/>
            </w:pPr>
            <w:r>
              <w:rPr>
                <w:sz w:val="19"/>
                <w:szCs w:val="19"/>
              </w:rPr>
              <w:t xml:space="preserve">ASG‑03, 07, 08, 16, 18–23</w:t>
            </w:r>
          </w:p>
        </w:tc>
        <w:tc>
          <w:tcPr>
            <w:tcW w:type="dxa" w:w="1676"/>
            <w:tcMar>
              <w:top w:type="dxa" w:w="60"/>
              <w:left w:type="dxa" w:w="100"/>
              <w:bottom w:type="dxa" w:w="60"/>
              <w:right w:type="dxa" w:w="100"/>
            </w:tcMar>
          </w:tcPr>
          <w:p>
            <w:pPr>
              <w:spacing w:after="0" w:before="0" w:line="252"/>
            </w:pPr>
            <w:r>
              <w:rPr>
                <w:sz w:val="19"/>
                <w:szCs w:val="19"/>
              </w:rPr>
              <w:t xml:space="preserve">—</w:t>
            </w:r>
          </w:p>
        </w:tc>
        <w:tc>
          <w:tcPr>
            <w:tcW w:type="dxa" w:w="1080"/>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Budgets (§8)</w:t>
            </w:r>
          </w:p>
        </w:tc>
        <w:tc>
          <w:tcPr>
            <w:tcW w:type="dxa" w:w="2877"/>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1963"/>
            <w:tcMar>
              <w:top w:type="dxa" w:w="60"/>
              <w:left w:type="dxa" w:w="100"/>
              <w:bottom w:type="dxa" w:w="60"/>
              <w:right w:type="dxa" w:w="100"/>
            </w:tcMar>
          </w:tcPr>
          <w:p>
            <w:pPr>
              <w:spacing w:after="0" w:before="0" w:line="252"/>
            </w:pPr>
            <w:r>
              <w:rPr>
                <w:sz w:val="19"/>
                <w:szCs w:val="19"/>
              </w:rPr>
              <w:t xml:space="preserve">BUD‑06 groups; BUD‑07, 09</w:t>
            </w:r>
          </w:p>
        </w:tc>
        <w:tc>
          <w:tcPr>
            <w:tcW w:type="dxa" w:w="1676"/>
            <w:tcMar>
              <w:top w:type="dxa" w:w="60"/>
              <w:left w:type="dxa" w:w="100"/>
              <w:bottom w:type="dxa" w:w="60"/>
              <w:right w:type="dxa" w:w="100"/>
            </w:tcMar>
          </w:tcPr>
          <w:p>
            <w:pPr>
              <w:spacing w:after="0" w:before="0" w:line="252"/>
            </w:pPr>
            <w:r>
              <w:rPr>
                <w:sz w:val="19"/>
                <w:szCs w:val="19"/>
              </w:rPr>
              <w:t xml:space="preserve">Account cap</w:t>
            </w:r>
          </w:p>
        </w:tc>
        <w:tc>
          <w:tcPr>
            <w:tcW w:type="dxa" w:w="1080"/>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Router, supervisor, inventory (§9)</w:t>
            </w:r>
          </w:p>
        </w:tc>
        <w:tc>
          <w:tcPr>
            <w:tcW w:type="dxa" w:w="2877"/>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1963"/>
            <w:tcMar>
              <w:top w:type="dxa" w:w="60"/>
              <w:left w:type="dxa" w:w="100"/>
              <w:bottom w:type="dxa" w:w="60"/>
              <w:right w:type="dxa" w:w="100"/>
            </w:tcMar>
          </w:tcPr>
          <w:p>
            <w:pPr>
              <w:spacing w:after="0" w:before="0" w:line="252"/>
            </w:pPr>
            <w:r>
              <w:rPr>
                <w:sz w:val="19"/>
                <w:szCs w:val="19"/>
              </w:rPr>
              <w:t xml:space="preserve">RTR‑06; SUP‑05; INV‑04</w:t>
            </w:r>
          </w:p>
        </w:tc>
        <w:tc>
          <w:tcPr>
            <w:tcW w:type="dxa" w:w="1676"/>
            <w:tcMar>
              <w:top w:type="dxa" w:w="60"/>
              <w:left w:type="dxa" w:w="100"/>
              <w:bottom w:type="dxa" w:w="60"/>
              <w:right w:type="dxa" w:w="100"/>
            </w:tcMar>
          </w:tcPr>
          <w:p>
            <w:pPr>
              <w:spacing w:after="0" w:before="0" w:line="252"/>
            </w:pPr>
            <w:r>
              <w:rPr>
                <w:sz w:val="19"/>
                <w:szCs w:val="19"/>
              </w:rPr>
              <w:t xml:space="preserve">—</w:t>
            </w:r>
          </w:p>
        </w:tc>
        <w:tc>
          <w:tcPr>
            <w:tcW w:type="dxa" w:w="1080"/>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Templates (§10)</w:t>
            </w:r>
          </w:p>
        </w:tc>
        <w:tc>
          <w:tcPr>
            <w:tcW w:type="dxa" w:w="2877"/>
            <w:tcMar>
              <w:top w:type="dxa" w:w="60"/>
              <w:left w:type="dxa" w:w="100"/>
              <w:bottom w:type="dxa" w:w="60"/>
              <w:right w:type="dxa" w:w="100"/>
            </w:tcMar>
          </w:tcPr>
          <w:p>
            <w:pPr>
              <w:spacing w:after="0" w:before="0" w:line="252"/>
            </w:pPr>
            <w:r>
              <w:rPr>
                <w:sz w:val="19"/>
                <w:szCs w:val="19"/>
              </w:rPr>
              <w:t xml:space="preserve">—</w:t>
            </w:r>
          </w:p>
        </w:tc>
        <w:tc>
          <w:tcPr>
            <w:tcW w:type="dxa" w:w="1963"/>
            <w:tcMar>
              <w:top w:type="dxa" w:w="60"/>
              <w:left w:type="dxa" w:w="100"/>
              <w:bottom w:type="dxa" w:w="60"/>
              <w:right w:type="dxa" w:w="100"/>
            </w:tcMar>
          </w:tcPr>
          <w:p>
            <w:pPr>
              <w:spacing w:after="0" w:before="0" w:line="252"/>
            </w:pPr>
            <w:r>
              <w:rPr>
                <w:sz w:val="19"/>
                <w:szCs w:val="19"/>
              </w:rPr>
              <w:t xml:space="preserve">TPL‑01–07</w:t>
            </w:r>
          </w:p>
        </w:tc>
        <w:tc>
          <w:tcPr>
            <w:tcW w:type="dxa" w:w="1676"/>
            <w:tcMar>
              <w:top w:type="dxa" w:w="60"/>
              <w:left w:type="dxa" w:w="100"/>
              <w:bottom w:type="dxa" w:w="60"/>
              <w:right w:type="dxa" w:w="100"/>
            </w:tcMar>
          </w:tcPr>
          <w:p>
            <w:pPr>
              <w:spacing w:after="0" w:before="0" w:line="252"/>
            </w:pPr>
            <w:r>
              <w:rPr>
                <w:sz w:val="19"/>
                <w:szCs w:val="19"/>
              </w:rPr>
              <w:t xml:space="preserve">—</w:t>
            </w:r>
          </w:p>
        </w:tc>
        <w:tc>
          <w:tcPr>
            <w:tcW w:type="dxa" w:w="1080"/>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Scheduling and triggers (§11)</w:t>
            </w:r>
          </w:p>
        </w:tc>
        <w:tc>
          <w:tcPr>
            <w:tcW w:type="dxa" w:w="2877"/>
            <w:tcMar>
              <w:top w:type="dxa" w:w="60"/>
              <w:left w:type="dxa" w:w="100"/>
              <w:bottom w:type="dxa" w:w="60"/>
              <w:right w:type="dxa" w:w="100"/>
            </w:tcMar>
          </w:tcPr>
          <w:p>
            <w:pPr>
              <w:spacing w:after="0" w:before="0" w:line="252"/>
            </w:pPr>
            <w:r>
              <w:rPr>
                <w:sz w:val="19"/>
                <w:szCs w:val="19"/>
              </w:rPr>
              <w:t xml:space="preserve">SCH‑03 mail events</w:t>
            </w:r>
          </w:p>
        </w:tc>
        <w:tc>
          <w:tcPr>
            <w:tcW w:type="dxa" w:w="1963"/>
            <w:tcMar>
              <w:top w:type="dxa" w:w="60"/>
              <w:left w:type="dxa" w:w="100"/>
              <w:bottom w:type="dxa" w:w="60"/>
              <w:right w:type="dxa" w:w="100"/>
            </w:tcMar>
          </w:tcPr>
          <w:p>
            <w:pPr>
              <w:spacing w:after="0" w:before="0" w:line="252"/>
            </w:pPr>
            <w:r>
              <w:rPr>
                <w:sz w:val="19"/>
                <w:szCs w:val="19"/>
              </w:rPr>
              <w:t xml:space="preserve">SCH‑01, 02, 07, 08</w:t>
            </w:r>
          </w:p>
        </w:tc>
        <w:tc>
          <w:tcPr>
            <w:tcW w:type="dxa" w:w="1676"/>
            <w:tcMar>
              <w:top w:type="dxa" w:w="60"/>
              <w:left w:type="dxa" w:w="100"/>
              <w:bottom w:type="dxa" w:w="60"/>
              <w:right w:type="dxa" w:w="100"/>
            </w:tcMar>
          </w:tcPr>
          <w:p>
            <w:pPr>
              <w:spacing w:after="0" w:before="0" w:line="252"/>
            </w:pPr>
            <w:r>
              <w:rPr>
                <w:sz w:val="19"/>
                <w:szCs w:val="19"/>
              </w:rPr>
              <w:t xml:space="preserve">SCH‑04–06</w:t>
            </w:r>
          </w:p>
        </w:tc>
        <w:tc>
          <w:tcPr>
            <w:tcW w:type="dxa" w:w="1080"/>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Q&amp;A and chat (§12)</w:t>
            </w:r>
          </w:p>
        </w:tc>
        <w:tc>
          <w:tcPr>
            <w:tcW w:type="dxa" w:w="2877"/>
            <w:tcMar>
              <w:top w:type="dxa" w:w="60"/>
              <w:left w:type="dxa" w:w="100"/>
              <w:bottom w:type="dxa" w:w="60"/>
              <w:right w:type="dxa" w:w="100"/>
            </w:tcMar>
          </w:tcPr>
          <w:p>
            <w:pPr>
              <w:spacing w:after="0" w:before="0" w:line="252"/>
            </w:pPr>
            <w:r>
              <w:rPr>
                <w:sz w:val="19"/>
                <w:szCs w:val="19"/>
              </w:rPr>
              <w:t xml:space="preserve">QA‑01–03</w:t>
            </w:r>
          </w:p>
        </w:tc>
        <w:tc>
          <w:tcPr>
            <w:tcW w:type="dxa" w:w="1963"/>
            <w:tcMar>
              <w:top w:type="dxa" w:w="60"/>
              <w:left w:type="dxa" w:w="100"/>
              <w:bottom w:type="dxa" w:w="60"/>
              <w:right w:type="dxa" w:w="100"/>
            </w:tcMar>
          </w:tcPr>
          <w:p>
            <w:pPr>
              <w:spacing w:after="0" w:before="0" w:line="252"/>
            </w:pPr>
            <w:r>
              <w:rPr>
                <w:sz w:val="19"/>
                <w:szCs w:val="19"/>
              </w:rPr>
              <w:t xml:space="preserve">QA‑04–06</w:t>
            </w:r>
          </w:p>
        </w:tc>
        <w:tc>
          <w:tcPr>
            <w:tcW w:type="dxa" w:w="1676"/>
            <w:tcMar>
              <w:top w:type="dxa" w:w="60"/>
              <w:left w:type="dxa" w:w="100"/>
              <w:bottom w:type="dxa" w:w="60"/>
              <w:right w:type="dxa" w:w="100"/>
            </w:tcMar>
          </w:tcPr>
          <w:p>
            <w:pPr>
              <w:spacing w:after="0" w:before="0" w:line="252"/>
            </w:pPr>
            <w:r>
              <w:rPr>
                <w:sz w:val="19"/>
                <w:szCs w:val="19"/>
              </w:rPr>
              <w:t xml:space="preserve">QA‑07</w:t>
            </w:r>
          </w:p>
        </w:tc>
        <w:tc>
          <w:tcPr>
            <w:tcW w:type="dxa" w:w="1080"/>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Admin and providers (§13)</w:t>
            </w:r>
          </w:p>
        </w:tc>
        <w:tc>
          <w:tcPr>
            <w:tcW w:type="dxa" w:w="2877"/>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1963"/>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676"/>
            <w:tcMar>
              <w:top w:type="dxa" w:w="60"/>
              <w:left w:type="dxa" w:w="100"/>
              <w:bottom w:type="dxa" w:w="60"/>
              <w:right w:type="dxa" w:w="100"/>
            </w:tcMar>
          </w:tcPr>
          <w:p>
            <w:pPr>
              <w:spacing w:after="0" w:before="0" w:line="252"/>
            </w:pPr>
            <w:r>
              <w:rPr>
                <w:sz w:val="19"/>
                <w:szCs w:val="19"/>
              </w:rPr>
              <w:t xml:space="preserve">Consumer sign-in</w:t>
            </w:r>
          </w:p>
        </w:tc>
        <w:tc>
          <w:tcPr>
            <w:tcW w:type="dxa" w:w="1080"/>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Payments (§14)</w:t>
            </w:r>
          </w:p>
        </w:tc>
        <w:tc>
          <w:tcPr>
            <w:tcW w:type="dxa" w:w="2877"/>
            <w:tcMar>
              <w:top w:type="dxa" w:w="60"/>
              <w:left w:type="dxa" w:w="100"/>
              <w:bottom w:type="dxa" w:w="60"/>
              <w:right w:type="dxa" w:w="100"/>
            </w:tcMar>
          </w:tcPr>
          <w:p>
            <w:pPr>
              <w:spacing w:after="0" w:before="0" w:line="252"/>
            </w:pPr>
            <w:r>
              <w:rPr>
                <w:sz w:val="19"/>
                <w:szCs w:val="19"/>
              </w:rPr>
              <w:t xml:space="preserve">—</w:t>
            </w:r>
          </w:p>
        </w:tc>
        <w:tc>
          <w:tcPr>
            <w:tcW w:type="dxa" w:w="1963"/>
            <w:tcMar>
              <w:top w:type="dxa" w:w="60"/>
              <w:left w:type="dxa" w:w="100"/>
              <w:bottom w:type="dxa" w:w="60"/>
              <w:right w:type="dxa" w:w="100"/>
            </w:tcMar>
          </w:tcPr>
          <w:p>
            <w:pPr>
              <w:spacing w:after="0" w:before="0" w:line="252"/>
            </w:pPr>
            <w:r>
              <w:rPr>
                <w:sz w:val="19"/>
                <w:szCs w:val="19"/>
              </w:rPr>
              <w:t xml:space="preserve">—</w:t>
            </w:r>
          </w:p>
        </w:tc>
        <w:tc>
          <w:tcPr>
            <w:tcW w:type="dxa" w:w="1676"/>
            <w:tcMar>
              <w:top w:type="dxa" w:w="60"/>
              <w:left w:type="dxa" w:w="100"/>
              <w:bottom w:type="dxa" w:w="60"/>
              <w:right w:type="dxa" w:w="100"/>
            </w:tcMar>
          </w:tcPr>
          <w:p>
            <w:pPr>
              <w:spacing w:after="0" w:before="0" w:line="252"/>
            </w:pPr>
            <w:r>
              <w:rPr>
                <w:sz w:val="19"/>
                <w:szCs w:val="19"/>
              </w:rPr>
              <w:t xml:space="preserve">PAY‑01–08</w:t>
            </w:r>
          </w:p>
        </w:tc>
        <w:tc>
          <w:tcPr>
            <w:tcW w:type="dxa" w:w="1080"/>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Security and privacy (§15)</w:t>
            </w:r>
          </w:p>
        </w:tc>
        <w:tc>
          <w:tcPr>
            <w:tcW w:type="dxa" w:w="2877"/>
            <w:tcMar>
              <w:top w:type="dxa" w:w="60"/>
              <w:left w:type="dxa" w:w="100"/>
              <w:bottom w:type="dxa" w:w="60"/>
              <w:right w:type="dxa" w:w="100"/>
            </w:tcMar>
          </w:tcPr>
          <w:p>
            <w:pPr>
              <w:spacing w:after="0" w:before="0" w:line="252"/>
            </w:pPr>
            <w:r>
              <w:rPr>
                <w:sz w:val="19"/>
                <w:szCs w:val="19"/>
              </w:rPr>
              <w:t xml:space="preserve">SEC‑01 without customer-managed keys; SEC‑02–04, 07–12</w:t>
            </w:r>
          </w:p>
        </w:tc>
        <w:tc>
          <w:tcPr>
            <w:tcW w:type="dxa" w:w="1963"/>
            <w:tcMar>
              <w:top w:type="dxa" w:w="60"/>
              <w:left w:type="dxa" w:w="100"/>
              <w:bottom w:type="dxa" w:w="60"/>
              <w:right w:type="dxa" w:w="100"/>
            </w:tcMar>
          </w:tcPr>
          <w:p>
            <w:pPr>
              <w:spacing w:after="0" w:before="0" w:line="252"/>
            </w:pPr>
            <w:r>
              <w:rPr>
                <w:sz w:val="19"/>
                <w:szCs w:val="19"/>
              </w:rPr>
              <w:t xml:space="preserve">SEC‑01 customer-managed keys; SEC‑05, 13</w:t>
            </w:r>
          </w:p>
        </w:tc>
        <w:tc>
          <w:tcPr>
            <w:tcW w:type="dxa" w:w="1676"/>
            <w:tcMar>
              <w:top w:type="dxa" w:w="60"/>
              <w:left w:type="dxa" w:w="100"/>
              <w:bottom w:type="dxa" w:w="60"/>
              <w:right w:type="dxa" w:w="100"/>
            </w:tcMar>
          </w:tcPr>
          <w:p>
            <w:pPr>
              <w:spacing w:after="0" w:before="0" w:line="252"/>
            </w:pPr>
            <w:r>
              <w:rPr>
                <w:sz w:val="19"/>
                <w:szCs w:val="19"/>
              </w:rPr>
              <w:t xml:space="preserve">SEC‑06</w:t>
            </w:r>
          </w:p>
        </w:tc>
        <w:tc>
          <w:tcPr>
            <w:tcW w:type="dxa" w:w="1080"/>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64"/>
            <w:tcMar>
              <w:top w:type="dxa" w:w="60"/>
              <w:left w:type="dxa" w:w="100"/>
              <w:bottom w:type="dxa" w:w="60"/>
              <w:right w:type="dxa" w:w="100"/>
            </w:tcMar>
          </w:tcPr>
          <w:p>
            <w:pPr>
              <w:spacing w:after="0" w:before="0" w:line="252"/>
            </w:pPr>
            <w:r>
              <w:rPr>
                <w:sz w:val="19"/>
                <w:szCs w:val="19"/>
              </w:rPr>
              <w:t xml:space="preserve">Non-functional (§17)</w:t>
            </w:r>
          </w:p>
        </w:tc>
        <w:tc>
          <w:tcPr>
            <w:tcW w:type="dxa" w:w="2877"/>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1963"/>
            <w:tcMar>
              <w:top w:type="dxa" w:w="60"/>
              <w:left w:type="dxa" w:w="100"/>
              <w:bottom w:type="dxa" w:w="60"/>
              <w:right w:type="dxa" w:w="100"/>
            </w:tcMar>
          </w:tcPr>
          <w:p>
            <w:pPr>
              <w:spacing w:after="0" w:before="0" w:line="252"/>
            </w:pPr>
            <w:r>
              <w:rPr>
                <w:sz w:val="19"/>
                <w:szCs w:val="19"/>
              </w:rPr>
              <w:t xml:space="preserve">All rows</w:t>
            </w:r>
          </w:p>
        </w:tc>
        <w:tc>
          <w:tcPr>
            <w:tcW w:type="dxa" w:w="1676"/>
            <w:tcMar>
              <w:top w:type="dxa" w:w="60"/>
              <w:left w:type="dxa" w:w="100"/>
              <w:bottom w:type="dxa" w:w="60"/>
              <w:right w:type="dxa" w:w="100"/>
            </w:tcMar>
          </w:tcPr>
          <w:p>
            <w:pPr>
              <w:spacing w:after="0" w:before="0" w:line="252"/>
            </w:pPr>
            <w:r>
              <w:rPr>
                <w:sz w:val="19"/>
                <w:szCs w:val="19"/>
              </w:rPr>
              <w:t xml:space="preserve">Home scale</w:t>
            </w:r>
          </w:p>
        </w:tc>
        <w:tc>
          <w:tcPr>
            <w:tcW w:type="dxa" w:w="1080"/>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during the beta; pre-authorization starts after gate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8"/>
        <w:gridCol w:w="3032"/>
        <w:gridCol w:w="4790"/>
      </w:tblGrid>
      <w:tr>
        <w:trPr>
          <w:tblHeader/>
        </w:trPr>
        <w:tc>
          <w:tcPr>
            <w:tcW w:type="dxa" w:w="1538"/>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032"/>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790"/>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Queue owner</w:t>
            </w:r>
          </w:p>
        </w:tc>
        <w:tc>
          <w:tcPr>
            <w:tcW w:type="dxa" w:w="3032"/>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790"/>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Delegate approver</w:t>
            </w:r>
          </w:p>
        </w:tc>
        <w:tc>
          <w:tcPr>
            <w:tcW w:type="dxa" w:w="3032"/>
            <w:tcMar>
              <w:top w:type="dxa" w:w="60"/>
              <w:left w:type="dxa" w:w="100"/>
              <w:bottom w:type="dxa" w:w="60"/>
              <w:right w:type="dxa" w:w="100"/>
            </w:tcMar>
          </w:tcPr>
          <w:p>
            <w:pPr>
              <w:spacing w:after="0" w:before="0" w:line="252"/>
            </w:pPr>
            <w:r>
              <w:rPr>
                <w:sz w:val="19"/>
                <w:szCs w:val="19"/>
              </w:rPr>
              <w:t xml:space="preserve">Named by the queue owner; must pass SEC‑08 visibility for the item</w:t>
            </w:r>
          </w:p>
        </w:tc>
        <w:tc>
          <w:tcPr>
            <w:tcW w:type="dxa" w:w="4790"/>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Custodian</w:t>
            </w:r>
          </w:p>
        </w:tc>
        <w:tc>
          <w:tcPr>
            <w:tcW w:type="dxa" w:w="3032"/>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790"/>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Requester</w:t>
            </w:r>
          </w:p>
        </w:tc>
        <w:tc>
          <w:tcPr>
            <w:tcW w:type="dxa" w:w="3032"/>
            <w:tcMar>
              <w:top w:type="dxa" w:w="60"/>
              <w:left w:type="dxa" w:w="100"/>
              <w:bottom w:type="dxa" w:w="60"/>
              <w:right w:type="dxa" w:w="100"/>
            </w:tcMar>
          </w:tcPr>
          <w:p>
            <w:pPr>
              <w:spacing w:after="0" w:before="0" w:line="252"/>
            </w:pPr>
            <w:r>
              <w:rPr>
                <w:sz w:val="19"/>
                <w:szCs w:val="19"/>
              </w:rPr>
              <w:t xml:space="preserve">The email's sender</w:t>
            </w:r>
          </w:p>
        </w:tc>
        <w:tc>
          <w:tcPr>
            <w:tcW w:type="dxa" w:w="4790"/>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Tenant admin</w:t>
            </w:r>
          </w:p>
        </w:tc>
        <w:tc>
          <w:tcPr>
            <w:tcW w:type="dxa" w:w="3032"/>
            <w:tcMar>
              <w:top w:type="dxa" w:w="60"/>
              <w:left w:type="dxa" w:w="100"/>
              <w:bottom w:type="dxa" w:w="60"/>
              <w:right w:type="dxa" w:w="100"/>
            </w:tcMar>
          </w:tcPr>
          <w:p>
            <w:pPr>
              <w:spacing w:after="0" w:before="0" w:line="252"/>
            </w:pPr>
            <w:r>
              <w:rPr>
                <w:sz w:val="19"/>
                <w:szCs w:val="19"/>
              </w:rPr>
              <w:t xml:space="preserve">Customer administrator</w:t>
            </w:r>
          </w:p>
        </w:tc>
        <w:tc>
          <w:tcPr>
            <w:tcW w:type="dxa" w:w="4790"/>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5"/>
        <w:gridCol w:w="1335"/>
        <w:gridCol w:w="2010"/>
        <w:gridCol w:w="2820"/>
      </w:tblGrid>
      <w:tr>
        <w:trPr>
          <w:tblHeader/>
        </w:trPr>
        <w:tc>
          <w:tcPr>
            <w:tcW w:type="dxa" w:w="3195"/>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335"/>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010"/>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820"/>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10"/>
            <w:tcMar>
              <w:top w:type="dxa" w:w="60"/>
              <w:left w:type="dxa" w:w="100"/>
              <w:bottom w:type="dxa" w:w="60"/>
              <w:right w:type="dxa" w:w="100"/>
            </w:tcMar>
          </w:tcPr>
          <w:p>
            <w:pPr>
              <w:spacing w:after="0" w:before="0" w:line="252"/>
            </w:pPr>
            <w:r>
              <w:rPr>
                <w:sz w:val="19"/>
                <w:szCs w:val="19"/>
              </w:rPr>
              <w:t xml:space="preserve">35%</w:t>
            </w:r>
          </w:p>
        </w:tc>
        <w:tc>
          <w:tcPr>
            <w:tcW w:type="dxa" w:w="2820"/>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10"/>
            <w:tcMar>
              <w:top w:type="dxa" w:w="60"/>
              <w:left w:type="dxa" w:w="100"/>
              <w:bottom w:type="dxa" w:w="60"/>
              <w:right w:type="dxa" w:w="100"/>
            </w:tcMar>
          </w:tcPr>
          <w:p>
            <w:pPr>
              <w:spacing w:after="0" w:before="0" w:line="252"/>
            </w:pPr>
            <w:r>
              <w:rPr>
                <w:sz w:val="19"/>
                <w:szCs w:val="19"/>
              </w:rPr>
              <w:t xml:space="preserve">60%</w:t>
            </w:r>
          </w:p>
        </w:tc>
        <w:tc>
          <w:tcPr>
            <w:tcW w:type="dxa" w:w="2820"/>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10"/>
            <w:tcMar>
              <w:top w:type="dxa" w:w="60"/>
              <w:left w:type="dxa" w:w="100"/>
              <w:bottom w:type="dxa" w:w="60"/>
              <w:right w:type="dxa" w:w="100"/>
            </w:tcMar>
          </w:tcPr>
          <w:p>
            <w:pPr>
              <w:spacing w:after="0" w:before="0" w:line="252"/>
            </w:pPr>
            <w:r>
              <w:rPr>
                <w:sz w:val="19"/>
                <w:szCs w:val="19"/>
              </w:rPr>
              <w:t xml:space="preserve">80%</w:t>
            </w:r>
          </w:p>
        </w:tc>
        <w:tc>
          <w:tcPr>
            <w:tcW w:type="dxa" w:w="2820"/>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10"/>
            <w:tcMar>
              <w:top w:type="dxa" w:w="60"/>
              <w:left w:type="dxa" w:w="100"/>
              <w:bottom w:type="dxa" w:w="60"/>
              <w:right w:type="dxa" w:w="100"/>
            </w:tcMar>
          </w:tcPr>
          <w:p>
            <w:pPr>
              <w:spacing w:after="0" w:before="0" w:line="252"/>
            </w:pPr>
            <w:r>
              <w:rPr>
                <w:sz w:val="19"/>
                <w:szCs w:val="19"/>
              </w:rPr>
              <w:t xml:space="preserve">&lt;10 min (Home), &lt;1 h (Enterprise)</w:t>
            </w:r>
          </w:p>
        </w:tc>
        <w:tc>
          <w:tcPr>
            <w:tcW w:type="dxa" w:w="2820"/>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≤10%, upper 95% bound ≤15%</w:t>
            </w:r>
          </w:p>
        </w:tc>
        <w:tc>
          <w:tcPr>
            <w:tcW w:type="dxa" w:w="2820"/>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≥80%</w:t>
            </w:r>
          </w:p>
        </w:tc>
        <w:tc>
          <w:tcPr>
            <w:tcW w:type="dxa" w:w="2820"/>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&lt;2%</w:t>
            </w:r>
          </w:p>
        </w:tc>
        <w:tc>
          <w:tcPr>
            <w:tcW w:type="dxa" w:w="2820"/>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≥80%</w:t>
            </w:r>
          </w:p>
        </w:tc>
        <w:tc>
          <w:tcPr>
            <w:tcW w:type="dxa" w:w="282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≥90%</w:t>
            </w:r>
          </w:p>
        </w:tc>
        <w:tc>
          <w:tcPr>
            <w:tcW w:type="dxa" w:w="282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≤10% of interventions</w:t>
            </w:r>
          </w:p>
        </w:tc>
        <w:tc>
          <w:tcPr>
            <w:tcW w:type="dxa" w:w="282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Supervision cost share</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≤15% of run cost</w:t>
            </w:r>
          </w:p>
        </w:tc>
        <w:tc>
          <w:tcPr>
            <w:tcW w:type="dxa" w:w="2820"/>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820"/>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335"/>
            <w:tcMar>
              <w:top w:type="dxa" w:w="60"/>
              <w:left w:type="dxa" w:w="100"/>
              <w:bottom w:type="dxa" w:w="60"/>
              <w:right w:type="dxa" w:w="100"/>
            </w:tcMar>
          </w:tcPr>
          <w:p>
            <w:pPr>
              <w:spacing w:after="0" w:before="0" w:line="252"/>
            </w:pPr>
            <w:r>
              <w:rPr>
                <w:sz w:val="19"/>
                <w:szCs w:val="19"/>
              </w:rPr>
              <w:t xml:space="preserve">Lagging</w:t>
            </w:r>
          </w:p>
        </w:tc>
        <w:tc>
          <w:tcPr>
            <w:tcW w:type="dxa" w:w="2010"/>
            <w:tcMar>
              <w:top w:type="dxa" w:w="60"/>
              <w:left w:type="dxa" w:w="100"/>
              <w:bottom w:type="dxa" w:w="60"/>
              <w:right w:type="dxa" w:w="100"/>
            </w:tcMar>
          </w:tcPr>
          <w:p>
            <w:pPr>
              <w:spacing w:after="0" w:before="0" w:line="252"/>
            </w:pPr>
            <w:r>
              <w:rPr>
                <w:sz w:val="19"/>
                <w:szCs w:val="19"/>
              </w:rPr>
              <w:t xml:space="preserve">50%</w:t>
            </w:r>
          </w:p>
        </w:tc>
        <w:tc>
          <w:tcPr>
            <w:tcW w:type="dxa" w:w="2820"/>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Enterprise seats active weekly</w:t>
            </w:r>
          </w:p>
        </w:tc>
        <w:tc>
          <w:tcPr>
            <w:tcW w:type="dxa" w:w="1335"/>
            <w:tcMar>
              <w:top w:type="dxa" w:w="60"/>
              <w:left w:type="dxa" w:w="100"/>
              <w:bottom w:type="dxa" w:w="60"/>
              <w:right w:type="dxa" w:w="100"/>
            </w:tcMar>
          </w:tcPr>
          <w:p>
            <w:pPr>
              <w:spacing w:after="0" w:before="0" w:line="252"/>
            </w:pPr>
            <w:r>
              <w:rPr>
                <w:sz w:val="19"/>
                <w:szCs w:val="19"/>
              </w:rPr>
              <w:t xml:space="preserve">Lagging</w:t>
            </w:r>
          </w:p>
        </w:tc>
        <w:tc>
          <w:tcPr>
            <w:tcW w:type="dxa" w:w="2010"/>
            <w:tcMar>
              <w:top w:type="dxa" w:w="60"/>
              <w:left w:type="dxa" w:w="100"/>
              <w:bottom w:type="dxa" w:w="60"/>
              <w:right w:type="dxa" w:w="100"/>
            </w:tcMar>
          </w:tcPr>
          <w:p>
            <w:pPr>
              <w:spacing w:after="0" w:before="0" w:line="252"/>
            </w:pPr>
            <w:r>
              <w:rPr>
                <w:sz w:val="19"/>
                <w:szCs w:val="19"/>
              </w:rPr>
              <w:t xml:space="preserve">60% of licensed</w:t>
            </w:r>
          </w:p>
        </w:tc>
        <w:tc>
          <w:tcPr>
            <w:tcW w:type="dxa" w:w="2820"/>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10"/>
            <w:tcMar>
              <w:top w:type="dxa" w:w="60"/>
              <w:left w:type="dxa" w:w="100"/>
              <w:bottom w:type="dxa" w:w="60"/>
              <w:right w:type="dxa" w:w="100"/>
            </w:tcMar>
          </w:tcPr>
          <w:p>
            <w:pPr>
              <w:spacing w:after="0" w:before="0" w:line="252"/>
            </w:pPr>
            <w:r>
              <w:rPr>
                <w:sz w:val="19"/>
                <w:szCs w:val="19"/>
              </w:rPr>
              <w:t xml:space="preserve">0</w:t>
            </w:r>
          </w:p>
        </w:tc>
        <w:tc>
          <w:tcPr>
            <w:tcW w:type="dxa" w:w="2820"/>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10"/>
            <w:tcMar>
              <w:top w:type="dxa" w:w="60"/>
              <w:left w:type="dxa" w:w="100"/>
              <w:bottom w:type="dxa" w:w="60"/>
              <w:right w:type="dxa" w:w="100"/>
            </w:tcMar>
          </w:tcPr>
          <w:p>
            <w:pPr>
              <w:spacing w:after="0" w:before="0" w:line="252"/>
            </w:pPr>
            <w:r>
              <w:rPr>
                <w:sz w:val="19"/>
                <w:szCs w:val="19"/>
              </w:rPr>
              <w:t xml:space="preserve">0</w:t>
            </w:r>
          </w:p>
        </w:tc>
        <w:tc>
          <w:tcPr>
            <w:tcW w:type="dxa" w:w="2820"/>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10"/>
            <w:tcMar>
              <w:top w:type="dxa" w:w="60"/>
              <w:left w:type="dxa" w:w="100"/>
              <w:bottom w:type="dxa" w:w="60"/>
              <w:right w:type="dxa" w:w="100"/>
            </w:tcMar>
          </w:tcPr>
          <w:p>
            <w:pPr>
              <w:spacing w:after="0" w:before="0" w:line="252"/>
            </w:pPr>
            <w:r>
              <w:rPr>
                <w:sz w:val="19"/>
                <w:szCs w:val="19"/>
              </w:rPr>
              <w:t xml:space="preserve">0</w:t>
            </w:r>
          </w:p>
        </w:tc>
        <w:tc>
          <w:tcPr>
            <w:tcW w:type="dxa" w:w="2820"/>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10"/>
            <w:tcMar>
              <w:top w:type="dxa" w:w="60"/>
              <w:left w:type="dxa" w:w="100"/>
              <w:bottom w:type="dxa" w:w="60"/>
              <w:right w:type="dxa" w:w="100"/>
            </w:tcMar>
          </w:tcPr>
          <w:p>
            <w:pPr>
              <w:spacing w:after="0" w:before="0" w:line="252"/>
            </w:pPr>
            <w:r>
              <w:rPr>
                <w:sz w:val="19"/>
                <w:szCs w:val="19"/>
              </w:rPr>
              <w:t xml:space="preserve">0</w:t>
            </w:r>
          </w:p>
        </w:tc>
        <w:tc>
          <w:tcPr>
            <w:tcW w:type="dxa" w:w="2820"/>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10"/>
            <w:tcMar>
              <w:top w:type="dxa" w:w="60"/>
              <w:left w:type="dxa" w:w="100"/>
              <w:bottom w:type="dxa" w:w="60"/>
              <w:right w:type="dxa" w:w="100"/>
            </w:tcMar>
          </w:tcPr>
          <w:p>
            <w:pPr>
              <w:spacing w:after="0" w:before="0" w:line="252"/>
            </w:pPr>
            <w:r>
              <w:rPr>
                <w:sz w:val="19"/>
                <w:szCs w:val="19"/>
              </w:rPr>
              <w:t xml:space="preserve">0</w:t>
            </w:r>
          </w:p>
        </w:tc>
        <w:tc>
          <w:tcPr>
            <w:tcW w:type="dxa" w:w="2820"/>
            <w:tcMar>
              <w:top w:type="dxa" w:w="60"/>
              <w:left w:type="dxa" w:w="100"/>
              <w:bottom w:type="dxa" w:w="60"/>
              <w:right w:type="dxa" w:w="100"/>
            </w:tcMar>
          </w:tcPr>
          <w:p>
            <w:pPr>
              <w:spacing w:after="0" w:before="0" w:line="252"/>
            </w:pPr>
            <w:r>
              <w:rPr>
                <w:sz w:val="19"/>
                <w:szCs w:val="19"/>
              </w:rPr>
              <w:t xml:space="preserve">Release-gating red-team suite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1"/>
        <w:gridCol w:w="2524"/>
        <w:gridCol w:w="4385"/>
      </w:tblGrid>
      <w:tr>
        <w:trPr>
          <w:tblHeader/>
        </w:trPr>
        <w:tc>
          <w:tcPr>
            <w:tcW w:type="dxa" w:w="2451"/>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524"/>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385"/>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51"/>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524"/>
            <w:tcMar>
              <w:top w:type="dxa" w:w="60"/>
              <w:left w:type="dxa" w:w="100"/>
              <w:bottom w:type="dxa" w:w="60"/>
              <w:right w:type="dxa" w:w="100"/>
            </w:tcMar>
          </w:tcPr>
          <w:p>
            <w:pPr>
              <w:spacing w:after="0" w:before="0" w:line="252"/>
            </w:pPr>
            <w:r>
              <w:rPr>
                <w:sz w:val="19"/>
                <w:szCs w:val="19"/>
              </w:rPr>
              <w:t xml:space="preserve">Slow launch, thin quality</w:t>
            </w:r>
          </w:p>
        </w:tc>
        <w:tc>
          <w:tcPr>
            <w:tcW w:type="dxa" w:w="4385"/>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51"/>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524"/>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385"/>
            <w:tcMar>
              <w:top w:type="dxa" w:w="60"/>
              <w:left w:type="dxa" w:w="100"/>
              <w:bottom w:type="dxa" w:w="60"/>
              <w:right w:type="dxa" w:w="100"/>
            </w:tcMar>
          </w:tcPr>
          <w:p>
            <w:pPr>
              <w:spacing w:after="0" w:before="0" w:line="252"/>
            </w:pPr>
            <w:r>
              <w:rPr>
                <w:sz w:val="19"/>
                <w:szCs w:val="19"/>
              </w:rPr>
              <w:t xml:space="preserve">§15 controls; approvals default on; red-team before the beta and before GA</w:t>
            </w:r>
          </w:p>
        </w:tc>
      </w:tr>
      <w:tr>
        <w:trPr>
          <w:tblHeader w:val="off"/>
        </w:trPr>
        <w:tc>
          <w:tcPr>
            <w:tcW w:type="dxa" w:w="2451"/>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524"/>
            <w:tcMar>
              <w:top w:type="dxa" w:w="60"/>
              <w:left w:type="dxa" w:w="100"/>
              <w:bottom w:type="dxa" w:w="60"/>
              <w:right w:type="dxa" w:w="100"/>
            </w:tcMar>
          </w:tcPr>
          <w:p>
            <w:pPr>
              <w:spacing w:after="0" w:before="0" w:line="252"/>
            </w:pPr>
            <w:r>
              <w:rPr>
                <w:sz w:val="19"/>
                <w:szCs w:val="19"/>
              </w:rPr>
              <w:t xml:space="preserve">Meal-plan purchase step blocked</w:t>
            </w:r>
          </w:p>
        </w:tc>
        <w:tc>
          <w:tcPr>
            <w:tcW w:type="dxa" w:w="4385"/>
            <w:tcMar>
              <w:top w:type="dxa" w:w="60"/>
              <w:left w:type="dxa" w:w="100"/>
              <w:bottom w:type="dxa" w:w="60"/>
              <w:right w:type="dxa" w:w="100"/>
            </w:tcMar>
          </w:tcPr>
          <w:p>
            <w:pPr>
              <w:spacing w:after="0" w:before="0" w:line="252"/>
            </w:pPr>
            <w:r>
              <w:rPr>
                <w:sz w:val="19"/>
                <w:szCs w:val="19"/>
              </w:rPr>
              <w:t xml:space="preserve">Partner early; launch with "cart ready — tap to pay"</w:t>
            </w:r>
          </w:p>
        </w:tc>
      </w:tr>
      <w:tr>
        <w:trPr>
          <w:tblHeader w:val="off"/>
        </w:trPr>
        <w:tc>
          <w:tcPr>
            <w:tcW w:type="dxa" w:w="2451"/>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524"/>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385"/>
            <w:tcMar>
              <w:top w:type="dxa" w:w="60"/>
              <w:left w:type="dxa" w:w="100"/>
              <w:bottom w:type="dxa" w:w="60"/>
              <w:right w:type="dxa" w:w="100"/>
            </w:tcMar>
          </w:tcPr>
          <w:p>
            <w:pPr>
              <w:spacing w:after="0" w:before="0" w:line="252"/>
            </w:pPr>
            <w:r>
              <w:rPr>
                <w:sz w:val="19"/>
                <w:szCs w:val="19"/>
              </w:rPr>
              <w:t xml:space="preserve">Personal credentials or live entitlement checks (CON‑05); publish a per-connector attribution matrix</w:t>
            </w:r>
          </w:p>
        </w:tc>
      </w:tr>
      <w:tr>
        <w:trPr>
          <w:tblHeader w:val="off"/>
        </w:trPr>
        <w:tc>
          <w:tcPr>
            <w:tcW w:type="dxa" w:w="2451"/>
            <w:tcMar>
              <w:top w:type="dxa" w:w="60"/>
              <w:left w:type="dxa" w:w="100"/>
              <w:bottom w:type="dxa" w:w="60"/>
              <w:right w:type="dxa" w:w="100"/>
            </w:tcMar>
          </w:tcPr>
          <w:p>
            <w:pPr>
              <w:spacing w:after="0" w:before="0" w:line="252"/>
            </w:pPr>
            <w:r>
              <w:rPr>
                <w:sz w:val="19"/>
                <w:szCs w:val="19"/>
              </w:rPr>
              <w:t xml:space="preserve">Sparse routing data early on</w:t>
            </w:r>
          </w:p>
        </w:tc>
        <w:tc>
          <w:tcPr>
            <w:tcW w:type="dxa" w:w="2524"/>
            <w:tcMar>
              <w:top w:type="dxa" w:w="60"/>
              <w:left w:type="dxa" w:w="100"/>
              <w:bottom w:type="dxa" w:w="60"/>
              <w:right w:type="dxa" w:w="100"/>
            </w:tcMar>
          </w:tcPr>
          <w:p>
            <w:pPr>
              <w:spacing w:after="0" w:before="0" w:line="252"/>
            </w:pPr>
            <w:r>
              <w:rPr>
                <w:sz w:val="19"/>
                <w:szCs w:val="19"/>
              </w:rPr>
              <w:t xml:space="preserve">Poor model choices, higher cost</w:t>
            </w:r>
          </w:p>
        </w:tc>
        <w:tc>
          <w:tcPr>
            <w:tcW w:type="dxa" w:w="4385"/>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51"/>
            <w:tcMar>
              <w:top w:type="dxa" w:w="60"/>
              <w:left w:type="dxa" w:w="100"/>
              <w:bottom w:type="dxa" w:w="60"/>
              <w:right w:type="dxa" w:w="100"/>
            </w:tcMar>
          </w:tcPr>
          <w:p>
            <w:pPr>
              <w:spacing w:after="0" w:before="0" w:line="252"/>
            </w:pPr>
            <w:r>
              <w:rPr>
                <w:sz w:val="19"/>
                <w:szCs w:val="19"/>
              </w:rPr>
              <w:t xml:space="preserve">Model and price churn</w:t>
            </w:r>
          </w:p>
        </w:tc>
        <w:tc>
          <w:tcPr>
            <w:tcW w:type="dxa" w:w="2524"/>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385"/>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51"/>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524"/>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385"/>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51"/>
            <w:tcMar>
              <w:top w:type="dxa" w:w="60"/>
              <w:left w:type="dxa" w:w="100"/>
              <w:bottom w:type="dxa" w:w="60"/>
              <w:right w:type="dxa" w:w="100"/>
            </w:tcMar>
          </w:tcPr>
          <w:p>
            <w:pPr>
              <w:spacing w:after="0" w:before="0" w:line="252"/>
            </w:pPr>
            <w:r>
              <w:rPr>
                <w:sz w:val="19"/>
                <w:szCs w:val="19"/>
              </w:rPr>
              <w:t xml:space="preserve">Supervisor overhead</w:t>
            </w:r>
          </w:p>
        </w:tc>
        <w:tc>
          <w:tcPr>
            <w:tcW w:type="dxa" w:w="2524"/>
            <w:tcMar>
              <w:top w:type="dxa" w:w="60"/>
              <w:left w:type="dxa" w:w="100"/>
              <w:bottom w:type="dxa" w:w="60"/>
              <w:right w:type="dxa" w:w="100"/>
            </w:tcMar>
          </w:tcPr>
          <w:p>
            <w:pPr>
              <w:spacing w:after="0" w:before="0" w:line="252"/>
            </w:pPr>
            <w:r>
              <w:rPr>
                <w:sz w:val="19"/>
                <w:szCs w:val="19"/>
              </w:rPr>
              <w:t xml:space="preserve">Erodes cost savings</w:t>
            </w:r>
          </w:p>
        </w:tc>
        <w:tc>
          <w:tcPr>
            <w:tcW w:type="dxa" w:w="4385"/>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51"/>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524"/>
            <w:tcMar>
              <w:top w:type="dxa" w:w="60"/>
              <w:left w:type="dxa" w:w="100"/>
              <w:bottom w:type="dxa" w:w="60"/>
              <w:right w:type="dxa" w:w="100"/>
            </w:tcMar>
          </w:tcPr>
          <w:p>
            <w:pPr>
              <w:spacing w:after="0" w:before="0" w:line="252"/>
            </w:pPr>
            <w:r>
              <w:rPr>
                <w:sz w:val="19"/>
                <w:szCs w:val="19"/>
              </w:rPr>
              <w:t xml:space="preserve">Launch delay</w:t>
            </w:r>
          </w:p>
        </w:tc>
        <w:tc>
          <w:tcPr>
            <w:tcW w:type="dxa" w:w="4385"/>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51"/>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524"/>
            <w:tcMar>
              <w:top w:type="dxa" w:w="60"/>
              <w:left w:type="dxa" w:w="100"/>
              <w:bottom w:type="dxa" w:w="60"/>
              <w:right w:type="dxa" w:w="100"/>
            </w:tcMar>
          </w:tcPr>
          <w:p>
            <w:pPr>
              <w:spacing w:after="0" w:before="0" w:line="252"/>
            </w:pPr>
            <w:r>
              <w:rPr>
                <w:sz w:val="19"/>
                <w:szCs w:val="19"/>
              </w:rPr>
              <w:t xml:space="preserve">Refunds, disputes</w:t>
            </w:r>
          </w:p>
        </w:tc>
        <w:tc>
          <w:tcPr>
            <w:tcW w:type="dxa" w:w="4385"/>
            <w:tcMar>
              <w:top w:type="dxa" w:w="60"/>
              <w:left w:type="dxa" w:w="100"/>
              <w:bottom w:type="dxa" w:w="60"/>
              <w:right w:type="dxa" w:w="100"/>
            </w:tcMar>
          </w:tcPr>
          <w:p>
            <w:pPr>
              <w:spacing w:after="0" w:before="0" w:line="252"/>
            </w:pPr>
            <w:r>
              <w:rPr>
                <w:sz w:val="19"/>
                <w:szCs w:val="19"/>
              </w:rPr>
              <w:t xml:space="preserve">Approvals default on; caps; clear terms of service</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8"/>
        <w:gridCol w:w="1742"/>
        <w:gridCol w:w="2223"/>
        <w:gridCol w:w="2577"/>
      </w:tblGrid>
      <w:tr>
        <w:trPr>
          <w:tblHeader/>
        </w:trPr>
        <w:tc>
          <w:tcPr>
            <w:tcW w:type="dxa" w:w="2818"/>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42"/>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23"/>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577"/>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42"/>
            <w:tcMar>
              <w:top w:type="dxa" w:w="60"/>
              <w:left w:type="dxa" w:w="100"/>
              <w:bottom w:type="dxa" w:w="60"/>
              <w:right w:type="dxa" w:w="100"/>
            </w:tcMar>
          </w:tcPr>
          <w:p>
            <w:pPr>
              <w:spacing w:after="0" w:before="0" w:line="252"/>
            </w:pPr>
            <w:r>
              <w:rPr>
                <w:sz w:val="19"/>
                <w:szCs w:val="19"/>
              </w:rPr>
              <w:t xml:space="preserve">Product owner</w:t>
            </w:r>
          </w:p>
        </w:tc>
        <w:tc>
          <w:tcPr>
            <w:tcW w:type="dxa" w:w="2223"/>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577"/>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42"/>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23"/>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577"/>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Approval gates (ASG‑11) and invariant 2 disagree: does every side effect need an approval or a pre-authorization, or only payments, external sends, deletions and permission or settings changes? The beta approves every action either way</w:t>
            </w:r>
          </w:p>
        </w:tc>
        <w:tc>
          <w:tcPr>
            <w:tcW w:type="dxa" w:w="1742"/>
            <w:tcMar>
              <w:top w:type="dxa" w:w="60"/>
              <w:left w:type="dxa" w:w="100"/>
              <w:bottom w:type="dxa" w:w="60"/>
              <w:right w:type="dxa" w:w="100"/>
            </w:tcMar>
          </w:tcPr>
          <w:p>
            <w:pPr>
              <w:spacing w:after="0" w:before="0" w:line="252"/>
            </w:pPr>
            <w:r>
              <w:rPr>
                <w:sz w:val="19"/>
                <w:szCs w:val="19"/>
              </w:rPr>
              <w:t xml:space="preserve">Product, security</w:t>
            </w:r>
          </w:p>
        </w:tc>
        <w:tc>
          <w:tcPr>
            <w:tcW w:type="dxa" w:w="2223"/>
            <w:tcMar>
              <w:top w:type="dxa" w:w="60"/>
              <w:left w:type="dxa" w:w="100"/>
              <w:bottom w:type="dxa" w:w="60"/>
              <w:right w:type="dxa" w:w="100"/>
            </w:tcMar>
          </w:tcPr>
          <w:p>
            <w:pPr>
              <w:spacing w:after="0" w:before="0" w:line="252"/>
            </w:pPr>
            <w:r>
              <w:rPr>
                <w:sz w:val="19"/>
                <w:szCs w:val="19"/>
              </w:rPr>
              <w:t xml:space="preserve">Before pre-authorization starts after gate 1</w:t>
            </w:r>
          </w:p>
        </w:tc>
        <w:tc>
          <w:tcPr>
            <w:tcW w:type="dxa" w:w="2577"/>
            <w:tcMar>
              <w:top w:type="dxa" w:w="60"/>
              <w:left w:type="dxa" w:w="100"/>
              <w:bottom w:type="dxa" w:w="60"/>
              <w:right w:type="dxa" w:w="100"/>
            </w:tcMar>
          </w:tcPr>
          <w:p>
            <w:pPr>
              <w:spacing w:after="0" w:before="0" w:line="252"/>
            </w:pPr>
            <w:r>
              <w:rPr>
                <w:sz w:val="19"/>
                <w:szCs w:val="19"/>
              </w:rPr>
              <w:t xml:space="preserve">Invariant 2 governs: every side effect needs an approval or a still-valid pre-authorization, and a gate is never switched off</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42"/>
            <w:tcMar>
              <w:top w:type="dxa" w:w="60"/>
              <w:left w:type="dxa" w:w="100"/>
              <w:bottom w:type="dxa" w:w="60"/>
              <w:right w:type="dxa" w:w="100"/>
            </w:tcMar>
          </w:tcPr>
          <w:p>
            <w:pPr>
              <w:spacing w:after="0" w:before="0" w:line="252"/>
            </w:pPr>
            <w:r>
              <w:rPr>
                <w:sz w:val="19"/>
                <w:szCs w:val="19"/>
              </w:rPr>
              <w:t xml:space="preserve">Product, security</w:t>
            </w:r>
          </w:p>
        </w:tc>
        <w:tc>
          <w:tcPr>
            <w:tcW w:type="dxa" w:w="2223"/>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577"/>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42"/>
            <w:tcMar>
              <w:top w:type="dxa" w:w="60"/>
              <w:left w:type="dxa" w:w="100"/>
              <w:bottom w:type="dxa" w:w="60"/>
              <w:right w:type="dxa" w:w="100"/>
            </w:tcMar>
          </w:tcPr>
          <w:p>
            <w:pPr>
              <w:spacing w:after="0" w:before="0" w:line="252"/>
            </w:pPr>
            <w:r>
              <w:rPr>
                <w:sz w:val="19"/>
                <w:szCs w:val="19"/>
              </w:rPr>
              <w:t xml:space="preserve">Product owner</w:t>
            </w:r>
          </w:p>
        </w:tc>
        <w:tc>
          <w:tcPr>
            <w:tcW w:type="dxa" w:w="2223"/>
            <w:tcMar>
              <w:top w:type="dxa" w:w="60"/>
              <w:left w:type="dxa" w:w="100"/>
              <w:bottom w:type="dxa" w:w="60"/>
              <w:right w:type="dxa" w:w="100"/>
            </w:tcMar>
          </w:tcPr>
          <w:p>
            <w:pPr>
              <w:spacing w:after="0" w:before="0" w:line="252"/>
            </w:pPr>
            <w:r>
              <w:rPr>
                <w:sz w:val="19"/>
                <w:szCs w:val="19"/>
              </w:rPr>
              <w:t xml:space="preserve">Yes, for phasing</w:t>
            </w:r>
          </w:p>
        </w:tc>
        <w:tc>
          <w:tcPr>
            <w:tcW w:type="dxa" w:w="2577"/>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42"/>
            <w:tcMar>
              <w:top w:type="dxa" w:w="60"/>
              <w:left w:type="dxa" w:w="100"/>
              <w:bottom w:type="dxa" w:w="60"/>
              <w:right w:type="dxa" w:w="100"/>
            </w:tcMar>
          </w:tcPr>
          <w:p>
            <w:pPr>
              <w:spacing w:after="0" w:before="0" w:line="252"/>
            </w:pPr>
            <w:r>
              <w:rPr>
                <w:sz w:val="19"/>
                <w:szCs w:val="19"/>
              </w:rPr>
              <w:t xml:space="preserve">Engineering, product</w:t>
            </w:r>
          </w:p>
        </w:tc>
        <w:tc>
          <w:tcPr>
            <w:tcW w:type="dxa" w:w="2223"/>
            <w:tcMar>
              <w:top w:type="dxa" w:w="60"/>
              <w:left w:type="dxa" w:w="100"/>
              <w:bottom w:type="dxa" w:w="60"/>
              <w:right w:type="dxa" w:w="100"/>
            </w:tcMar>
          </w:tcPr>
          <w:p>
            <w:pPr>
              <w:spacing w:after="0" w:before="0" w:line="252"/>
            </w:pPr>
            <w:r>
              <w:rPr>
                <w:sz w:val="19"/>
                <w:szCs w:val="19"/>
              </w:rPr>
              <w:t xml:space="preserve">Before orchestrator build</w:t>
            </w:r>
          </w:p>
        </w:tc>
        <w:tc>
          <w:tcPr>
            <w:tcW w:type="dxa" w:w="2577"/>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42"/>
            <w:tcMar>
              <w:top w:type="dxa" w:w="60"/>
              <w:left w:type="dxa" w:w="100"/>
              <w:bottom w:type="dxa" w:w="60"/>
              <w:right w:type="dxa" w:w="100"/>
            </w:tcMar>
          </w:tcPr>
          <w:p>
            <w:pPr>
              <w:spacing w:after="0" w:before="0" w:line="252"/>
            </w:pPr>
            <w:r>
              <w:rPr>
                <w:sz w:val="19"/>
                <w:szCs w:val="19"/>
              </w:rPr>
              <w:t xml:space="preserve">Product, data</w:t>
            </w:r>
          </w:p>
        </w:tc>
        <w:tc>
          <w:tcPr>
            <w:tcW w:type="dxa" w:w="2223"/>
            <w:tcMar>
              <w:top w:type="dxa" w:w="60"/>
              <w:left w:type="dxa" w:w="100"/>
              <w:bottom w:type="dxa" w:w="60"/>
              <w:right w:type="dxa" w:w="100"/>
            </w:tcMar>
          </w:tcPr>
          <w:p>
            <w:pPr>
              <w:spacing w:after="0" w:before="0" w:line="252"/>
            </w:pPr>
            <w:r>
              <w:rPr>
                <w:sz w:val="19"/>
                <w:szCs w:val="19"/>
              </w:rPr>
              <w:t xml:space="preserve">Before beta</w:t>
            </w:r>
          </w:p>
        </w:tc>
        <w:tc>
          <w:tcPr>
            <w:tcW w:type="dxa" w:w="2577"/>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42"/>
            <w:tcMar>
              <w:top w:type="dxa" w:w="60"/>
              <w:left w:type="dxa" w:w="100"/>
              <w:bottom w:type="dxa" w:w="60"/>
              <w:right w:type="dxa" w:w="100"/>
            </w:tcMar>
          </w:tcPr>
          <w:p>
            <w:pPr>
              <w:spacing w:after="0" w:before="0" w:line="252"/>
            </w:pPr>
            <w:r>
              <w:rPr>
                <w:sz w:val="19"/>
                <w:szCs w:val="19"/>
              </w:rPr>
              <w:t xml:space="preserve">Product</w:t>
            </w:r>
          </w:p>
        </w:tc>
        <w:tc>
          <w:tcPr>
            <w:tcW w:type="dxa" w:w="2223"/>
            <w:tcMar>
              <w:top w:type="dxa" w:w="60"/>
              <w:left w:type="dxa" w:w="100"/>
              <w:bottom w:type="dxa" w:w="60"/>
              <w:right w:type="dxa" w:w="100"/>
            </w:tcMar>
          </w:tcPr>
          <w:p>
            <w:pPr>
              <w:spacing w:after="0" w:before="0" w:line="252"/>
            </w:pPr>
            <w:r>
              <w:rPr>
                <w:sz w:val="19"/>
                <w:szCs w:val="19"/>
              </w:rPr>
              <w:t xml:space="preserve">Before budget build</w:t>
            </w:r>
          </w:p>
        </w:tc>
        <w:tc>
          <w:tcPr>
            <w:tcW w:type="dxa" w:w="2577"/>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42"/>
            <w:tcMar>
              <w:top w:type="dxa" w:w="60"/>
              <w:left w:type="dxa" w:w="100"/>
              <w:bottom w:type="dxa" w:w="60"/>
              <w:right w:type="dxa" w:w="100"/>
            </w:tcMar>
          </w:tcPr>
          <w:p>
            <w:pPr>
              <w:spacing w:after="0" w:before="0" w:line="252"/>
            </w:pPr>
            <w:r>
              <w:rPr>
                <w:sz w:val="19"/>
                <w:szCs w:val="19"/>
              </w:rPr>
              <w:t xml:space="preserve">Business</w:t>
            </w:r>
          </w:p>
        </w:tc>
        <w:tc>
          <w:tcPr>
            <w:tcW w:type="dxa" w:w="2223"/>
            <w:tcMar>
              <w:top w:type="dxa" w:w="60"/>
              <w:left w:type="dxa" w:w="100"/>
              <w:bottom w:type="dxa" w:w="60"/>
              <w:right w:type="dxa" w:w="100"/>
            </w:tcMar>
          </w:tcPr>
          <w:p>
            <w:pPr>
              <w:spacing w:after="0" w:before="0" w:line="252"/>
            </w:pPr>
            <w:r>
              <w:rPr>
                <w:sz w:val="19"/>
                <w:szCs w:val="19"/>
              </w:rPr>
              <w:t xml:space="preserve">Before beta</w:t>
            </w:r>
          </w:p>
        </w:tc>
        <w:tc>
          <w:tcPr>
            <w:tcW w:type="dxa" w:w="2577"/>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w:t>
            </w:r>
          </w:p>
        </w:tc>
        <w:tc>
          <w:tcPr>
            <w:tcW w:type="dxa" w:w="1742"/>
            <w:tcMar>
              <w:top w:type="dxa" w:w="60"/>
              <w:left w:type="dxa" w:w="100"/>
              <w:bottom w:type="dxa" w:w="60"/>
              <w:right w:type="dxa" w:w="100"/>
            </w:tcMar>
          </w:tcPr>
          <w:p>
            <w:pPr>
              <w:spacing w:after="0" w:before="0" w:line="252"/>
            </w:pPr>
            <w:r>
              <w:rPr>
                <w:sz w:val="19"/>
                <w:szCs w:val="19"/>
              </w:rPr>
              <w:t xml:space="preserve">Sales, legal</w:t>
            </w:r>
          </w:p>
        </w:tc>
        <w:tc>
          <w:tcPr>
            <w:tcW w:type="dxa" w:w="2223"/>
            <w:tcMar>
              <w:top w:type="dxa" w:w="60"/>
              <w:left w:type="dxa" w:w="100"/>
              <w:bottom w:type="dxa" w:w="60"/>
              <w:right w:type="dxa" w:w="100"/>
            </w:tcMar>
          </w:tcPr>
          <w:p>
            <w:pPr>
              <w:spacing w:after="0" w:before="0" w:line="252"/>
            </w:pPr>
            <w:r>
              <w:rPr>
                <w:sz w:val="19"/>
                <w:szCs w:val="19"/>
              </w:rPr>
              <w:t xml:space="preserve">Before Enterprise GA</w:t>
            </w:r>
          </w:p>
        </w:tc>
        <w:tc>
          <w:tcPr>
            <w:tcW w:type="dxa" w:w="2577"/>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42"/>
            <w:tcMar>
              <w:top w:type="dxa" w:w="60"/>
              <w:left w:type="dxa" w:w="100"/>
              <w:bottom w:type="dxa" w:w="60"/>
              <w:right w:type="dxa" w:w="100"/>
            </w:tcMar>
          </w:tcPr>
          <w:p>
            <w:pPr>
              <w:spacing w:after="0" w:before="0" w:line="252"/>
            </w:pPr>
            <w:r>
              <w:rPr>
                <w:sz w:val="19"/>
                <w:szCs w:val="19"/>
              </w:rPr>
              <w:t xml:space="preserve">Business development</w:t>
            </w:r>
          </w:p>
        </w:tc>
        <w:tc>
          <w:tcPr>
            <w:tcW w:type="dxa" w:w="2223"/>
            <w:tcMar>
              <w:top w:type="dxa" w:w="60"/>
              <w:left w:type="dxa" w:w="100"/>
              <w:bottom w:type="dxa" w:w="60"/>
              <w:right w:type="dxa" w:w="100"/>
            </w:tcMar>
          </w:tcPr>
          <w:p>
            <w:pPr>
              <w:spacing w:after="0" w:before="0" w:line="252"/>
            </w:pPr>
            <w:r>
              <w:rPr>
                <w:sz w:val="19"/>
                <w:szCs w:val="19"/>
              </w:rPr>
              <w:t xml:space="preserve">Before Home</w:t>
            </w:r>
          </w:p>
        </w:tc>
        <w:tc>
          <w:tcPr>
            <w:tcW w:type="dxa" w:w="2577"/>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42"/>
            <w:tcMar>
              <w:top w:type="dxa" w:w="60"/>
              <w:left w:type="dxa" w:w="100"/>
              <w:bottom w:type="dxa" w:w="60"/>
              <w:right w:type="dxa" w:w="100"/>
            </w:tcMar>
          </w:tcPr>
          <w:p>
            <w:pPr>
              <w:spacing w:after="0" w:before="0" w:line="252"/>
            </w:pPr>
            <w:r>
              <w:rPr>
                <w:sz w:val="19"/>
                <w:szCs w:val="19"/>
              </w:rPr>
              <w:t xml:space="preserve">Product</w:t>
            </w:r>
          </w:p>
        </w:tc>
        <w:tc>
          <w:tcPr>
            <w:tcW w:type="dxa" w:w="2223"/>
            <w:tcMar>
              <w:top w:type="dxa" w:w="60"/>
              <w:left w:type="dxa" w:w="100"/>
              <w:bottom w:type="dxa" w:w="60"/>
              <w:right w:type="dxa" w:w="100"/>
            </w:tcMar>
          </w:tcPr>
          <w:p>
            <w:pPr>
              <w:spacing w:after="0" w:before="0" w:line="252"/>
            </w:pPr>
            <w:r>
              <w:rPr>
                <w:sz w:val="19"/>
                <w:szCs w:val="19"/>
              </w:rPr>
              <w:t xml:space="preserve">No</w:t>
            </w:r>
          </w:p>
        </w:tc>
        <w:tc>
          <w:tcPr>
            <w:tcW w:type="dxa" w:w="2577"/>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Allow browser-automation connectors for sites with no API?</w:t>
            </w:r>
          </w:p>
        </w:tc>
        <w:tc>
          <w:tcPr>
            <w:tcW w:type="dxa" w:w="1742"/>
            <w:tcMar>
              <w:top w:type="dxa" w:w="60"/>
              <w:left w:type="dxa" w:w="100"/>
              <w:bottom w:type="dxa" w:w="60"/>
              <w:right w:type="dxa" w:w="100"/>
            </w:tcMar>
          </w:tcPr>
          <w:p>
            <w:pPr>
              <w:spacing w:after="0" w:before="0" w:line="252"/>
            </w:pPr>
            <w:r>
              <w:rPr>
                <w:sz w:val="19"/>
                <w:szCs w:val="19"/>
              </w:rPr>
              <w:t xml:space="preserve">Product, security</w:t>
            </w:r>
          </w:p>
        </w:tc>
        <w:tc>
          <w:tcPr>
            <w:tcW w:type="dxa" w:w="2223"/>
            <w:tcMar>
              <w:top w:type="dxa" w:w="60"/>
              <w:left w:type="dxa" w:w="100"/>
              <w:bottom w:type="dxa" w:w="60"/>
              <w:right w:type="dxa" w:w="100"/>
            </w:tcMar>
          </w:tcPr>
          <w:p>
            <w:pPr>
              <w:spacing w:after="0" w:before="0" w:line="252"/>
            </w:pPr>
            <w:r>
              <w:rPr>
                <w:sz w:val="19"/>
                <w:szCs w:val="19"/>
              </w:rPr>
              <w:t xml:space="preserve">No (P2)</w:t>
            </w:r>
          </w:p>
        </w:tc>
        <w:tc>
          <w:tcPr>
            <w:tcW w:type="dxa" w:w="2577"/>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42"/>
            <w:tcMar>
              <w:top w:type="dxa" w:w="60"/>
              <w:left w:type="dxa" w:w="100"/>
              <w:bottom w:type="dxa" w:w="60"/>
              <w:right w:type="dxa" w:w="100"/>
            </w:tcMar>
          </w:tcPr>
          <w:p>
            <w:pPr>
              <w:spacing w:after="0" w:before="0" w:line="252"/>
            </w:pPr>
            <w:r>
              <w:rPr>
                <w:sz w:val="19"/>
                <w:szCs w:val="19"/>
              </w:rPr>
              <w:t xml:space="preserve">Product</w:t>
            </w:r>
          </w:p>
        </w:tc>
        <w:tc>
          <w:tcPr>
            <w:tcW w:type="dxa" w:w="2223"/>
            <w:tcMar>
              <w:top w:type="dxa" w:w="60"/>
              <w:left w:type="dxa" w:w="100"/>
              <w:bottom w:type="dxa" w:w="60"/>
              <w:right w:type="dxa" w:w="100"/>
            </w:tcMar>
          </w:tcPr>
          <w:p>
            <w:pPr>
              <w:spacing w:after="0" w:before="0" w:line="252"/>
            </w:pPr>
            <w:r>
              <w:rPr>
                <w:sz w:val="19"/>
                <w:szCs w:val="19"/>
              </w:rPr>
              <w:t xml:space="preserve">No (P2)</w:t>
            </w:r>
          </w:p>
        </w:tc>
        <w:tc>
          <w:tcPr>
            <w:tcW w:type="dxa" w:w="2577"/>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42"/>
            <w:tcMar>
              <w:top w:type="dxa" w:w="60"/>
              <w:left w:type="dxa" w:w="100"/>
              <w:bottom w:type="dxa" w:w="60"/>
              <w:right w:type="dxa" w:w="100"/>
            </w:tcMar>
          </w:tcPr>
          <w:p>
            <w:pPr>
              <w:spacing w:after="0" w:before="0" w:line="252"/>
            </w:pPr>
            <w:r>
              <w:rPr>
                <w:sz w:val="19"/>
                <w:szCs w:val="19"/>
              </w:rPr>
              <w:t xml:space="preserve">Business</w:t>
            </w:r>
          </w:p>
        </w:tc>
        <w:tc>
          <w:tcPr>
            <w:tcW w:type="dxa" w:w="2223"/>
            <w:tcMar>
              <w:top w:type="dxa" w:w="60"/>
              <w:left w:type="dxa" w:w="100"/>
              <w:bottom w:type="dxa" w:w="60"/>
              <w:right w:type="dxa" w:w="100"/>
            </w:tcMar>
          </w:tcPr>
          <w:p>
            <w:pPr>
              <w:spacing w:after="0" w:before="0" w:line="252"/>
            </w:pPr>
            <w:r>
              <w:rPr>
                <w:sz w:val="19"/>
                <w:szCs w:val="19"/>
              </w:rPr>
              <w:t xml:space="preserve">No (P2)</w:t>
            </w:r>
          </w:p>
        </w:tc>
        <w:tc>
          <w:tcPr>
            <w:tcW w:type="dxa" w:w="2577"/>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42"/>
            <w:tcMar>
              <w:top w:type="dxa" w:w="60"/>
              <w:left w:type="dxa" w:w="100"/>
              <w:bottom w:type="dxa" w:w="60"/>
              <w:right w:type="dxa" w:w="100"/>
            </w:tcMar>
          </w:tcPr>
          <w:p>
            <w:pPr>
              <w:spacing w:after="0" w:before="0" w:line="252"/>
            </w:pPr>
            <w:r>
              <w:rPr>
                <w:sz w:val="19"/>
                <w:szCs w:val="19"/>
              </w:rPr>
              <w:t xml:space="preserve">Product, legal</w:t>
            </w:r>
          </w:p>
        </w:tc>
        <w:tc>
          <w:tcPr>
            <w:tcW w:type="dxa" w:w="2223"/>
            <w:tcMar>
              <w:top w:type="dxa" w:w="60"/>
              <w:left w:type="dxa" w:w="100"/>
              <w:bottom w:type="dxa" w:w="60"/>
              <w:right w:type="dxa" w:w="100"/>
            </w:tcMar>
          </w:tcPr>
          <w:p>
            <w:pPr>
              <w:spacing w:after="0" w:before="0" w:line="252"/>
            </w:pPr>
            <w:r>
              <w:rPr>
                <w:sz w:val="19"/>
                <w:szCs w:val="19"/>
              </w:rPr>
              <w:t xml:space="preserve">No</w:t>
            </w:r>
          </w:p>
        </w:tc>
        <w:tc>
          <w:tcPr>
            <w:tcW w:type="dxa" w:w="2577"/>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Home minimum age?</w:t>
            </w:r>
          </w:p>
        </w:tc>
        <w:tc>
          <w:tcPr>
            <w:tcW w:type="dxa" w:w="1742"/>
            <w:tcMar>
              <w:top w:type="dxa" w:w="60"/>
              <w:left w:type="dxa" w:w="100"/>
              <w:bottom w:type="dxa" w:w="60"/>
              <w:right w:type="dxa" w:w="100"/>
            </w:tcMar>
          </w:tcPr>
          <w:p>
            <w:pPr>
              <w:spacing w:after="0" w:before="0" w:line="252"/>
            </w:pPr>
            <w:r>
              <w:rPr>
                <w:sz w:val="19"/>
                <w:szCs w:val="19"/>
              </w:rPr>
              <w:t xml:space="preserve">Legal</w:t>
            </w:r>
          </w:p>
        </w:tc>
        <w:tc>
          <w:tcPr>
            <w:tcW w:type="dxa" w:w="2223"/>
            <w:tcMar>
              <w:top w:type="dxa" w:w="60"/>
              <w:left w:type="dxa" w:w="100"/>
              <w:bottom w:type="dxa" w:w="60"/>
              <w:right w:type="dxa" w:w="100"/>
            </w:tcMar>
          </w:tcPr>
          <w:p>
            <w:pPr>
              <w:spacing w:after="0" w:before="0" w:line="252"/>
            </w:pPr>
            <w:r>
              <w:rPr>
                <w:sz w:val="19"/>
                <w:szCs w:val="19"/>
              </w:rPr>
              <w:t xml:space="preserve">Before Home launch</w:t>
            </w:r>
          </w:p>
        </w:tc>
        <w:tc>
          <w:tcPr>
            <w:tcW w:type="dxa" w:w="2577"/>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818"/>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42"/>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23"/>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577"/>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3"/>
        <w:gridCol w:w="1140"/>
        <w:gridCol w:w="6957"/>
      </w:tblGrid>
      <w:tr>
        <w:trPr>
          <w:tblHeader/>
        </w:trPr>
        <w:tc>
          <w:tcPr>
            <w:tcW w:type="dxa" w:w="1263"/>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40"/>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6957"/>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63"/>
            <w:tcMar>
              <w:top w:type="dxa" w:w="60"/>
              <w:left w:type="dxa" w:w="100"/>
              <w:bottom w:type="dxa" w:w="60"/>
              <w:right w:type="dxa" w:w="100"/>
            </w:tcMar>
          </w:tcPr>
          <w:p>
            <w:pPr>
              <w:spacing w:after="0" w:before="0" w:line="252"/>
            </w:pPr>
            <w:r>
              <w:rPr>
                <w:sz w:val="19"/>
                <w:szCs w:val="19"/>
              </w:rPr>
              <w:t xml:space="preserve">v0.5</w:t>
            </w:r>
          </w:p>
        </w:tc>
        <w:tc>
          <w:tcPr>
            <w:tcW w:type="dxa" w:w="1140"/>
            <w:tcMar>
              <w:top w:type="dxa" w:w="60"/>
              <w:left w:type="dxa" w:w="100"/>
              <w:bottom w:type="dxa" w:w="60"/>
              <w:right w:type="dxa" w:w="100"/>
            </w:tcMar>
          </w:tcPr>
          <w:p>
            <w:pPr>
              <w:spacing w:after="0" w:before="0" w:line="252"/>
            </w:pPr>
            <w:r>
              <w:rPr>
                <w:sz w:val="19"/>
                <w:szCs w:val="19"/>
              </w:rPr>
              <w:t xml:space="preserve">2026-10-05</w:t>
            </w:r>
          </w:p>
        </w:tc>
        <w:tc>
          <w:tcPr>
            <w:tcW w:type="dxa" w:w="6957"/>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63"/>
            <w:tcMar>
              <w:top w:type="dxa" w:w="60"/>
              <w:left w:type="dxa" w:w="100"/>
              <w:bottom w:type="dxa" w:w="60"/>
              <w:right w:type="dxa" w:w="100"/>
            </w:tcMar>
          </w:tcPr>
          <w:p>
            <w:pPr>
              <w:spacing w:after="0" w:before="0" w:line="252"/>
            </w:pPr>
            <w:r>
              <w:rPr>
                <w:sz w:val="19"/>
                <w:szCs w:val="19"/>
              </w:rPr>
              <w:t xml:space="preserve">v0.4</w:t>
            </w:r>
          </w:p>
        </w:tc>
        <w:tc>
          <w:tcPr>
            <w:tcW w:type="dxa" w:w="1140"/>
            <w:tcMar>
              <w:top w:type="dxa" w:w="60"/>
              <w:left w:type="dxa" w:w="100"/>
              <w:bottom w:type="dxa" w:w="60"/>
              <w:right w:type="dxa" w:w="100"/>
            </w:tcMar>
          </w:tcPr>
          <w:p>
            <w:pPr>
              <w:spacing w:after="0" w:before="0" w:line="252"/>
            </w:pPr>
            <w:r>
              <w:rPr>
                <w:sz w:val="19"/>
                <w:szCs w:val="19"/>
              </w:rPr>
              <w:t xml:space="preserve">2026-10-05</w:t>
            </w:r>
          </w:p>
        </w:tc>
        <w:tc>
          <w:tcPr>
            <w:tcW w:type="dxa" w:w="6957"/>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63"/>
            <w:tcMar>
              <w:top w:type="dxa" w:w="60"/>
              <w:left w:type="dxa" w:w="100"/>
              <w:bottom w:type="dxa" w:w="60"/>
              <w:right w:type="dxa" w:w="100"/>
            </w:tcMar>
          </w:tcPr>
          <w:p>
            <w:pPr>
              <w:spacing w:after="0" w:before="0" w:line="252"/>
            </w:pPr>
            <w:r>
              <w:rPr>
                <w:sz w:val="19"/>
                <w:szCs w:val="19"/>
              </w:rPr>
              <w:t xml:space="preserve">v0.3</w:t>
            </w:r>
          </w:p>
        </w:tc>
        <w:tc>
          <w:tcPr>
            <w:tcW w:type="dxa" w:w="1140"/>
            <w:tcMar>
              <w:top w:type="dxa" w:w="60"/>
              <w:left w:type="dxa" w:w="100"/>
              <w:bottom w:type="dxa" w:w="60"/>
              <w:right w:type="dxa" w:w="100"/>
            </w:tcMar>
          </w:tcPr>
          <w:p>
            <w:pPr>
              <w:spacing w:after="0" w:before="0" w:line="252"/>
            </w:pPr>
            <w:r>
              <w:rPr>
                <w:sz w:val="19"/>
                <w:szCs w:val="19"/>
              </w:rPr>
              <w:t xml:space="preserve">2026-10-05</w:t>
            </w:r>
          </w:p>
        </w:tc>
        <w:tc>
          <w:tcPr>
            <w:tcW w:type="dxa" w:w="6957"/>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63"/>
            <w:tcMar>
              <w:top w:type="dxa" w:w="60"/>
              <w:left w:type="dxa" w:w="100"/>
              <w:bottom w:type="dxa" w:w="60"/>
              <w:right w:type="dxa" w:w="100"/>
            </w:tcMar>
          </w:tcPr>
          <w:p>
            <w:pPr>
              <w:spacing w:after="0" w:before="0" w:line="252"/>
            </w:pPr>
            <w:r>
              <w:rPr>
                <w:sz w:val="19"/>
                <w:szCs w:val="19"/>
              </w:rPr>
              <w:t xml:space="preserve">v0.2</w:t>
            </w:r>
          </w:p>
        </w:tc>
        <w:tc>
          <w:tcPr>
            <w:tcW w:type="dxa" w:w="1140"/>
            <w:tcMar>
              <w:top w:type="dxa" w:w="60"/>
              <w:left w:type="dxa" w:w="100"/>
              <w:bottom w:type="dxa" w:w="60"/>
              <w:right w:type="dxa" w:w="100"/>
            </w:tcMar>
          </w:tcPr>
          <w:p>
            <w:pPr>
              <w:spacing w:after="0" w:before="0" w:line="252"/>
            </w:pPr>
            <w:r>
              <w:rPr>
                <w:sz w:val="19"/>
                <w:szCs w:val="19"/>
              </w:rPr>
              <w:t xml:space="preserve">2026-10-05</w:t>
            </w:r>
          </w:p>
        </w:tc>
        <w:tc>
          <w:tcPr>
            <w:tcW w:type="dxa" w:w="6957"/>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63"/>
            <w:tcMar>
              <w:top w:type="dxa" w:w="60"/>
              <w:left w:type="dxa" w:w="100"/>
              <w:bottom w:type="dxa" w:w="60"/>
              <w:right w:type="dxa" w:w="100"/>
            </w:tcMar>
          </w:tcPr>
          <w:p>
            <w:pPr>
              <w:spacing w:after="0" w:before="0" w:line="252"/>
            </w:pPr>
            <w:r>
              <w:rPr>
                <w:sz w:val="19"/>
                <w:szCs w:val="19"/>
              </w:rPr>
              <w:t xml:space="preserve">v0.1</w:t>
            </w:r>
          </w:p>
        </w:tc>
        <w:tc>
          <w:tcPr>
            <w:tcW w:type="dxa" w:w="1140"/>
            <w:tcMar>
              <w:top w:type="dxa" w:w="60"/>
              <w:left w:type="dxa" w:w="100"/>
              <w:bottom w:type="dxa" w:w="60"/>
              <w:right w:type="dxa" w:w="100"/>
            </w:tcMar>
          </w:tcPr>
          <w:p>
            <w:pPr>
              <w:spacing w:after="0" w:before="0" w:line="252"/>
            </w:pPr>
            <w:r>
              <w:rPr>
                <w:sz w:val="19"/>
                <w:szCs w:val="19"/>
              </w:rPr>
              <w:t xml:space="preserve">2026-10-05</w:t>
            </w:r>
          </w:p>
        </w:tc>
        <w:tc>
          <w:tcPr>
            <w:tcW w:type="dxa" w:w="6957"/>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42gk8l_towmzv7ttlqcua">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ttegxouy6xxwpedctyswq">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nujnerimt2_7cyxvjctvc">
        <w:r>
          <w:rPr>
            <w:rStyle w:val="Hyperlink"/>
          </w:rPr>
          <w:t xml:space="preserve">OWASP LLM Prompt Injection Prevention Cheat Sheet</w:t>
        </w:r>
      </w:hyperlink>
      <w:r>
        <w:t xml:space="preserve">: attack types and defenses behind CON‑10, ASG‑17, SEC‑02 and SEC‑11 to SEC‑13.</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bj3wlwypj5ic5bmagusyz">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bjcnktvnhhfygrrg1ewus">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w1sul6hxc3jhkpvm0jalb">
        <w:r>
          <w:rPr>
            <w:rStyle w:val="Hyperlink"/>
          </w:rPr>
          <w:t xml:space="preserve">Unicode Technical Standard #39</w:t>
        </w:r>
      </w:hyperlink>
      <w:r>
        <w:t xml:space="preserve">: skeletons for mixed-script look-alikes (CON‑10).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42gk8l_towmzv7ttlqcua" Type="http://schemas.openxmlformats.org/officeDocument/2006/relationships/hyperlink" Target="https://docs.temporal.io/activity-definition#idempotency" TargetMode="External"/><Relationship Id="rIdttegxouy6xxwpedctyswq" Type="http://schemas.openxmlformats.org/officeDocument/2006/relationships/hyperlink" Target="https://learn.microsoft.com/en-us/entra/identity-platform/configurable-token-lifetimes" TargetMode="External"/><Relationship Id="rIdnujnerimt2_7cyxvjctvc" Type="http://schemas.openxmlformats.org/officeDocument/2006/relationships/hyperlink" Target="https://cheatsheetseries.owasp.org/cheatsheets/LLM_Prompt_Injection_Prevention_Cheat_Sheet.html" TargetMode="External"/><Relationship Id="rIdbj3wlwypj5ic5bmagusyz" Type="http://schemas.openxmlformats.org/officeDocument/2006/relationships/hyperlink" Target="https://learn.microsoft.com/en-us/entra/identity/app-provisioning/use-scim-to-provision-users-and-groups" TargetMode="External"/><Relationship Id="rIdbjcnktvnhhfygrrg1ewus" Type="http://schemas.openxmlformats.org/officeDocument/2006/relationships/hyperlink" Target="https://learn.microsoft.com/en-us/entra/identity/conditional-access/concept-continuous-access-evaluation" TargetMode="External"/><Relationship Id="rIdw1sul6hxc3jhkpvm0jalb" Type="http://schemas.openxmlformats.org/officeDocument/2006/relationships/hyperlink" Target="https://www.unicode.org/reports/tr39/" TargetMode="External"/><Relationship Id="rId7" Type="http://schemas.openxmlformats.org/officeDocument/2006/relationships/image" Target="media/8e03b3201019c9e0af2bbfa41cca616243d50862.png"/><Relationship Id="rId8" Type="http://schemas.openxmlformats.org/officeDocument/2006/relationships/image" Target="media/7a6fa4e326656b90a81f27961fad224985b26058.png"/><Relationship Id="rId9" Type="http://schemas.openxmlformats.org/officeDocument/2006/relationships/image" Target="media/39643b58a193b59bf2982e93aa730f7c6570da78.png"/><Relationship Id="rId10" Type="http://schemas.openxmlformats.org/officeDocument/2006/relationships/image" Target="media/e6a471581092c5f51ab3f21a879b8e4f7bedba0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v0.5)</dc:title>
  <dc:creator>Collicity</dc:creator>
  <cp:lastModifiedBy>Un-named</cp:lastModifiedBy>
  <cp:revision>1</cp:revision>
  <dcterms:created xsi:type="dcterms:W3CDTF">2026-10-07T22:19:47.322Z</dcterms:created>
  <dcterms:modified xsi:type="dcterms:W3CDTF">2026-10-07T22:19:47.324Z</dcterms:modified>
</cp:coreProperties>
</file>

<file path=docProps/custom.xml><?xml version="1.0" encoding="utf-8"?>
<Properties xmlns="http://schemas.openxmlformats.org/officeDocument/2006/custom-properties" xmlns:vt="http://schemas.openxmlformats.org/officeDocument/2006/docPropsVTypes"/>
</file>