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v0.7)</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the rule wins and the requirement is a defect to fix. The rules are enforced in deterministic code outside the model: the connector gateway, the run engine and the clients (§16). They change only through a new version of this specification, with a security review and the product owner's sign-off.</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9"/>
        <w:gridCol w:w="5208"/>
        <w:gridCol w:w="3233"/>
      </w:tblGrid>
      <w:tr>
        <w:trPr>
          <w:tblHeader/>
        </w:trPr>
        <w:tc>
          <w:tcPr>
            <w:tcW w:type="dxa" w:w="91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20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3233"/>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19"/>
            <w:tcMar>
              <w:top w:type="dxa" w:w="60"/>
              <w:left w:type="dxa" w:w="100"/>
              <w:bottom w:type="dxa" w:w="60"/>
              <w:right w:type="dxa" w:w="100"/>
            </w:tcMar>
          </w:tcPr>
          <w:p>
            <w:pPr>
              <w:spacing w:after="0" w:before="0" w:line="252"/>
            </w:pPr>
            <w:r>
              <w:rPr>
                <w:sz w:val="19"/>
                <w:szCs w:val="19"/>
              </w:rPr>
              <w:t xml:space="preserve">MR‑01</w:t>
            </w:r>
          </w:p>
        </w:tc>
        <w:tc>
          <w:tcPr>
            <w:tcW w:type="dxa" w:w="5208"/>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3233"/>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919"/>
            <w:tcMar>
              <w:top w:type="dxa" w:w="60"/>
              <w:left w:type="dxa" w:w="100"/>
              <w:bottom w:type="dxa" w:w="60"/>
              <w:right w:type="dxa" w:w="100"/>
            </w:tcMar>
          </w:tcPr>
          <w:p>
            <w:pPr>
              <w:spacing w:after="0" w:before="0" w:line="252"/>
            </w:pPr>
            <w:r>
              <w:rPr>
                <w:sz w:val="19"/>
                <w:szCs w:val="19"/>
              </w:rPr>
              <w:t xml:space="preserve">MR‑02</w:t>
            </w:r>
          </w:p>
        </w:tc>
        <w:tc>
          <w:tcPr>
            <w:tcW w:type="dxa" w:w="5208"/>
            <w:tcMar>
              <w:top w:type="dxa" w:w="60"/>
              <w:left w:type="dxa" w:w="100"/>
              <w:bottom w:type="dxa" w:w="60"/>
              <w:right w:type="dxa" w:w="100"/>
            </w:tcMar>
          </w:tcPr>
          <w:p>
            <w:pPr>
              <w:spacing w:after="0" w:before="0" w:line="252"/>
            </w:pPr>
            <w:r>
              <w:rPr>
                <w:sz w:val="19"/>
                <w:szCs w:val="19"/>
              </w:rPr>
              <w:t xml:space="preserve">Act only with the invoking user’s permissions (no privilege escalation, no shared or service-account “borrowing”).</w:t>
            </w:r>
          </w:p>
        </w:tc>
        <w:tc>
          <w:tcPr>
            <w:tcW w:type="dxa" w:w="3233"/>
            <w:tcMar>
              <w:top w:type="dxa" w:w="60"/>
              <w:left w:type="dxa" w:w="100"/>
              <w:bottom w:type="dxa" w:w="60"/>
              <w:right w:type="dxa" w:w="100"/>
            </w:tcMar>
          </w:tcPr>
          <w:p>
            <w:pPr>
              <w:spacing w:after="0" w:before="0" w:line="252"/>
            </w:pPr>
            <w:r>
              <w:rPr>
                <w:sz w:val="19"/>
                <w:szCs w:val="19"/>
              </w:rPr>
              <w:t xml:space="preserve">Invariant 1; CON‑01, CON‑02, CON‑05</w:t>
            </w:r>
          </w:p>
        </w:tc>
      </w:tr>
      <w:tr>
        <w:trPr>
          <w:tblHeader w:val="off"/>
        </w:trPr>
        <w:tc>
          <w:tcPr>
            <w:tcW w:type="dxa" w:w="919"/>
            <w:tcMar>
              <w:top w:type="dxa" w:w="60"/>
              <w:left w:type="dxa" w:w="100"/>
              <w:bottom w:type="dxa" w:w="60"/>
              <w:right w:type="dxa" w:w="100"/>
            </w:tcMar>
          </w:tcPr>
          <w:p>
            <w:pPr>
              <w:spacing w:after="0" w:before="0" w:line="252"/>
            </w:pPr>
            <w:r>
              <w:rPr>
                <w:sz w:val="19"/>
                <w:szCs w:val="19"/>
              </w:rPr>
              <w:t xml:space="preserve">MR‑03</w:t>
            </w:r>
          </w:p>
        </w:tc>
        <w:tc>
          <w:tcPr>
            <w:tcW w:type="dxa" w:w="5208"/>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3233"/>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919"/>
            <w:tcMar>
              <w:top w:type="dxa" w:w="60"/>
              <w:left w:type="dxa" w:w="100"/>
              <w:bottom w:type="dxa" w:w="60"/>
              <w:right w:type="dxa" w:w="100"/>
            </w:tcMar>
          </w:tcPr>
          <w:p>
            <w:pPr>
              <w:spacing w:after="0" w:before="0" w:line="252"/>
            </w:pPr>
            <w:r>
              <w:rPr>
                <w:sz w:val="19"/>
                <w:szCs w:val="19"/>
              </w:rPr>
              <w:t xml:space="preserve">MR‑04</w:t>
            </w:r>
          </w:p>
        </w:tc>
        <w:tc>
          <w:tcPr>
            <w:tcW w:type="dxa" w:w="5208"/>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3233"/>
            <w:tcMar>
              <w:top w:type="dxa" w:w="60"/>
              <w:left w:type="dxa" w:w="100"/>
              <w:bottom w:type="dxa" w:w="60"/>
              <w:right w:type="dxa" w:w="100"/>
            </w:tcMar>
          </w:tcPr>
          <w:p>
            <w:pPr>
              <w:spacing w:after="0" w:before="0" w:line="252"/>
            </w:pPr>
            <w:r>
              <w:rPr>
                <w:sz w:val="19"/>
                <w:szCs w:val="19"/>
              </w:rPr>
              <w:t xml:space="preserve">§4 object rules; CON‑07; CON‑17 to CON‑19 support it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1"/>
        <w:gridCol w:w="5671"/>
        <w:gridCol w:w="2698"/>
      </w:tblGrid>
      <w:tr>
        <w:trPr>
          <w:tblHeader/>
        </w:trPr>
        <w:tc>
          <w:tcPr>
            <w:tcW w:type="dxa" w:w="99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67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69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MR‑05</w:t>
            </w:r>
          </w:p>
        </w:tc>
        <w:tc>
          <w:tcPr>
            <w:tcW w:type="dxa" w:w="5671"/>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269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MR‑06</w:t>
            </w:r>
          </w:p>
        </w:tc>
        <w:tc>
          <w:tcPr>
            <w:tcW w:type="dxa" w:w="5671"/>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269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MR‑07</w:t>
            </w:r>
          </w:p>
        </w:tc>
        <w:tc>
          <w:tcPr>
            <w:tcW w:type="dxa" w:w="5671"/>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269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91"/>
            <w:tcMar>
              <w:top w:type="dxa" w:w="60"/>
              <w:left w:type="dxa" w:w="100"/>
              <w:bottom w:type="dxa" w:w="60"/>
              <w:right w:type="dxa" w:w="100"/>
            </w:tcMar>
          </w:tcPr>
          <w:p>
            <w:pPr>
              <w:spacing w:after="0" w:before="0" w:line="252"/>
            </w:pPr>
            <w:r>
              <w:rPr>
                <w:sz w:val="19"/>
                <w:szCs w:val="19"/>
              </w:rPr>
              <w:t xml:space="preserve">MR‑08</w:t>
            </w:r>
          </w:p>
        </w:tc>
        <w:tc>
          <w:tcPr>
            <w:tcW w:type="dxa" w:w="5671"/>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269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7"/>
        <w:gridCol w:w="5667"/>
        <w:gridCol w:w="2766"/>
      </w:tblGrid>
      <w:tr>
        <w:trPr>
          <w:tblHeader/>
        </w:trPr>
        <w:tc>
          <w:tcPr>
            <w:tcW w:type="dxa" w:w="92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667"/>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766"/>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27"/>
            <w:tcMar>
              <w:top w:type="dxa" w:w="60"/>
              <w:left w:type="dxa" w:w="100"/>
              <w:bottom w:type="dxa" w:w="60"/>
              <w:right w:type="dxa" w:w="100"/>
            </w:tcMar>
          </w:tcPr>
          <w:p>
            <w:pPr>
              <w:spacing w:after="0" w:before="0" w:line="252"/>
            </w:pPr>
            <w:r>
              <w:rPr>
                <w:sz w:val="19"/>
                <w:szCs w:val="19"/>
              </w:rPr>
              <w:t xml:space="preserve">MR‑09</w:t>
            </w:r>
          </w:p>
        </w:tc>
        <w:tc>
          <w:tcPr>
            <w:tcW w:type="dxa" w:w="5667"/>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at the time of action.</w:t>
            </w:r>
          </w:p>
        </w:tc>
        <w:tc>
          <w:tcPr>
            <w:tcW w:type="dxa" w:w="2766"/>
            <w:tcMar>
              <w:top w:type="dxa" w:w="60"/>
              <w:left w:type="dxa" w:w="100"/>
              <w:bottom w:type="dxa" w:w="60"/>
              <w:right w:type="dxa" w:w="100"/>
            </w:tcMar>
          </w:tcPr>
          <w:p>
            <w:pPr>
              <w:spacing w:after="0" w:before="0" w:line="252"/>
            </w:pPr>
            <w:r>
              <w:rPr>
                <w:sz w:val="19"/>
                <w:szCs w:val="19"/>
              </w:rPr>
              <w:t xml:space="preserve">Invariant 2; ASG‑11, RUN‑04, RUN‑06</w:t>
            </w:r>
          </w:p>
        </w:tc>
      </w:tr>
      <w:tr>
        <w:trPr>
          <w:tblHeader w:val="off"/>
        </w:trPr>
        <w:tc>
          <w:tcPr>
            <w:tcW w:type="dxa" w:w="927"/>
            <w:tcMar>
              <w:top w:type="dxa" w:w="60"/>
              <w:left w:type="dxa" w:w="100"/>
              <w:bottom w:type="dxa" w:w="60"/>
              <w:right w:type="dxa" w:w="100"/>
            </w:tcMar>
          </w:tcPr>
          <w:p>
            <w:pPr>
              <w:spacing w:after="0" w:before="0" w:line="252"/>
            </w:pPr>
            <w:r>
              <w:rPr>
                <w:sz w:val="19"/>
                <w:szCs w:val="19"/>
              </w:rPr>
              <w:t xml:space="preserve">MR‑10</w:t>
            </w:r>
          </w:p>
        </w:tc>
        <w:tc>
          <w:tcPr>
            <w:tcW w:type="dxa" w:w="5667"/>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w:t>
            </w:r>
          </w:p>
        </w:tc>
        <w:tc>
          <w:tcPr>
            <w:tcW w:type="dxa" w:w="2766"/>
            <w:tcMar>
              <w:top w:type="dxa" w:w="60"/>
              <w:left w:type="dxa" w:w="100"/>
              <w:bottom w:type="dxa" w:w="60"/>
              <w:right w:type="dxa" w:w="100"/>
            </w:tcMar>
          </w:tcPr>
          <w:p>
            <w:pPr>
              <w:spacing w:after="0" w:before="0" w:line="252"/>
            </w:pPr>
            <w:r>
              <w:rPr>
                <w:sz w:val="19"/>
                <w:szCs w:val="19"/>
              </w:rPr>
              <w:t xml:space="preserve">Invariant 2; PAY‑02, PAY‑05, PAY‑06</w:t>
            </w:r>
          </w:p>
        </w:tc>
      </w:tr>
      <w:tr>
        <w:trPr>
          <w:tblHeader w:val="off"/>
        </w:trPr>
        <w:tc>
          <w:tcPr>
            <w:tcW w:type="dxa" w:w="927"/>
            <w:tcMar>
              <w:top w:type="dxa" w:w="60"/>
              <w:left w:type="dxa" w:w="100"/>
              <w:bottom w:type="dxa" w:w="60"/>
              <w:right w:type="dxa" w:w="100"/>
            </w:tcMar>
          </w:tcPr>
          <w:p>
            <w:pPr>
              <w:spacing w:after="0" w:before="0" w:line="252"/>
            </w:pPr>
            <w:r>
              <w:rPr>
                <w:sz w:val="19"/>
                <w:szCs w:val="19"/>
              </w:rPr>
              <w:t xml:space="preserve">MR‑11</w:t>
            </w:r>
          </w:p>
        </w:tc>
        <w:tc>
          <w:tcPr>
            <w:tcW w:type="dxa" w:w="5667"/>
            <w:tcMar>
              <w:top w:type="dxa" w:w="60"/>
              <w:left w:type="dxa" w:w="100"/>
              <w:bottom w:type="dxa" w:w="60"/>
              <w:right w:type="dxa" w:w="100"/>
            </w:tcMar>
          </w:tcPr>
          <w:p>
            <w:pPr>
              <w:spacing w:after="0" w:before="0" w:line="252"/>
            </w:pPr>
            <w:r>
              <w:rPr>
                <w:sz w:val="19"/>
                <w:szCs w:val="19"/>
              </w:rPr>
              <w:t xml:space="preserve">Approval is per-action and per-session; one approval doesn’t authorize similar future actions.</w:t>
            </w:r>
          </w:p>
        </w:tc>
        <w:tc>
          <w:tcPr>
            <w:tcW w:type="dxa" w:w="2766"/>
            <w:tcMar>
              <w:top w:type="dxa" w:w="60"/>
              <w:left w:type="dxa" w:w="100"/>
              <w:bottom w:type="dxa" w:w="60"/>
              <w:right w:type="dxa" w:w="100"/>
            </w:tcMar>
          </w:tcPr>
          <w:p>
            <w:pPr>
              <w:spacing w:after="0" w:before="0" w:line="252"/>
            </w:pPr>
            <w:r>
              <w:rPr>
                <w:sz w:val="19"/>
                <w:szCs w:val="19"/>
              </w:rPr>
              <w:t xml:space="preserve">ASG‑11, RUN‑04; ASG‑16 and PAY‑03 withdrawn</w:t>
            </w:r>
          </w:p>
        </w:tc>
      </w:tr>
      <w:tr>
        <w:trPr>
          <w:tblHeader w:val="off"/>
        </w:trPr>
        <w:tc>
          <w:tcPr>
            <w:tcW w:type="dxa" w:w="927"/>
            <w:tcMar>
              <w:top w:type="dxa" w:w="60"/>
              <w:left w:type="dxa" w:w="100"/>
              <w:bottom w:type="dxa" w:w="60"/>
              <w:right w:type="dxa" w:w="100"/>
            </w:tcMar>
          </w:tcPr>
          <w:p>
            <w:pPr>
              <w:spacing w:after="0" w:before="0" w:line="252"/>
            </w:pPr>
            <w:r>
              <w:rPr>
                <w:sz w:val="19"/>
                <w:szCs w:val="19"/>
              </w:rPr>
              <w:t xml:space="preserve">MR‑12</w:t>
            </w:r>
          </w:p>
        </w:tc>
        <w:tc>
          <w:tcPr>
            <w:tcW w:type="dxa" w:w="5667"/>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w:t>
            </w:r>
          </w:p>
        </w:tc>
        <w:tc>
          <w:tcPr>
            <w:tcW w:type="dxa" w:w="2766"/>
            <w:tcMar>
              <w:top w:type="dxa" w:w="60"/>
              <w:left w:type="dxa" w:w="100"/>
              <w:bottom w:type="dxa" w:w="60"/>
              <w:right w:type="dxa" w:w="100"/>
            </w:tcMar>
          </w:tcPr>
          <w:p>
            <w:pPr>
              <w:spacing w:after="0" w:before="0" w:line="252"/>
            </w:pPr>
            <w:r>
              <w:rPr>
                <w:sz w:val="19"/>
                <w:szCs w:val="19"/>
              </w:rPr>
              <w:t xml:space="preserve">ASG‑05, ASG‑11; approvals bind the exact action (RUN‑04)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
        <w:gridCol w:w="6137"/>
        <w:gridCol w:w="2292"/>
      </w:tblGrid>
      <w:tr>
        <w:trPr>
          <w:tblHeader/>
        </w:trPr>
        <w:tc>
          <w:tcPr>
            <w:tcW w:type="dxa" w:w="9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6137"/>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MR‑13</w:t>
            </w:r>
          </w:p>
        </w:tc>
        <w:tc>
          <w:tcPr>
            <w:tcW w:type="dxa" w:w="6137"/>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2"/>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MR‑14</w:t>
            </w:r>
          </w:p>
        </w:tc>
        <w:tc>
          <w:tcPr>
            <w:tcW w:type="dxa" w:w="6137"/>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2"/>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931"/>
            <w:tcMar>
              <w:top w:type="dxa" w:w="60"/>
              <w:left w:type="dxa" w:w="100"/>
              <w:bottom w:type="dxa" w:w="60"/>
              <w:right w:type="dxa" w:w="100"/>
            </w:tcMar>
          </w:tcPr>
          <w:p>
            <w:pPr>
              <w:spacing w:after="0" w:before="0" w:line="252"/>
            </w:pPr>
            <w:r>
              <w:rPr>
                <w:sz w:val="19"/>
                <w:szCs w:val="19"/>
              </w:rPr>
              <w:t xml:space="preserve">MR‑15</w:t>
            </w:r>
          </w:p>
        </w:tc>
        <w:tc>
          <w:tcPr>
            <w:tcW w:type="dxa" w:w="6137"/>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2"/>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
        <w:gridCol w:w="5519"/>
        <w:gridCol w:w="2852"/>
      </w:tblGrid>
      <w:tr>
        <w:trPr>
          <w:tblHeader/>
        </w:trPr>
        <w:tc>
          <w:tcPr>
            <w:tcW w:type="dxa" w:w="98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51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85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MR‑16</w:t>
            </w:r>
          </w:p>
        </w:tc>
        <w:tc>
          <w:tcPr>
            <w:tcW w:type="dxa" w:w="5519"/>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285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MR‑17</w:t>
            </w:r>
          </w:p>
        </w:tc>
        <w:tc>
          <w:tcPr>
            <w:tcW w:type="dxa" w:w="5519"/>
            <w:tcMar>
              <w:top w:type="dxa" w:w="60"/>
              <w:left w:type="dxa" w:w="100"/>
              <w:bottom w:type="dxa" w:w="60"/>
              <w:right w:type="dxa" w:w="100"/>
            </w:tcMar>
          </w:tcPr>
          <w:p>
            <w:pPr>
              <w:spacing w:after="0" w:before="0" w:line="252"/>
            </w:pPr>
            <w:r>
              <w:rPr>
                <w:sz w:val="19"/>
                <w:szCs w:val="19"/>
              </w:rPr>
              <w:t xml:space="preserve">Always identify itself as an AI when communicating with people.</w:t>
            </w:r>
          </w:p>
        </w:tc>
        <w:tc>
          <w:tcPr>
            <w:tcW w:type="dxa" w:w="285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MR‑18</w:t>
            </w:r>
          </w:p>
        </w:tc>
        <w:tc>
          <w:tcPr>
            <w:tcW w:type="dxa" w:w="5519"/>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2852"/>
            <w:tcMar>
              <w:top w:type="dxa" w:w="60"/>
              <w:left w:type="dxa" w:w="100"/>
              <w:bottom w:type="dxa" w:w="60"/>
              <w:right w:type="dxa" w:w="100"/>
            </w:tcMar>
          </w:tcPr>
          <w:p>
            <w:pPr>
              <w:spacing w:after="0" w:before="0" w:line="252"/>
            </w:pPr>
            <w:r>
              <w:rPr>
                <w:sz w:val="19"/>
                <w:szCs w:val="19"/>
              </w:rPr>
              <w:t xml:space="preserve">CON‑03, CON‑07, SEC‑14; CON‑17 supports it (alpha)</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MR‑19</w:t>
            </w:r>
          </w:p>
        </w:tc>
        <w:tc>
          <w:tcPr>
            <w:tcW w:type="dxa" w:w="5519"/>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285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
        <w:gridCol w:w="5818"/>
        <w:gridCol w:w="2553"/>
      </w:tblGrid>
      <w:tr>
        <w:trPr>
          <w:tblHeader/>
        </w:trPr>
        <w:tc>
          <w:tcPr>
            <w:tcW w:type="dxa" w:w="989"/>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581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553"/>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MR‑20</w:t>
            </w:r>
          </w:p>
        </w:tc>
        <w:tc>
          <w:tcPr>
            <w:tcW w:type="dxa" w:w="5818"/>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2553"/>
            <w:tcMar>
              <w:top w:type="dxa" w:w="60"/>
              <w:left w:type="dxa" w:w="100"/>
              <w:bottom w:type="dxa" w:w="60"/>
              <w:right w:type="dxa" w:w="100"/>
            </w:tcMar>
          </w:tcPr>
          <w:p>
            <w:pPr>
              <w:spacing w:after="0" w:before="0" w:line="252"/>
            </w:pPr>
            <w:r>
              <w:rPr>
                <w:sz w:val="19"/>
                <w:szCs w:val="19"/>
              </w:rPr>
              <w:t xml:space="preserve">Invariant 4; BUD‑03, RUN‑01, CON‑02, CON‑12</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MR‑21</w:t>
            </w:r>
          </w:p>
        </w:tc>
        <w:tc>
          <w:tcPr>
            <w:tcW w:type="dxa" w:w="5818"/>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2553"/>
            <w:tcMar>
              <w:top w:type="dxa" w:w="60"/>
              <w:left w:type="dxa" w:w="100"/>
              <w:bottom w:type="dxa" w:w="60"/>
              <w:right w:type="dxa" w:w="100"/>
            </w:tcMar>
          </w:tcPr>
          <w:p>
            <w:pPr>
              <w:spacing w:after="0" w:before="0" w:line="252"/>
            </w:pPr>
            <w:r>
              <w:rPr>
                <w:sz w:val="19"/>
                <w:szCs w:val="19"/>
              </w:rPr>
              <w:t xml:space="preserve">ASG‑13, CON‑06</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MR‑22</w:t>
            </w:r>
          </w:p>
        </w:tc>
        <w:tc>
          <w:tcPr>
            <w:tcW w:type="dxa" w:w="5818"/>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2553"/>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989"/>
            <w:tcMar>
              <w:top w:type="dxa" w:w="60"/>
              <w:left w:type="dxa" w:w="100"/>
              <w:bottom w:type="dxa" w:w="60"/>
              <w:right w:type="dxa" w:w="100"/>
            </w:tcMar>
          </w:tcPr>
          <w:p>
            <w:pPr>
              <w:spacing w:after="0" w:before="0" w:line="252"/>
            </w:pPr>
            <w:r>
              <w:rPr>
                <w:sz w:val="19"/>
                <w:szCs w:val="19"/>
              </w:rPr>
              <w:t xml:space="preserve">MR‑23</w:t>
            </w:r>
          </w:p>
        </w:tc>
        <w:tc>
          <w:tcPr>
            <w:tcW w:type="dxa" w:w="5818"/>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2553"/>
            <w:tcMar>
              <w:top w:type="dxa" w:w="60"/>
              <w:left w:type="dxa" w:w="100"/>
              <w:bottom w:type="dxa" w:w="60"/>
              <w:right w:type="dxa" w:w="100"/>
            </w:tcMar>
          </w:tcPr>
          <w:p>
            <w:pPr>
              <w:spacing w:after="0" w:before="0" w:line="252"/>
            </w:pPr>
            <w:r>
              <w:rPr>
                <w:sz w:val="19"/>
                <w:szCs w:val="19"/>
              </w:rPr>
              <w:t xml:space="preserve">CON‑03, SUP‑03</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0"/>
        <w:gridCol w:w="6406"/>
        <w:gridCol w:w="1984"/>
      </w:tblGrid>
      <w:tr>
        <w:trPr>
          <w:tblHeader/>
        </w:trPr>
        <w:tc>
          <w:tcPr>
            <w:tcW w:type="dxa" w:w="970"/>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6406"/>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70"/>
            <w:tcMar>
              <w:top w:type="dxa" w:w="60"/>
              <w:left w:type="dxa" w:w="100"/>
              <w:bottom w:type="dxa" w:w="60"/>
              <w:right w:type="dxa" w:w="100"/>
            </w:tcMar>
          </w:tcPr>
          <w:p>
            <w:pPr>
              <w:spacing w:after="0" w:before="0" w:line="252"/>
            </w:pPr>
            <w:r>
              <w:rPr>
                <w:sz w:val="19"/>
                <w:szCs w:val="19"/>
              </w:rPr>
              <w:t xml:space="preserve">MR‑24</w:t>
            </w:r>
          </w:p>
        </w:tc>
        <w:tc>
          <w:tcPr>
            <w:tcW w:type="dxa" w:w="6406"/>
            <w:tcMar>
              <w:top w:type="dxa" w:w="60"/>
              <w:left w:type="dxa" w:w="100"/>
              <w:bottom w:type="dxa" w:w="60"/>
              <w:right w:type="dxa" w:w="100"/>
            </w:tcMar>
          </w:tcPr>
          <w:p>
            <w:pPr>
              <w:spacing w:after="0" w:before="0" w:line="252"/>
            </w:pPr>
            <w:r>
              <w:rPr>
                <w:sz w:val="19"/>
                <w:szCs w:val="19"/>
              </w:rPr>
              <w:t xml:space="preserve">Never download or execute code from untrusted sources.</w:t>
            </w:r>
          </w:p>
        </w:tc>
        <w:tc>
          <w:tcPr>
            <w:tcW w:type="dxa" w:w="198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970"/>
            <w:tcMar>
              <w:top w:type="dxa" w:w="60"/>
              <w:left w:type="dxa" w:w="100"/>
              <w:bottom w:type="dxa" w:w="60"/>
              <w:right w:type="dxa" w:w="100"/>
            </w:tcMar>
          </w:tcPr>
          <w:p>
            <w:pPr>
              <w:spacing w:after="0" w:before="0" w:line="252"/>
            </w:pPr>
            <w:r>
              <w:rPr>
                <w:sz w:val="19"/>
                <w:szCs w:val="19"/>
              </w:rPr>
              <w:t xml:space="preserve">MR‑25</w:t>
            </w:r>
          </w:p>
        </w:tc>
        <w:tc>
          <w:tcPr>
            <w:tcW w:type="dxa" w:w="6406"/>
            <w:tcMar>
              <w:top w:type="dxa" w:w="60"/>
              <w:left w:type="dxa" w:w="100"/>
              <w:bottom w:type="dxa" w:w="60"/>
              <w:right w:type="dxa" w:w="100"/>
            </w:tcMar>
          </w:tcPr>
          <w:p>
            <w:pPr>
              <w:spacing w:after="0" w:before="0" w:line="252"/>
            </w:pPr>
            <w:r>
              <w:rPr>
                <w:sz w:val="19"/>
                <w:szCs w:val="19"/>
              </w:rPr>
              <w:t xml:space="preserve">Never alter security settings, logging, or monitoring.</w:t>
            </w:r>
          </w:p>
        </w:tc>
        <w:tc>
          <w:tcPr>
            <w:tcW w:type="dxa" w:w="1984"/>
            <w:tcMar>
              <w:top w:type="dxa" w:w="60"/>
              <w:left w:type="dxa" w:w="100"/>
              <w:bottom w:type="dxa" w:w="60"/>
              <w:right w:type="dxa" w:w="100"/>
            </w:tcMar>
          </w:tcPr>
          <w:p>
            <w:pPr>
              <w:spacing w:after="0" w:before="0" w:line="252"/>
            </w:pPr>
            <w:r>
              <w:rPr>
                <w:sz w:val="19"/>
                <w:szCs w:val="19"/>
              </w:rPr>
              <w:t xml:space="preserve">SEC‑16; PAY‑08</w:t>
            </w:r>
          </w:p>
        </w:tc>
      </w:tr>
      <w:tr>
        <w:trPr>
          <w:tblHeader w:val="off"/>
        </w:trPr>
        <w:tc>
          <w:tcPr>
            <w:tcW w:type="dxa" w:w="970"/>
            <w:tcMar>
              <w:top w:type="dxa" w:w="60"/>
              <w:left w:type="dxa" w:w="100"/>
              <w:bottom w:type="dxa" w:w="60"/>
              <w:right w:type="dxa" w:w="100"/>
            </w:tcMar>
          </w:tcPr>
          <w:p>
            <w:pPr>
              <w:spacing w:after="0" w:before="0" w:line="252"/>
            </w:pPr>
            <w:r>
              <w:rPr>
                <w:sz w:val="19"/>
                <w:szCs w:val="19"/>
              </w:rPr>
              <w:t xml:space="preserve">MR‑26</w:t>
            </w:r>
          </w:p>
        </w:tc>
        <w:tc>
          <w:tcPr>
            <w:tcW w:type="dxa" w:w="6406"/>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198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How the rules read in Collicity.</w:t>
      </w:r>
      <w:r>
        <w:t xml:space="preserve"> These readings never relax a rule. Where a reading needed a choice, this version takes the stricter one and lists it in §21 for the product owner to confirm.</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a principal decides (MR‑13).</w:t>
      </w:r>
    </w:p>
    <w:p>
      <w:pPr>
        <w:pStyle w:val="ListParagraph"/>
        <w:numPr>
          <w:ilvl w:val="0"/>
          <w:numId w:val="2"/>
        </w:numPr>
        <w:spacing w:after="60" w:before="0"/>
      </w:pPr>
      <w:r>
        <w:rPr>
          <w:b/>
          <w:bCs/>
        </w:rPr>
        <w:t xml:space="preserve">An approval</w:t>
      </w:r>
      <w:r>
        <w:t xml:space="preserve"> is one person's explicit decision on one action exactly as it will run, given in a live, signed-in session and still fresh when the action starts (RUN‑04). This version applies MR‑11 to every side effect, not only the irreversible or destructive ones that MR‑09 names, so nothing is pre-authorized. The one standing approval is the owner's acceptance of a version, which covers creating, and renewing unchanged, the triggers that version declares (MR‑15).</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and any code that isn't a signed build Collicity reviewed or a tenant admin approved (MR‑24, SEC‑15).</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including a compensation, an approval a person gave for that one action at the time it runs (MR‑09, MR‑11; ASG‑11, RUN‑04, RUN‑06, PAY‑02).</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and no exception for them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offline; approvals need a live session (MR‑11), and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each purchase to wait for my one-tap approval and stay within a limit I set, so I stay in control of my money.</w:t>
      </w:r>
    </w:p>
    <w:p>
      <w:pPr>
        <w:pStyle w:val="ListParagraph"/>
        <w:numPr>
          <w:ilvl w:val="0"/>
          <w:numId w:val="5"/>
        </w:numPr>
        <w:spacing w:after="60" w:before="0"/>
      </w:pPr>
      <w:r>
        <w:t xml:space="preserve">As a home user, I want dinner and my home's lights and heating each ready to approve with a tap as I get close to home (the order with biometrics),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5"/>
        <w:gridCol w:w="3249"/>
        <w:gridCol w:w="4346"/>
      </w:tblGrid>
      <w:tr>
        <w:trPr>
          <w:tblHeader/>
        </w:trPr>
        <w:tc>
          <w:tcPr>
            <w:tcW w:type="dxa" w:w="1765"/>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49"/>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46"/>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Task</w:t>
            </w:r>
          </w:p>
        </w:tc>
        <w:tc>
          <w:tcPr>
            <w:tcW w:type="dxa" w:w="3249"/>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46"/>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Assignment</w:t>
            </w:r>
          </w:p>
        </w:tc>
        <w:tc>
          <w:tcPr>
            <w:tcW w:type="dxa" w:w="3249"/>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46"/>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Run</w:t>
            </w:r>
          </w:p>
        </w:tc>
        <w:tc>
          <w:tcPr>
            <w:tcW w:type="dxa" w:w="3249"/>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46"/>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Trigger</w:t>
            </w:r>
          </w:p>
        </w:tc>
        <w:tc>
          <w:tcPr>
            <w:tcW w:type="dxa" w:w="3249"/>
            <w:tcMar>
              <w:top w:type="dxa" w:w="60"/>
              <w:left w:type="dxa" w:w="100"/>
              <w:bottom w:type="dxa" w:w="60"/>
              <w:right w:type="dxa" w:w="100"/>
            </w:tcMar>
          </w:tcPr>
          <w:p>
            <w:pPr>
              <w:spacing w:after="0" w:before="0" w:line="252"/>
            </w:pPr>
            <w:r>
              <w:rPr>
                <w:sz w:val="19"/>
                <w:szCs w:val="19"/>
              </w:rPr>
              <w:t xml:space="preserve">What starts a run</w:t>
            </w:r>
          </w:p>
        </w:tc>
        <w:tc>
          <w:tcPr>
            <w:tcW w:type="dxa" w:w="4346"/>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Human step</w:t>
            </w:r>
          </w:p>
        </w:tc>
        <w:tc>
          <w:tcPr>
            <w:tcW w:type="dxa" w:w="3249"/>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46"/>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Approval gate</w:t>
            </w:r>
          </w:p>
        </w:tc>
        <w:tc>
          <w:tcPr>
            <w:tcW w:type="dxa" w:w="3249"/>
            <w:tcMar>
              <w:top w:type="dxa" w:w="60"/>
              <w:left w:type="dxa" w:w="100"/>
              <w:bottom w:type="dxa" w:w="60"/>
              <w:right w:type="dxa" w:w="100"/>
            </w:tcMar>
          </w:tcPr>
          <w:p>
            <w:pPr>
              <w:spacing w:after="0" w:before="0" w:line="252"/>
            </w:pPr>
            <w:r>
              <w:rPr>
                <w:sz w:val="19"/>
                <w:szCs w:val="19"/>
              </w:rPr>
              <w:t xml:space="preserve">A person's confirmation of one action, at the time it runs (MR‑09, MR‑11)</w:t>
            </w:r>
          </w:p>
        </w:tc>
        <w:tc>
          <w:tcPr>
            <w:tcW w:type="dxa" w:w="4346"/>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Work queue</w:t>
            </w:r>
          </w:p>
        </w:tc>
        <w:tc>
          <w:tcPr>
            <w:tcW w:type="dxa" w:w="3249"/>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46"/>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Connector</w:t>
            </w:r>
          </w:p>
        </w:tc>
        <w:tc>
          <w:tcPr>
            <w:tcW w:type="dxa" w:w="3249"/>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46"/>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Template</w:t>
            </w:r>
          </w:p>
        </w:tc>
        <w:tc>
          <w:tcPr>
            <w:tcW w:type="dxa" w:w="3249"/>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46"/>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Budget</w:t>
            </w:r>
          </w:p>
        </w:tc>
        <w:tc>
          <w:tcPr>
            <w:tcW w:type="dxa" w:w="3249"/>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46"/>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65"/>
            <w:tcMar>
              <w:top w:type="dxa" w:w="60"/>
              <w:left w:type="dxa" w:w="100"/>
              <w:bottom w:type="dxa" w:w="60"/>
              <w:right w:type="dxa" w:w="100"/>
            </w:tcMar>
          </w:tcPr>
          <w:p>
            <w:pPr>
              <w:spacing w:after="0" w:before="0" w:line="252"/>
            </w:pPr>
            <w:r>
              <w:rPr>
                <w:sz w:val="19"/>
                <w:szCs w:val="19"/>
              </w:rPr>
              <w:t xml:space="preserve">Model performance inventory</w:t>
            </w:r>
          </w:p>
        </w:tc>
        <w:tc>
          <w:tcPr>
            <w:tcW w:type="dxa" w:w="3249"/>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46"/>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811"/>
        <w:gridCol w:w="2692"/>
        <w:gridCol w:w="3152"/>
      </w:tblGrid>
      <w:tr>
        <w:trPr>
          <w:tblHeader/>
        </w:trPr>
        <w:tc>
          <w:tcPr>
            <w:tcW w:type="dxa" w:w="270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811"/>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692"/>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152"/>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811"/>
            <w:tcMar>
              <w:top w:type="dxa" w:w="60"/>
              <w:left w:type="dxa" w:w="100"/>
              <w:bottom w:type="dxa" w:w="60"/>
              <w:right w:type="dxa" w:w="100"/>
            </w:tcMar>
          </w:tcPr>
          <w:p>
            <w:pPr>
              <w:spacing w:after="0" w:before="0" w:line="252"/>
            </w:pPr>
            <w:r>
              <w:rPr>
                <w:sz w:val="19"/>
                <w:szCs w:val="19"/>
              </w:rPr>
              <w:t xml:space="preserve">Full</w:t>
            </w:r>
          </w:p>
        </w:tc>
        <w:tc>
          <w:tcPr>
            <w:tcW w:type="dxa" w:w="2692"/>
            <w:tcMar>
              <w:top w:type="dxa" w:w="60"/>
              <w:left w:type="dxa" w:w="100"/>
              <w:bottom w:type="dxa" w:w="60"/>
              <w:right w:type="dxa" w:w="100"/>
            </w:tcMar>
          </w:tcPr>
          <w:p>
            <w:pPr>
              <w:spacing w:after="0" w:before="0" w:line="252"/>
            </w:pPr>
            <w:r>
              <w:rPr>
                <w:sz w:val="19"/>
                <w:szCs w:val="19"/>
              </w:rPr>
              <w:t xml:space="preserve">Full</w:t>
            </w:r>
          </w:p>
        </w:tc>
        <w:tc>
          <w:tcPr>
            <w:tcW w:type="dxa" w:w="3152"/>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Chat and ask-anything Q&amp;A</w:t>
            </w:r>
          </w:p>
        </w:tc>
        <w:tc>
          <w:tcPr>
            <w:tcW w:type="dxa" w:w="811"/>
            <w:tcMar>
              <w:top w:type="dxa" w:w="60"/>
              <w:left w:type="dxa" w:w="100"/>
              <w:bottom w:type="dxa" w:w="60"/>
              <w:right w:type="dxa" w:w="100"/>
            </w:tcMar>
          </w:tcPr>
          <w:p>
            <w:pPr>
              <w:spacing w:after="0" w:before="0" w:line="252"/>
            </w:pPr>
            <w:r>
              <w:rPr>
                <w:sz w:val="19"/>
                <w:szCs w:val="19"/>
              </w:rPr>
              <w:t xml:space="preserve">Yes</w:t>
            </w:r>
          </w:p>
        </w:tc>
        <w:tc>
          <w:tcPr>
            <w:tcW w:type="dxa" w:w="2692"/>
            <w:tcMar>
              <w:top w:type="dxa" w:w="60"/>
              <w:left w:type="dxa" w:w="100"/>
              <w:bottom w:type="dxa" w:w="60"/>
              <w:right w:type="dxa" w:w="100"/>
            </w:tcMar>
          </w:tcPr>
          <w:p>
            <w:pPr>
              <w:spacing w:after="0" w:before="0" w:line="252"/>
            </w:pPr>
            <w:r>
              <w:rPr>
                <w:sz w:val="19"/>
                <w:szCs w:val="19"/>
              </w:rPr>
              <w:t xml:space="preserve">Yes</w:t>
            </w:r>
          </w:p>
        </w:tc>
        <w:tc>
          <w:tcPr>
            <w:tcW w:type="dxa" w:w="3152"/>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Approvals and human steps</w:t>
            </w:r>
          </w:p>
        </w:tc>
        <w:tc>
          <w:tcPr>
            <w:tcW w:type="dxa" w:w="811"/>
            <w:tcMar>
              <w:top w:type="dxa" w:w="60"/>
              <w:left w:type="dxa" w:w="100"/>
              <w:bottom w:type="dxa" w:w="60"/>
              <w:right w:type="dxa" w:w="100"/>
            </w:tcMar>
          </w:tcPr>
          <w:p>
            <w:pPr>
              <w:spacing w:after="0" w:before="0" w:line="252"/>
            </w:pPr>
            <w:r>
              <w:rPr>
                <w:sz w:val="19"/>
                <w:szCs w:val="19"/>
              </w:rPr>
              <w:t xml:space="preserve">Yes</w:t>
            </w:r>
          </w:p>
        </w:tc>
        <w:tc>
          <w:tcPr>
            <w:tcW w:type="dxa" w:w="2692"/>
            <w:tcMar>
              <w:top w:type="dxa" w:w="60"/>
              <w:left w:type="dxa" w:w="100"/>
              <w:bottom w:type="dxa" w:w="60"/>
              <w:right w:type="dxa" w:w="100"/>
            </w:tcMar>
          </w:tcPr>
          <w:p>
            <w:pPr>
              <w:spacing w:after="0" w:before="0" w:line="252"/>
            </w:pPr>
            <w:r>
              <w:rPr>
                <w:sz w:val="19"/>
                <w:szCs w:val="19"/>
              </w:rPr>
              <w:t xml:space="preserve">Yes, with OS notifications</w:t>
            </w:r>
          </w:p>
        </w:tc>
        <w:tc>
          <w:tcPr>
            <w:tcW w:type="dxa" w:w="3152"/>
            <w:tcMar>
              <w:top w:type="dxa" w:w="60"/>
              <w:left w:type="dxa" w:w="100"/>
              <w:bottom w:type="dxa" w:w="60"/>
              <w:right w:type="dxa" w:w="100"/>
            </w:tcMar>
          </w:tcPr>
          <w:p>
            <w:pPr>
              <w:spacing w:after="0" w:before="0" w:line="252"/>
            </w:pPr>
            <w:r>
              <w:rPr>
                <w:sz w:val="19"/>
                <w:szCs w:val="19"/>
              </w:rPr>
              <w:t xml:space="preserve">Yes, push that opens the approval screen; biometric confirm for payments</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Run monitoring and budgets</w:t>
            </w:r>
          </w:p>
        </w:tc>
        <w:tc>
          <w:tcPr>
            <w:tcW w:type="dxa" w:w="811"/>
            <w:tcMar>
              <w:top w:type="dxa" w:w="60"/>
              <w:left w:type="dxa" w:w="100"/>
              <w:bottom w:type="dxa" w:w="60"/>
              <w:right w:type="dxa" w:w="100"/>
            </w:tcMar>
          </w:tcPr>
          <w:p>
            <w:pPr>
              <w:spacing w:after="0" w:before="0" w:line="252"/>
            </w:pPr>
            <w:r>
              <w:rPr>
                <w:sz w:val="19"/>
                <w:szCs w:val="19"/>
              </w:rPr>
              <w:t xml:space="preserve">Yes</w:t>
            </w:r>
          </w:p>
        </w:tc>
        <w:tc>
          <w:tcPr>
            <w:tcW w:type="dxa" w:w="2692"/>
            <w:tcMar>
              <w:top w:type="dxa" w:w="60"/>
              <w:left w:type="dxa" w:w="100"/>
              <w:bottom w:type="dxa" w:w="60"/>
              <w:right w:type="dxa" w:w="100"/>
            </w:tcMar>
          </w:tcPr>
          <w:p>
            <w:pPr>
              <w:spacing w:after="0" w:before="0" w:line="252"/>
            </w:pPr>
            <w:r>
              <w:rPr>
                <w:sz w:val="19"/>
                <w:szCs w:val="19"/>
              </w:rPr>
              <w:t xml:space="preserve">Yes</w:t>
            </w:r>
          </w:p>
        </w:tc>
        <w:tc>
          <w:tcPr>
            <w:tcW w:type="dxa" w:w="3152"/>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Proximity (geofence) triggers</w:t>
            </w:r>
          </w:p>
        </w:tc>
        <w:tc>
          <w:tcPr>
            <w:tcW w:type="dxa" w:w="811"/>
            <w:tcMar>
              <w:top w:type="dxa" w:w="60"/>
              <w:left w:type="dxa" w:w="100"/>
              <w:bottom w:type="dxa" w:w="60"/>
              <w:right w:type="dxa" w:w="100"/>
            </w:tcMar>
          </w:tcPr>
          <w:p>
            <w:pPr>
              <w:spacing w:after="0" w:before="0" w:line="252"/>
            </w:pPr>
            <w:r>
              <w:rPr>
                <w:sz w:val="19"/>
                <w:szCs w:val="19"/>
              </w:rPr>
              <w:t xml:space="preserve">—</w:t>
            </w:r>
          </w:p>
        </w:tc>
        <w:tc>
          <w:tcPr>
            <w:tcW w:type="dxa" w:w="2692"/>
            <w:tcMar>
              <w:top w:type="dxa" w:w="60"/>
              <w:left w:type="dxa" w:w="100"/>
              <w:bottom w:type="dxa" w:w="60"/>
              <w:right w:type="dxa" w:w="100"/>
            </w:tcMar>
          </w:tcPr>
          <w:p>
            <w:pPr>
              <w:spacing w:after="0" w:before="0" w:line="252"/>
            </w:pPr>
            <w:r>
              <w:rPr>
                <w:sz w:val="19"/>
                <w:szCs w:val="19"/>
              </w:rPr>
              <w:t xml:space="preserve">—</w:t>
            </w:r>
          </w:p>
        </w:tc>
        <w:tc>
          <w:tcPr>
            <w:tcW w:type="dxa" w:w="3152"/>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Local connectors</w:t>
            </w:r>
          </w:p>
        </w:tc>
        <w:tc>
          <w:tcPr>
            <w:tcW w:type="dxa" w:w="811"/>
            <w:tcMar>
              <w:top w:type="dxa" w:w="60"/>
              <w:left w:type="dxa" w:w="100"/>
              <w:bottom w:type="dxa" w:w="60"/>
              <w:right w:type="dxa" w:w="100"/>
            </w:tcMar>
          </w:tcPr>
          <w:p>
            <w:pPr>
              <w:spacing w:after="0" w:before="0" w:line="252"/>
            </w:pPr>
            <w:r>
              <w:rPr>
                <w:sz w:val="19"/>
                <w:szCs w:val="19"/>
              </w:rPr>
              <w:t xml:space="preserve">—</w:t>
            </w:r>
          </w:p>
        </w:tc>
        <w:tc>
          <w:tcPr>
            <w:tcW w:type="dxa" w:w="2692"/>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152"/>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Enterprise admin console</w:t>
            </w:r>
          </w:p>
        </w:tc>
        <w:tc>
          <w:tcPr>
            <w:tcW w:type="dxa" w:w="811"/>
            <w:tcMar>
              <w:top w:type="dxa" w:w="60"/>
              <w:left w:type="dxa" w:w="100"/>
              <w:bottom w:type="dxa" w:w="60"/>
              <w:right w:type="dxa" w:w="100"/>
            </w:tcMar>
          </w:tcPr>
          <w:p>
            <w:pPr>
              <w:spacing w:after="0" w:before="0" w:line="252"/>
            </w:pPr>
            <w:r>
              <w:rPr>
                <w:sz w:val="19"/>
                <w:szCs w:val="19"/>
              </w:rPr>
              <w:t xml:space="preserve">Yes</w:t>
            </w:r>
          </w:p>
        </w:tc>
        <w:tc>
          <w:tcPr>
            <w:tcW w:type="dxa" w:w="2692"/>
            <w:tcMar>
              <w:top w:type="dxa" w:w="60"/>
              <w:left w:type="dxa" w:w="100"/>
              <w:bottom w:type="dxa" w:w="60"/>
              <w:right w:type="dxa" w:w="100"/>
            </w:tcMar>
          </w:tcPr>
          <w:p>
            <w:pPr>
              <w:spacing w:after="0" w:before="0" w:line="252"/>
            </w:pPr>
            <w:r>
              <w:rPr>
                <w:sz w:val="19"/>
                <w:szCs w:val="19"/>
              </w:rPr>
              <w:t xml:space="preserve">Yes</w:t>
            </w:r>
          </w:p>
        </w:tc>
        <w:tc>
          <w:tcPr>
            <w:tcW w:type="dxa" w:w="3152"/>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705"/>
            <w:tcMar>
              <w:top w:type="dxa" w:w="60"/>
              <w:left w:type="dxa" w:w="100"/>
              <w:bottom w:type="dxa" w:w="60"/>
              <w:right w:type="dxa" w:w="100"/>
            </w:tcMar>
          </w:tcPr>
          <w:p>
            <w:pPr>
              <w:spacing w:after="0" w:before="0" w:line="252"/>
            </w:pPr>
            <w:r>
              <w:rPr>
                <w:sz w:val="19"/>
                <w:szCs w:val="19"/>
              </w:rPr>
              <w:t xml:space="preserve">Offline</w:t>
            </w:r>
          </w:p>
        </w:tc>
        <w:tc>
          <w:tcPr>
            <w:tcW w:type="dxa" w:w="811"/>
            <w:tcMar>
              <w:top w:type="dxa" w:w="60"/>
              <w:left w:type="dxa" w:w="100"/>
              <w:bottom w:type="dxa" w:w="60"/>
              <w:right w:type="dxa" w:w="100"/>
            </w:tcMar>
          </w:tcPr>
          <w:p>
            <w:pPr>
              <w:spacing w:after="0" w:before="0" w:line="252"/>
            </w:pPr>
            <w:r>
              <w:rPr>
                <w:sz w:val="19"/>
                <w:szCs w:val="19"/>
              </w:rPr>
              <w:t xml:space="preserve">—</w:t>
            </w:r>
          </w:p>
        </w:tc>
        <w:tc>
          <w:tcPr>
            <w:tcW w:type="dxa" w:w="2692"/>
            <w:tcMar>
              <w:top w:type="dxa" w:w="60"/>
              <w:left w:type="dxa" w:w="100"/>
              <w:bottom w:type="dxa" w:w="60"/>
              <w:right w:type="dxa" w:w="100"/>
            </w:tcMar>
          </w:tcPr>
          <w:p>
            <w:pPr>
              <w:spacing w:after="0" w:before="0" w:line="252"/>
            </w:pPr>
            <w:r>
              <w:rPr>
                <w:sz w:val="19"/>
                <w:szCs w:val="19"/>
              </w:rPr>
              <w:t xml:space="preserve">View cached outputs</w:t>
            </w:r>
          </w:p>
        </w:tc>
        <w:tc>
          <w:tcPr>
            <w:tcW w:type="dxa" w:w="3152"/>
            <w:tcMar>
              <w:top w:type="dxa" w:w="60"/>
              <w:left w:type="dxa" w:w="100"/>
              <w:bottom w:type="dxa" w:w="60"/>
              <w:right w:type="dxa" w:w="100"/>
            </w:tcMar>
          </w:tcPr>
          <w:p>
            <w:pPr>
              <w:spacing w:after="0" w:before="0" w:line="252"/>
            </w:pPr>
            <w:r>
              <w:rPr>
                <w:sz w:val="19"/>
                <w:szCs w:val="19"/>
              </w:rPr>
              <w:t xml:space="preserve">View cached outputs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push notifications that open the full approval screen; approval is given there, never from a notification's buttons (ASG‑11, RUN‑04).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(P2, gated)</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Not built: a browser runs every page's scripts, which MR‑24 forbids (SEC‑15). If the rule ever changes,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Shared and service accounts are never used, so a target that offers neither delegated authorization nor personal credentials can't be connected (MR‑02). </w:t>
      </w:r>
      <w:r>
        <w:rPr>
          <w:i/>
          <w:iCs/>
        </w:rPr>
        <w:t xml:space="preserve">(Changed 2026-10-10 by the master rules: v0.6 allowed admin-approved service accounts as a badged exception with live entitlement checks.)</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w:t>
      </w:r>
      <w:r>
        <w:rPr>
          <w:i/>
          <w:iCs/>
        </w:rPr>
        <w:t xml:space="preserve">(Raised from P1 in v0.7 by the master rules.)</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and, from GA, how to check a person's own access to a resource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7"/>
        <w:gridCol w:w="1943"/>
        <w:gridCol w:w="3807"/>
        <w:gridCol w:w="2263"/>
      </w:tblGrid>
      <w:tr>
        <w:trPr>
          <w:tblHeader/>
        </w:trPr>
        <w:tc>
          <w:tcPr>
            <w:tcW w:type="dxa" w:w="1347"/>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43"/>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807"/>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263"/>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47"/>
            <w:tcMar>
              <w:top w:type="dxa" w:w="60"/>
              <w:left w:type="dxa" w:w="100"/>
              <w:bottom w:type="dxa" w:w="60"/>
              <w:right w:type="dxa" w:w="100"/>
            </w:tcMar>
          </w:tcPr>
          <w:p>
            <w:pPr>
              <w:spacing w:after="0" w:before="0" w:line="252"/>
            </w:pPr>
            <w:r>
              <w:rPr>
                <w:sz w:val="19"/>
                <w:szCs w:val="19"/>
              </w:rPr>
              <w:t xml:space="preserve">Email request triage</w:t>
            </w:r>
          </w:p>
        </w:tc>
        <w:tc>
          <w:tcPr>
            <w:tcW w:type="dxa" w:w="1943"/>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807"/>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263"/>
            <w:tcMar>
              <w:top w:type="dxa" w:w="60"/>
              <w:left w:type="dxa" w:w="100"/>
              <w:bottom w:type="dxa" w:w="60"/>
              <w:right w:type="dxa" w:w="100"/>
            </w:tcMar>
          </w:tcPr>
          <w:p>
            <w:pPr>
              <w:spacing w:after="0" w:before="0" w:line="252"/>
            </w:pPr>
            <w:r>
              <w:rPr>
                <w:sz w:val="19"/>
                <w:szCs w:val="19"/>
              </w:rPr>
              <w:t xml:space="preserve">Approval of every write, at the time it runs</w:t>
            </w:r>
          </w:p>
        </w:tc>
      </w:tr>
      <w:tr>
        <w:trPr>
          <w:tblHeader w:val="off"/>
        </w:trPr>
        <w:tc>
          <w:tcPr>
            <w:tcW w:type="dxa" w:w="1347"/>
            <w:tcMar>
              <w:top w:type="dxa" w:w="60"/>
              <w:left w:type="dxa" w:w="100"/>
              <w:bottom w:type="dxa" w:w="60"/>
              <w:right w:type="dxa" w:w="100"/>
            </w:tcMar>
          </w:tcPr>
          <w:p>
            <w:pPr>
              <w:spacing w:after="0" w:before="0" w:line="252"/>
            </w:pPr>
            <w:r>
              <w:rPr>
                <w:sz w:val="19"/>
                <w:szCs w:val="19"/>
              </w:rPr>
              <w:t xml:space="preserve">Security posture report</w:t>
            </w:r>
          </w:p>
        </w:tc>
        <w:tc>
          <w:tcPr>
            <w:tcW w:type="dxa" w:w="1943"/>
            <w:tcMar>
              <w:top w:type="dxa" w:w="60"/>
              <w:left w:type="dxa" w:w="100"/>
              <w:bottom w:type="dxa" w:w="60"/>
              <w:right w:type="dxa" w:w="100"/>
            </w:tcMar>
          </w:tcPr>
          <w:p>
            <w:pPr>
              <w:spacing w:after="0" w:before="0" w:line="252"/>
            </w:pPr>
            <w:r>
              <w:rPr>
                <w:sz w:val="19"/>
                <w:szCs w:val="19"/>
              </w:rPr>
              <w:t xml:space="preserve">Weekly, Monday 06:00</w:t>
            </w:r>
          </w:p>
        </w:tc>
        <w:tc>
          <w:tcPr>
            <w:tcW w:type="dxa" w:w="3807"/>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H: analyst reviews and approves publication → publish to SharePoint</w:t>
            </w:r>
          </w:p>
        </w:tc>
        <w:tc>
          <w:tcPr>
            <w:tcW w:type="dxa" w:w="2263"/>
            <w:tcMar>
              <w:top w:type="dxa" w:w="60"/>
              <w:left w:type="dxa" w:w="100"/>
              <w:bottom w:type="dxa" w:w="60"/>
              <w:right w:type="dxa" w:w="100"/>
            </w:tcMar>
          </w:tcPr>
          <w:p>
            <w:pPr>
              <w:spacing w:after="0" w:before="0" w:line="252"/>
            </w:pPr>
            <w:r>
              <w:rPr>
                <w:sz w:val="19"/>
                <w:szCs w:val="19"/>
              </w:rPr>
              <w:t xml:space="preserve">Approval of each publication</w:t>
            </w:r>
          </w:p>
        </w:tc>
      </w:tr>
      <w:tr>
        <w:trPr>
          <w:tblHeader w:val="off"/>
        </w:trPr>
        <w:tc>
          <w:tcPr>
            <w:tcW w:type="dxa" w:w="1347"/>
            <w:tcMar>
              <w:top w:type="dxa" w:w="60"/>
              <w:left w:type="dxa" w:w="100"/>
              <w:bottom w:type="dxa" w:w="60"/>
              <w:right w:type="dxa" w:w="100"/>
            </w:tcMar>
          </w:tcPr>
          <w:p>
            <w:pPr>
              <w:spacing w:after="0" w:before="0" w:line="252"/>
            </w:pPr>
            <w:r>
              <w:rPr>
                <w:sz w:val="19"/>
                <w:szCs w:val="19"/>
              </w:rPr>
              <w:t xml:space="preserve">Weekly meal plan</w:t>
            </w:r>
          </w:p>
        </w:tc>
        <w:tc>
          <w:tcPr>
            <w:tcW w:type="dxa" w:w="1943"/>
            <w:tcMar>
              <w:top w:type="dxa" w:w="60"/>
              <w:left w:type="dxa" w:w="100"/>
              <w:bottom w:type="dxa" w:w="60"/>
              <w:right w:type="dxa" w:w="100"/>
            </w:tcMar>
          </w:tcPr>
          <w:p>
            <w:pPr>
              <w:spacing w:after="0" w:before="0" w:line="252"/>
            </w:pPr>
            <w:r>
              <w:rPr>
                <w:sz w:val="19"/>
                <w:szCs w:val="19"/>
              </w:rPr>
              <w:t xml:space="preserve">Sunday 10:00</w:t>
            </w:r>
          </w:p>
        </w:tc>
        <w:tc>
          <w:tcPr>
            <w:tcW w:type="dxa" w:w="3807"/>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H: approve the order and payment → order and pay → H: approve arming the declared delivery-night proximity trigger → arm it (§11)</w:t>
            </w:r>
          </w:p>
        </w:tc>
        <w:tc>
          <w:tcPr>
            <w:tcW w:type="dxa" w:w="2263"/>
            <w:tcMar>
              <w:top w:type="dxa" w:w="60"/>
              <w:left w:type="dxa" w:w="100"/>
              <w:bottom w:type="dxa" w:w="60"/>
              <w:right w:type="dxa" w:w="100"/>
            </w:tcMar>
          </w:tcPr>
          <w:p>
            <w:pPr>
              <w:spacing w:after="0" w:before="0" w:line="252"/>
            </w:pPr>
            <w:r>
              <w:rPr>
                <w:sz w:val="19"/>
                <w:szCs w:val="19"/>
              </w:rPr>
              <w:t xml:space="preserve">Approval of each purchase on the phone (PAY‑02) and of arming the trigger (ASG‑11, RUN‑09)</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at the time it runs (MR‑09, MR‑11, MR‑12); RUN‑04 sets how long an approval stays fresh. No approval covers similar future actions, so nothing can be pre-authorized, and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Never actions:</w:t>
      </w:r>
      <w:r>
        <w:t xml:space="preserve"> changes to permissions, security settings, logging or monitoring (SEC‑16).</w:t>
      </w:r>
    </w:p>
    <w:p>
      <w:pPr>
        <w:spacing w:after="60" w:before="0"/>
        <w:ind w:left="720"/>
      </w:pPr>
      <w:r>
        <w:rPr>
          <w:i/>
          <w:iCs/>
        </w:rPr>
        <w:t xml:space="preserve">(Changed 2026-10-10 by the master rules: v0.6 let a user pre-authorize a narrow class of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or cancel stops every call at once, including any compensation in flight, and nothing inside a run can delay, refuse or route around it, because the gateway enforces it outside the model (MR‑21). A cancelled run with applied effects then offers each compensation for approval and ends Rolled back or Completed with partial side effects (RUN‑06, §7.6). A pause is resumable (§7.6). Suspending the user (ADM‑06) is different: it is a deprovisioning signal (CON‑06).</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low-confidence mail goes to a review lane. Whatever the confidence, a sender's request is data that becomes, at most, a proposal for a person to decide (MR‑13).</w:t>
      </w:r>
    </w:p>
    <w:p>
      <w:pPr>
        <w:pStyle w:val="ListParagraph"/>
        <w:numPr>
          <w:ilvl w:val="0"/>
          <w:numId w:val="2"/>
        </w:numPr>
        <w:spacing w:after="60" w:before="0"/>
      </w:pPr>
      <w:r>
        <w:rPr>
          <w:b/>
          <w:bCs/>
        </w:rPr>
        <w:t xml:space="preserve">ASG‑16 (withdrawn in v0.7)</w:t>
      </w:r>
      <w:r>
        <w:t xml:space="preserve"> Auto-execution of high-confidence items conflicted with MR‑09 and MR‑11; every item's action now waits for an approval (ASG‑11).</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freshness window and expiry can be shortened but never lengthened, and the approval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which must start within 15 minutes of the decision (default) and before the run next waits or pauses; otherwise the approval goes stale and the step asks again, as for a stale request (MR‑09, MR‑11). Approvals are given in a live, signed-in session; clients never queue them offline.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didn't start within its freshness window),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they pass the same gateway and policy, and each needs its own approval when it runs, on a screen that shows the exact restore values (invariant 2, MR‑09). A compensation nobody approves before its ASG‑10 timeout leaves the effect applied, and the run ends Completed with partial side effects.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grants are within the upstream assignment's,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An approval that was decided but whose action hadn't started goes stale when the run waits or pauses, and is asked again on resume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(each compensation approved)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but each edition publishes only when the owner approves it at the time (MR‑09, MR‑11). Collicity prepares the edition and asks on one screen that lists the recipients, the source scopes it draws on (the sites, folders, lists and mailboxes its selectors resolve to), its label and its changes from the last edition. The screen also says plainly when anything differs from the edition before: a new version, a source outside the earlier scopes, a higher label, a label that needs a second approver, a supervisor flag or an injection-screening positive (SUP‑03, SEC‑13).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action by action (ASG‑11).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Collicity never changes a target's permissions.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an action a person approves at the time (MR‑09).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with the owner's approval the run arms it for one night (ASG‑11, RUN‑09). On Thursday between 17:00 and 20:00, when the phone enters the "Home" zone, the phone shows one screen with three actions: order the meal (cloud connector, subject to §14), set the thermostat and turn on the lights. The owner approves each action they want, the order with biometrics (PAY‑02), and the approved ones run: HomeKit actions on the phone, other smart-home platforms from the cloud.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2"/>
        <w:gridCol w:w="3248"/>
        <w:gridCol w:w="4100"/>
      </w:tblGrid>
      <w:tr>
        <w:trPr>
          <w:tblHeader/>
        </w:trPr>
        <w:tc>
          <w:tcPr>
            <w:tcW w:type="dxa" w:w="201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2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100"/>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Sign-in</w:t>
            </w:r>
          </w:p>
        </w:tc>
        <w:tc>
          <w:tcPr>
            <w:tcW w:type="dxa" w:w="32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100"/>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MFA</w:t>
            </w:r>
          </w:p>
        </w:tc>
        <w:tc>
          <w:tcPr>
            <w:tcW w:type="dxa" w:w="3248"/>
            <w:tcMar>
              <w:top w:type="dxa" w:w="60"/>
              <w:left w:type="dxa" w:w="100"/>
              <w:bottom w:type="dxa" w:w="60"/>
              <w:right w:type="dxa" w:w="100"/>
            </w:tcMar>
          </w:tcPr>
          <w:p>
            <w:pPr>
              <w:spacing w:after="0" w:before="0" w:line="252"/>
            </w:pPr>
            <w:r>
              <w:rPr>
                <w:sz w:val="19"/>
                <w:szCs w:val="19"/>
              </w:rPr>
              <w:t xml:space="preserve">Passkeys or the provider's MFA; step-up for payments</w:t>
            </w:r>
          </w:p>
        </w:tc>
        <w:tc>
          <w:tcPr>
            <w:tcW w:type="dxa" w:w="4100"/>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Administration</w:t>
            </w:r>
          </w:p>
        </w:tc>
        <w:tc>
          <w:tcPr>
            <w:tcW w:type="dxa" w:w="3248"/>
            <w:tcMar>
              <w:top w:type="dxa" w:w="60"/>
              <w:left w:type="dxa" w:w="100"/>
              <w:bottom w:type="dxa" w:w="60"/>
              <w:right w:type="dxa" w:w="100"/>
            </w:tcMar>
          </w:tcPr>
          <w:p>
            <w:pPr>
              <w:spacing w:after="0" w:before="0" w:line="252"/>
            </w:pPr>
            <w:r>
              <w:rPr>
                <w:sz w:val="19"/>
                <w:szCs w:val="19"/>
              </w:rPr>
              <w:t xml:space="preserve">Account settings</w:t>
            </w:r>
          </w:p>
        </w:tc>
        <w:tc>
          <w:tcPr>
            <w:tcW w:type="dxa" w:w="4100"/>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Budgets</w:t>
            </w:r>
          </w:p>
        </w:tc>
        <w:tc>
          <w:tcPr>
            <w:tcW w:type="dxa" w:w="32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100"/>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Models</w:t>
            </w:r>
          </w:p>
        </w:tc>
        <w:tc>
          <w:tcPr>
            <w:tcW w:type="dxa" w:w="3248"/>
            <w:tcMar>
              <w:top w:type="dxa" w:w="60"/>
              <w:left w:type="dxa" w:w="100"/>
              <w:bottom w:type="dxa" w:w="60"/>
              <w:right w:type="dxa" w:w="100"/>
            </w:tcMar>
          </w:tcPr>
          <w:p>
            <w:pPr>
              <w:spacing w:after="0" w:before="0" w:line="252"/>
            </w:pPr>
            <w:r>
              <w:rPr>
                <w:sz w:val="19"/>
                <w:szCs w:val="19"/>
              </w:rPr>
              <w:t xml:space="preserve">Default provider or own keys</w:t>
            </w:r>
          </w:p>
        </w:tc>
        <w:tc>
          <w:tcPr>
            <w:tcW w:type="dxa" w:w="4100"/>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Connectors</w:t>
            </w:r>
          </w:p>
        </w:tc>
        <w:tc>
          <w:tcPr>
            <w:tcW w:type="dxa" w:w="3248"/>
            <w:tcMar>
              <w:top w:type="dxa" w:w="60"/>
              <w:left w:type="dxa" w:w="100"/>
              <w:bottom w:type="dxa" w:w="60"/>
              <w:right w:type="dxa" w:w="100"/>
            </w:tcMar>
          </w:tcPr>
          <w:p>
            <w:pPr>
              <w:spacing w:after="0" w:before="0" w:line="252"/>
            </w:pPr>
            <w:r>
              <w:rPr>
                <w:sz w:val="19"/>
                <w:szCs w:val="19"/>
              </w:rPr>
              <w:t xml:space="preserve">Consumer catalog</w:t>
            </w:r>
          </w:p>
        </w:tc>
        <w:tc>
          <w:tcPr>
            <w:tcW w:type="dxa" w:w="4100"/>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Data</w:t>
            </w:r>
          </w:p>
        </w:tc>
        <w:tc>
          <w:tcPr>
            <w:tcW w:type="dxa" w:w="32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100"/>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Audit</w:t>
            </w:r>
          </w:p>
        </w:tc>
        <w:tc>
          <w:tcPr>
            <w:tcW w:type="dxa" w:w="32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100"/>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and turn off classes of action entirely. Approval of every action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an approval for every purchase, since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at the time of purchase, showing merchant, items, total including fees, tip and tax, and delivery time. The same holds for any other contractual commitment, such as a subscription or accepting a merchant's terms (MR‑10).</w:t>
      </w:r>
    </w:p>
    <w:p>
      <w:pPr>
        <w:pStyle w:val="ListParagraph"/>
        <w:numPr>
          <w:ilvl w:val="0"/>
          <w:numId w:val="2"/>
        </w:numPr>
        <w:spacing w:after="60" w:before="0"/>
      </w:pPr>
      <w:r>
        <w:rPr>
          <w:b/>
          <w:bCs/>
        </w:rPr>
        <w:t xml:space="preserve">PAY‑03 (withdrawn in v0.7)</w:t>
      </w:r>
      <w:r>
        <w:t xml:space="preserve"> Optional pre-authorization of purchases conflicted with MR‑10 and MR‑11.</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(PAY‑02). Goal: keep Collicity out of PCI DSS cardholder-data scope.</w:t>
      </w:r>
    </w:p>
    <w:p>
      <w:pPr>
        <w:pStyle w:val="ListParagraph"/>
        <w:numPr>
          <w:ilvl w:val="0"/>
          <w:numId w:val="2"/>
        </w:numPr>
        <w:spacing w:after="60" w:before="0"/>
      </w:pPr>
      <w:r>
        <w:rPr>
          <w:b/>
          <w:bCs/>
        </w:rPr>
        <w:t xml:space="preserve">PAY‑05 (P0) Price-change guard.</w:t>
      </w:r>
      <w:r>
        <w:t xml:space="preserve"> If the final total differs from the approved total at all, or breaks any cap, stop and ask again, because the approval covered exactly what was shown (MR‑12).</w:t>
      </w:r>
    </w:p>
    <w:p>
      <w:pPr>
        <w:pStyle w:val="ListParagraph"/>
        <w:numPr>
          <w:ilvl w:val="0"/>
          <w:numId w:val="2"/>
        </w:numPr>
        <w:spacing w:after="60" w:before="0"/>
      </w:pPr>
      <w:r>
        <w:rPr>
          <w:b/>
          <w:bCs/>
        </w:rPr>
        <w:t xml:space="preserve">PAY‑06 (P0) At most one order per approval,</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Security devices are read-only.</w:t>
      </w:r>
      <w:r>
        <w:t xml:space="preserve"> Collicity can read the state of locks, garage doors, alarm systems and security cameras but never changes it (MR‑25, SEC‑16). </w:t>
      </w:r>
      <w:r>
        <w:rPr>
          <w:i/>
          <w:iCs/>
        </w:rPr>
        <w:t xml:space="preserve">(Changed 2026-10-10: v0.6 allowed these actions with approval every time.)</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even with approval of each purchase, likely needs merchant partnerships or an agent-payment protocol; browser automation isn't built (SEC‑15).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4"/>
        <w:gridCol w:w="3269"/>
        <w:gridCol w:w="3967"/>
      </w:tblGrid>
      <w:tr>
        <w:trPr>
          <w:tblHeader/>
        </w:trPr>
        <w:tc>
          <w:tcPr>
            <w:tcW w:type="dxa" w:w="2124"/>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9"/>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67"/>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9"/>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67"/>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approval of every action (ASG‑11); supervisor policy check</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Rule-override request</w:t>
            </w:r>
          </w:p>
        </w:tc>
        <w:tc>
          <w:tcPr>
            <w:tcW w:type="dxa" w:w="3269"/>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67"/>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9"/>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67"/>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9"/>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67"/>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Tool-description poisoning</w:t>
            </w:r>
          </w:p>
        </w:tc>
        <w:tc>
          <w:tcPr>
            <w:tcW w:type="dxa" w:w="3269"/>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67"/>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Persistent injection</w:t>
            </w:r>
          </w:p>
        </w:tc>
        <w:tc>
          <w:tcPr>
            <w:tcW w:type="dxa" w:w="3269"/>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67"/>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9"/>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67"/>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9"/>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67"/>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Best-of-N probing</w:t>
            </w:r>
          </w:p>
        </w:tc>
        <w:tc>
          <w:tcPr>
            <w:tcW w:type="dxa" w:w="3269"/>
            <w:tcMar>
              <w:top w:type="dxa" w:w="60"/>
              <w:left w:type="dxa" w:w="100"/>
              <w:bottom w:type="dxa" w:w="60"/>
              <w:right w:type="dxa" w:w="100"/>
            </w:tcMar>
          </w:tcPr>
          <w:p>
            <w:pPr>
              <w:spacing w:after="0" w:before="0" w:line="252"/>
            </w:pPr>
            <w:r>
              <w:rPr>
                <w:sz w:val="19"/>
                <w:szCs w:val="19"/>
              </w:rPr>
              <w:t xml:space="preserve">An attacker mails many variants of a request until one gets past a tired approver</w:t>
            </w:r>
          </w:p>
        </w:tc>
        <w:tc>
          <w:tcPr>
            <w:tcW w:type="dxa" w:w="3967"/>
            <w:tcMar>
              <w:top w:type="dxa" w:w="60"/>
              <w:left w:type="dxa" w:w="100"/>
              <w:bottom w:type="dxa" w:w="60"/>
              <w:right w:type="dxa" w:w="100"/>
            </w:tcMar>
          </w:tcPr>
          <w:p>
            <w:pPr>
              <w:spacing w:after="0" w:before="0" w:line="252"/>
            </w:pPr>
            <w:r>
              <w:rPr>
                <w:sz w:val="19"/>
                <w:szCs w:val="19"/>
              </w:rPr>
              <w:t xml:space="preserve">Per-sender limits and marked senders (ASG‑17); every action approved (ASG‑11); injection screening (SEC‑13)</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Malicious shared assignment</w:t>
            </w:r>
          </w:p>
        </w:tc>
        <w:tc>
          <w:tcPr>
            <w:tcW w:type="dxa" w:w="3269"/>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67"/>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action by action; an admin can withdraw the share and pause its instances (ASG‑13)</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9"/>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67"/>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Token theft</w:t>
            </w:r>
          </w:p>
        </w:tc>
        <w:tc>
          <w:tcPr>
            <w:tcW w:type="dxa" w:w="3269"/>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67"/>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Agent impersonation</w:t>
            </w:r>
          </w:p>
        </w:tc>
        <w:tc>
          <w:tcPr>
            <w:tcW w:type="dxa" w:w="3269"/>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67"/>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Signing-key theft</w:t>
            </w:r>
          </w:p>
        </w:tc>
        <w:tc>
          <w:tcPr>
            <w:tcW w:type="dxa" w:w="3269"/>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67"/>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9"/>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67"/>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Cross-tenant leakage</w:t>
            </w:r>
          </w:p>
        </w:tc>
        <w:tc>
          <w:tcPr>
            <w:tcW w:type="dxa" w:w="3269"/>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67"/>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Malicious custom connector</w:t>
            </w:r>
          </w:p>
        </w:tc>
        <w:tc>
          <w:tcPr>
            <w:tcW w:type="dxa" w:w="3269"/>
            <w:tcMar>
              <w:top w:type="dxa" w:w="60"/>
              <w:left w:type="dxa" w:w="100"/>
              <w:bottom w:type="dxa" w:w="60"/>
              <w:right w:type="dxa" w:w="100"/>
            </w:tcMar>
          </w:tcPr>
          <w:p>
            <w:pPr>
              <w:spacing w:after="0" w:before="0" w:line="252"/>
            </w:pPr>
            <w:r>
              <w:rPr>
                <w:sz w:val="19"/>
                <w:szCs w:val="19"/>
              </w:rPr>
              <w:t xml:space="preserve">A connector exfiltrates data</w:t>
            </w:r>
          </w:p>
        </w:tc>
        <w:tc>
          <w:tcPr>
            <w:tcW w:type="dxa" w:w="3967"/>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Runaway cost</w:t>
            </w:r>
          </w:p>
        </w:tc>
        <w:tc>
          <w:tcPr>
            <w:tcW w:type="dxa" w:w="3269"/>
            <w:tcMar>
              <w:top w:type="dxa" w:w="60"/>
              <w:left w:type="dxa" w:w="100"/>
              <w:bottom w:type="dxa" w:w="60"/>
              <w:right w:type="dxa" w:w="100"/>
            </w:tcMar>
          </w:tcPr>
          <w:p>
            <w:pPr>
              <w:spacing w:after="0" w:before="0" w:line="252"/>
            </w:pPr>
            <w:r>
              <w:rPr>
                <w:sz w:val="19"/>
                <w:szCs w:val="19"/>
              </w:rPr>
              <w:t xml:space="preserve">A loop burns through tokens</w:t>
            </w:r>
          </w:p>
        </w:tc>
        <w:tc>
          <w:tcPr>
            <w:tcW w:type="dxa" w:w="3967"/>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Spoofed requester</w:t>
            </w:r>
          </w:p>
        </w:tc>
        <w:tc>
          <w:tcPr>
            <w:tcW w:type="dxa" w:w="3269"/>
            <w:tcMar>
              <w:top w:type="dxa" w:w="60"/>
              <w:left w:type="dxa" w:w="100"/>
              <w:bottom w:type="dxa" w:w="60"/>
              <w:right w:type="dxa" w:w="100"/>
            </w:tcMar>
          </w:tcPr>
          <w:p>
            <w:pPr>
              <w:spacing w:after="0" w:before="0" w:line="252"/>
            </w:pPr>
            <w:r>
              <w:rPr>
                <w:sz w:val="19"/>
                <w:szCs w:val="19"/>
              </w:rPr>
              <w:t xml:space="preserve">A fake email from "the boss"</w:t>
            </w:r>
          </w:p>
        </w:tc>
        <w:tc>
          <w:tcPr>
            <w:tcW w:type="dxa" w:w="3967"/>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24"/>
            <w:tcMar>
              <w:top w:type="dxa" w:w="60"/>
              <w:left w:type="dxa" w:w="100"/>
              <w:bottom w:type="dxa" w:w="60"/>
              <w:right w:type="dxa" w:w="100"/>
            </w:tcMar>
          </w:tcPr>
          <w:p>
            <w:pPr>
              <w:spacing w:after="0" w:before="0" w:line="252"/>
            </w:pPr>
            <w:r>
              <w:rPr>
                <w:sz w:val="19"/>
                <w:szCs w:val="19"/>
              </w:rPr>
              <w:t xml:space="preserve">Unsafe physical action</w:t>
            </w:r>
          </w:p>
        </w:tc>
        <w:tc>
          <w:tcPr>
            <w:tcW w:type="dxa" w:w="3269"/>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67"/>
            <w:tcMar>
              <w:top w:type="dxa" w:w="60"/>
              <w:left w:type="dxa" w:w="100"/>
              <w:bottom w:type="dxa" w:w="60"/>
              <w:right w:type="dxa" w:w="100"/>
            </w:tcMar>
          </w:tcPr>
          <w:p>
            <w:pPr>
              <w:spacing w:after="0" w:before="0" w:line="252"/>
            </w:pPr>
            <w:r>
              <w:rPr>
                <w:sz w:val="19"/>
                <w:szCs w:val="19"/>
              </w:rPr>
              <w:t xml:space="preserve">Security devices are read-only (PAY‑08, SEC‑16); every other action approved (ASG‑11);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that tenant isn't onboarded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at the time, on a disclosure screen listing the recipients and every source behind the content (MR‑05, MR‑09). A recurring report share asks for that approval for every edition (ASG‑19).</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still carries the note, which they see before sending.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No untrusted code.</w:t>
      </w:r>
      <w:r>
        <w:t xml:space="preserve"> Collicity never downloads or runs code from an untrusted source (MR‑24).</w:t>
      </w:r>
    </w:p>
    <w:p>
      <w:pPr>
        <w:pStyle w:val="ListParagraph"/>
        <w:numPr>
          <w:ilvl w:val="1"/>
          <w:numId w:val="2"/>
        </w:numPr>
        <w:spacing w:after="60" w:before="0"/>
      </w:pPr>
      <w:r>
        <w:rPr>
          <w:b/>
          <w:bCs/>
        </w:rPr>
        <w:t xml:space="preserve">Model output</w:t>
      </w:r>
      <w:r>
        <w:t xml:space="preserve"> is never executed, so the code task type (INV‑02) produces code only as an output.</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1"/>
          <w:numId w:val="2"/>
        </w:numPr>
        <w:spacing w:after="60" w:before="0"/>
      </w:pPr>
      <w:r>
        <w:rPr>
          <w:b/>
          <w:bCs/>
        </w:rPr>
        <w:t xml:space="preserve">Browser automation</w:t>
      </w:r>
      <w:r>
        <w:t xml:space="preserve"> runs every page's scripts, so it isn't built (MR‑24).</w:t>
      </w:r>
    </w:p>
    <w:p>
      <w:pPr>
        <w:pStyle w:val="ListParagraph"/>
        <w:numPr>
          <w:ilvl w:val="0"/>
          <w:numId w:val="2"/>
        </w:numPr>
        <w:spacing w:after="60" w:before="0"/>
      </w:pPr>
      <w:r>
        <w:rPr>
          <w:b/>
          <w:bCs/>
        </w:rPr>
        <w:t xml:space="preserve">SEC‑16 (P0) Security controls are off limits.</w:t>
      </w:r>
      <w:r>
        <w:t xml:space="preserve"> No action changes permissions, access, security settings, logging or monitoring, whether in a target system or in Collicity (MR‑14, MR‑25).</w:t>
      </w:r>
    </w:p>
    <w:p>
      <w:pPr>
        <w:pStyle w:val="ListParagraph"/>
        <w:numPr>
          <w:ilvl w:val="1"/>
          <w:numId w:val="2"/>
        </w:numPr>
        <w:spacing w:after="60" w:before="0"/>
      </w:pPr>
      <w:r>
        <w:t xml:space="preserve">Connector manifests can't declare such actions, and the gateway refuses them.</w:t>
      </w:r>
    </w:p>
    <w:p>
      <w:pPr>
        <w:pStyle w:val="ListParagraph"/>
        <w:numPr>
          <w:ilvl w:val="1"/>
          <w:numId w:val="2"/>
        </w:numPr>
        <w:spacing w:after="60" w:before="0"/>
      </w:pPr>
      <w:r>
        <w:t xml:space="preserve">Access requests ask a person to grant access and never grant it (ASG‑22).</w:t>
      </w:r>
    </w:p>
    <w:p>
      <w:pPr>
        <w:pStyle w:val="ListParagraph"/>
        <w:numPr>
          <w:ilvl w:val="1"/>
          <w:numId w:val="2"/>
        </w:numPr>
        <w:spacing w:after="60" w:before="0"/>
      </w:pPr>
      <w:r>
        <w:t xml:space="preserve">Collicity's own API is never a connector target, so no run can change its own grants, policies, guardrails or configuration.</w:t>
      </w:r>
    </w:p>
    <w:p>
      <w:pPr>
        <w:pStyle w:val="ListParagraph"/>
        <w:numPr>
          <w:ilvl w:val="1"/>
          <w:numId w:val="2"/>
        </w:numPr>
        <w:spacing w:after="60" w:before="0"/>
      </w:pPr>
      <w:r>
        <w:t xml:space="preserve">Home security devices are read-only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isn't onboarded until it does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(ASG‑11).</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2"/>
        <w:gridCol w:w="6828"/>
      </w:tblGrid>
      <w:tr>
        <w:trPr>
          <w:tblHeader/>
        </w:trPr>
        <w:tc>
          <w:tcPr>
            <w:tcW w:type="dxa" w:w="253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28"/>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Availability</w:t>
            </w:r>
          </w:p>
        </w:tc>
        <w:tc>
          <w:tcPr>
            <w:tcW w:type="dxa" w:w="6828"/>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Schedule accuracy</w:t>
            </w:r>
          </w:p>
        </w:tc>
        <w:tc>
          <w:tcPr>
            <w:tcW w:type="dxa" w:w="6828"/>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Proximity trigger latency</w:t>
            </w:r>
          </w:p>
        </w:tc>
        <w:tc>
          <w:tcPr>
            <w:tcW w:type="dxa" w:w="6828"/>
            <w:tcMar>
              <w:top w:type="dxa" w:w="60"/>
              <w:left w:type="dxa" w:w="100"/>
              <w:bottom w:type="dxa" w:w="60"/>
              <w:right w:type="dxa" w:w="100"/>
            </w:tcMar>
          </w:tcPr>
          <w:p>
            <w:pPr>
              <w:spacing w:after="0" w:before="0" w:line="252"/>
            </w:pPr>
            <w:r>
              <w:rPr>
                <w:sz w:val="19"/>
                <w:szCs w:val="19"/>
              </w:rPr>
              <w:t xml:space="preserve">Trigger to approval screen on the phone under 30 s (p95) while the device is online</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UI responsiveness</w:t>
            </w:r>
          </w:p>
        </w:tc>
        <w:tc>
          <w:tcPr>
            <w:tcW w:type="dxa" w:w="6828"/>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Revocation</w:t>
            </w:r>
          </w:p>
        </w:tc>
        <w:tc>
          <w:tcPr>
            <w:tcW w:type="dxa" w:w="6828"/>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Durability</w:t>
            </w:r>
          </w:p>
        </w:tc>
        <w:tc>
          <w:tcPr>
            <w:tcW w:type="dxa" w:w="6828"/>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Scale (design point, year 1)</w:t>
            </w:r>
          </w:p>
        </w:tc>
        <w:tc>
          <w:tcPr>
            <w:tcW w:type="dxa" w:w="6828"/>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Data residency</w:t>
            </w:r>
          </w:p>
        </w:tc>
        <w:tc>
          <w:tcPr>
            <w:tcW w:type="dxa" w:w="6828"/>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Observability</w:t>
            </w:r>
          </w:p>
        </w:tc>
        <w:tc>
          <w:tcPr>
            <w:tcW w:type="dxa" w:w="6828"/>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Accessibility</w:t>
            </w:r>
          </w:p>
        </w:tc>
        <w:tc>
          <w:tcPr>
            <w:tcW w:type="dxa" w:w="6828"/>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Localization</w:t>
            </w:r>
          </w:p>
        </w:tc>
        <w:tc>
          <w:tcPr>
            <w:tcW w:type="dxa" w:w="6828"/>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32"/>
            <w:tcMar>
              <w:top w:type="dxa" w:w="60"/>
              <w:left w:type="dxa" w:w="100"/>
              <w:bottom w:type="dxa" w:w="60"/>
              <w:right w:type="dxa" w:w="100"/>
            </w:tcMar>
          </w:tcPr>
          <w:p>
            <w:pPr>
              <w:spacing w:after="0" w:before="0" w:line="252"/>
            </w:pPr>
            <w:r>
              <w:rPr>
                <w:sz w:val="19"/>
                <w:szCs w:val="19"/>
              </w:rPr>
              <w:t xml:space="preserve">Supportability</w:t>
            </w:r>
          </w:p>
        </w:tc>
        <w:tc>
          <w:tcPr>
            <w:tcW w:type="dxa" w:w="6828"/>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900"/>
        <w:gridCol w:w="2029"/>
        <w:gridCol w:w="1647"/>
        <w:gridCol w:w="1065"/>
      </w:tblGrid>
      <w:tr>
        <w:trPr>
          <w:tblHeader/>
        </w:trPr>
        <w:tc>
          <w:tcPr>
            <w:tcW w:type="dxa" w:w="1719"/>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900"/>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029"/>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47"/>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065"/>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Platforms (§5)</w:t>
            </w:r>
          </w:p>
        </w:tc>
        <w:tc>
          <w:tcPr>
            <w:tcW w:type="dxa" w:w="2900"/>
            <w:tcMar>
              <w:top w:type="dxa" w:w="60"/>
              <w:left w:type="dxa" w:w="100"/>
              <w:bottom w:type="dxa" w:w="60"/>
              <w:right w:type="dxa" w:w="100"/>
            </w:tcMar>
          </w:tcPr>
          <w:p>
            <w:pPr>
              <w:spacing w:after="0" w:before="0" w:line="252"/>
            </w:pPr>
            <w:r>
              <w:rPr>
                <w:sz w:val="19"/>
                <w:szCs w:val="19"/>
              </w:rPr>
              <w:t xml:space="preserve">PLT‑01 web only; PLT‑06</w:t>
            </w:r>
          </w:p>
        </w:tc>
        <w:tc>
          <w:tcPr>
            <w:tcW w:type="dxa" w:w="2029"/>
            <w:tcMar>
              <w:top w:type="dxa" w:w="60"/>
              <w:left w:type="dxa" w:w="100"/>
              <w:bottom w:type="dxa" w:w="60"/>
              <w:right w:type="dxa" w:w="100"/>
            </w:tcMar>
          </w:tcPr>
          <w:p>
            <w:pPr>
              <w:spacing w:after="0" w:before="0" w:line="252"/>
            </w:pPr>
            <w:r>
              <w:rPr>
                <w:sz w:val="19"/>
                <w:szCs w:val="19"/>
              </w:rPr>
              <w:t xml:space="preserve">PLT‑01 desktop and mobile; PLT‑02; PLT‑03 approvals; PLT‑05</w:t>
            </w:r>
          </w:p>
        </w:tc>
        <w:tc>
          <w:tcPr>
            <w:tcW w:type="dxa" w:w="1647"/>
            <w:tcMar>
              <w:top w:type="dxa" w:w="60"/>
              <w:left w:type="dxa" w:w="100"/>
              <w:bottom w:type="dxa" w:w="60"/>
              <w:right w:type="dxa" w:w="100"/>
            </w:tcMar>
          </w:tcPr>
          <w:p>
            <w:pPr>
              <w:spacing w:after="0" w:before="0" w:line="252"/>
            </w:pPr>
            <w:r>
              <w:rPr>
                <w:sz w:val="19"/>
                <w:szCs w:val="19"/>
              </w:rPr>
              <w:t xml:space="preserve">PLT‑03 payment biometrics; PLT‑04</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Connectors (§6)</w:t>
            </w:r>
          </w:p>
        </w:tc>
        <w:tc>
          <w:tcPr>
            <w:tcW w:type="dxa" w:w="2900"/>
            <w:tcMar>
              <w:top w:type="dxa" w:w="60"/>
              <w:left w:type="dxa" w:w="100"/>
              <w:bottom w:type="dxa" w:w="60"/>
              <w:right w:type="dxa" w:w="100"/>
            </w:tcMar>
          </w:tcPr>
          <w:p>
            <w:pPr>
              <w:spacing w:after="0" w:before="0" w:line="252"/>
            </w:pPr>
            <w:r>
              <w:rPr>
                <w:sz w:val="19"/>
                <w:szCs w:val="19"/>
              </w:rPr>
              <w:t xml:space="preserve">CON‑01–04, 06–10; CON‑05 (no service accounts; the personal-credential vault only if a partner needs it); Graph plus at most 2 partner connectors, each with a full CON‑12 manifest; CON‑11 for every beta connector whose source carries labels; CON‑17–19 (alpha)</w:t>
            </w:r>
          </w:p>
        </w:tc>
        <w:tc>
          <w:tcPr>
            <w:tcW w:type="dxa" w:w="2029"/>
            <w:tcMar>
              <w:top w:type="dxa" w:w="60"/>
              <w:left w:type="dxa" w:w="100"/>
              <w:bottom w:type="dxa" w:w="60"/>
              <w:right w:type="dxa" w:w="100"/>
            </w:tcMar>
          </w:tcPr>
          <w:p>
            <w:pPr>
              <w:spacing w:after="0" w:before="0" w:line="252"/>
            </w:pPr>
            <w:r>
              <w:rPr>
                <w:sz w:val="19"/>
                <w:szCs w:val="19"/>
              </w:rPr>
              <w:t xml:space="preserve">CON‑11 for every connector; CON‑12–15; CON‑20 (alpha); enterprise launch catalog</w:t>
            </w:r>
          </w:p>
        </w:tc>
        <w:tc>
          <w:tcPr>
            <w:tcW w:type="dxa" w:w="1647"/>
            <w:tcMar>
              <w:top w:type="dxa" w:w="60"/>
              <w:left w:type="dxa" w:w="100"/>
              <w:bottom w:type="dxa" w:w="60"/>
              <w:right w:type="dxa" w:w="100"/>
            </w:tcMar>
          </w:tcPr>
          <w:p>
            <w:pPr>
              <w:spacing w:after="0" w:before="0" w:line="252"/>
            </w:pPr>
            <w:r>
              <w:rPr>
                <w:sz w:val="19"/>
                <w:szCs w:val="19"/>
              </w:rPr>
              <w:t xml:space="preserve">Consumer catalog</w:t>
            </w:r>
          </w:p>
        </w:tc>
        <w:tc>
          <w:tcPr>
            <w:tcW w:type="dxa" w:w="1065"/>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Tasks and runtime (§7)</w:t>
            </w:r>
          </w:p>
        </w:tc>
        <w:tc>
          <w:tcPr>
            <w:tcW w:type="dxa" w:w="2900"/>
            <w:tcMar>
              <w:top w:type="dxa" w:w="60"/>
              <w:left w:type="dxa" w:w="100"/>
              <w:bottom w:type="dxa" w:w="60"/>
              <w:right w:type="dxa" w:w="100"/>
            </w:tcMar>
          </w:tcPr>
          <w:p>
            <w:pPr>
              <w:spacing w:after="0" w:before="0" w:line="252"/>
            </w:pPr>
            <w:r>
              <w:rPr>
                <w:sz w:val="19"/>
                <w:szCs w:val="19"/>
              </w:rPr>
              <w:t xml:space="preserve">ASG‑01, 02, 04–06, 09–15, 17; RUN‑01–09</w:t>
            </w:r>
          </w:p>
        </w:tc>
        <w:tc>
          <w:tcPr>
            <w:tcW w:type="dxa" w:w="2029"/>
            <w:tcMar>
              <w:top w:type="dxa" w:w="60"/>
              <w:left w:type="dxa" w:w="100"/>
              <w:bottom w:type="dxa" w:w="60"/>
              <w:right w:type="dxa" w:w="100"/>
            </w:tcMar>
          </w:tcPr>
          <w:p>
            <w:pPr>
              <w:spacing w:after="0" w:before="0" w:line="252"/>
            </w:pPr>
            <w:r>
              <w:rPr>
                <w:sz w:val="19"/>
                <w:szCs w:val="19"/>
              </w:rPr>
              <w:t xml:space="preserve">ASG‑03, 07, 08, 18–23</w:t>
            </w:r>
          </w:p>
        </w:tc>
        <w:tc>
          <w:tcPr>
            <w:tcW w:type="dxa" w:w="1647"/>
            <w:tcMar>
              <w:top w:type="dxa" w:w="60"/>
              <w:left w:type="dxa" w:w="100"/>
              <w:bottom w:type="dxa" w:w="60"/>
              <w:right w:type="dxa" w:w="100"/>
            </w:tcMar>
          </w:tcPr>
          <w:p>
            <w:pPr>
              <w:spacing w:after="0" w:before="0" w:line="252"/>
            </w:pPr>
            <w:r>
              <w:rPr>
                <w:sz w:val="19"/>
                <w:szCs w:val="19"/>
              </w:rPr>
              <w:t xml:space="preserve">—</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Budgets (§8)</w:t>
            </w:r>
          </w:p>
        </w:tc>
        <w:tc>
          <w:tcPr>
            <w:tcW w:type="dxa" w:w="2900"/>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029"/>
            <w:tcMar>
              <w:top w:type="dxa" w:w="60"/>
              <w:left w:type="dxa" w:w="100"/>
              <w:bottom w:type="dxa" w:w="60"/>
              <w:right w:type="dxa" w:w="100"/>
            </w:tcMar>
          </w:tcPr>
          <w:p>
            <w:pPr>
              <w:spacing w:after="0" w:before="0" w:line="252"/>
            </w:pPr>
            <w:r>
              <w:rPr>
                <w:sz w:val="19"/>
                <w:szCs w:val="19"/>
              </w:rPr>
              <w:t xml:space="preserve">BUD‑06 groups; BUD‑07, 09</w:t>
            </w:r>
          </w:p>
        </w:tc>
        <w:tc>
          <w:tcPr>
            <w:tcW w:type="dxa" w:w="1647"/>
            <w:tcMar>
              <w:top w:type="dxa" w:w="60"/>
              <w:left w:type="dxa" w:w="100"/>
              <w:bottom w:type="dxa" w:w="60"/>
              <w:right w:type="dxa" w:w="100"/>
            </w:tcMar>
          </w:tcPr>
          <w:p>
            <w:pPr>
              <w:spacing w:after="0" w:before="0" w:line="252"/>
            </w:pPr>
            <w:r>
              <w:rPr>
                <w:sz w:val="19"/>
                <w:szCs w:val="19"/>
              </w:rPr>
              <w:t xml:space="preserve">Account cap</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Router, supervisor, inventory (§9)</w:t>
            </w:r>
          </w:p>
        </w:tc>
        <w:tc>
          <w:tcPr>
            <w:tcW w:type="dxa" w:w="2900"/>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029"/>
            <w:tcMar>
              <w:top w:type="dxa" w:w="60"/>
              <w:left w:type="dxa" w:w="100"/>
              <w:bottom w:type="dxa" w:w="60"/>
              <w:right w:type="dxa" w:w="100"/>
            </w:tcMar>
          </w:tcPr>
          <w:p>
            <w:pPr>
              <w:spacing w:after="0" w:before="0" w:line="252"/>
            </w:pPr>
            <w:r>
              <w:rPr>
                <w:sz w:val="19"/>
                <w:szCs w:val="19"/>
              </w:rPr>
              <w:t xml:space="preserve">RTR‑06; SUP‑05; INV‑04</w:t>
            </w:r>
          </w:p>
        </w:tc>
        <w:tc>
          <w:tcPr>
            <w:tcW w:type="dxa" w:w="1647"/>
            <w:tcMar>
              <w:top w:type="dxa" w:w="60"/>
              <w:left w:type="dxa" w:w="100"/>
              <w:bottom w:type="dxa" w:w="60"/>
              <w:right w:type="dxa" w:w="100"/>
            </w:tcMar>
          </w:tcPr>
          <w:p>
            <w:pPr>
              <w:spacing w:after="0" w:before="0" w:line="252"/>
            </w:pPr>
            <w:r>
              <w:rPr>
                <w:sz w:val="19"/>
                <w:szCs w:val="19"/>
              </w:rPr>
              <w:t xml:space="preserve">—</w:t>
            </w:r>
          </w:p>
        </w:tc>
        <w:tc>
          <w:tcPr>
            <w:tcW w:type="dxa" w:w="1065"/>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Templates (§10)</w:t>
            </w:r>
          </w:p>
        </w:tc>
        <w:tc>
          <w:tcPr>
            <w:tcW w:type="dxa" w:w="2900"/>
            <w:tcMar>
              <w:top w:type="dxa" w:w="60"/>
              <w:left w:type="dxa" w:w="100"/>
              <w:bottom w:type="dxa" w:w="60"/>
              <w:right w:type="dxa" w:w="100"/>
            </w:tcMar>
          </w:tcPr>
          <w:p>
            <w:pPr>
              <w:spacing w:after="0" w:before="0" w:line="252"/>
            </w:pPr>
            <w:r>
              <w:rPr>
                <w:sz w:val="19"/>
                <w:szCs w:val="19"/>
              </w:rPr>
              <w:t xml:space="preserve">—</w:t>
            </w:r>
          </w:p>
        </w:tc>
        <w:tc>
          <w:tcPr>
            <w:tcW w:type="dxa" w:w="2029"/>
            <w:tcMar>
              <w:top w:type="dxa" w:w="60"/>
              <w:left w:type="dxa" w:w="100"/>
              <w:bottom w:type="dxa" w:w="60"/>
              <w:right w:type="dxa" w:w="100"/>
            </w:tcMar>
          </w:tcPr>
          <w:p>
            <w:pPr>
              <w:spacing w:after="0" w:before="0" w:line="252"/>
            </w:pPr>
            <w:r>
              <w:rPr>
                <w:sz w:val="19"/>
                <w:szCs w:val="19"/>
              </w:rPr>
              <w:t xml:space="preserve">TPL‑01–07</w:t>
            </w:r>
          </w:p>
        </w:tc>
        <w:tc>
          <w:tcPr>
            <w:tcW w:type="dxa" w:w="1647"/>
            <w:tcMar>
              <w:top w:type="dxa" w:w="60"/>
              <w:left w:type="dxa" w:w="100"/>
              <w:bottom w:type="dxa" w:w="60"/>
              <w:right w:type="dxa" w:w="100"/>
            </w:tcMar>
          </w:tcPr>
          <w:p>
            <w:pPr>
              <w:spacing w:after="0" w:before="0" w:line="252"/>
            </w:pPr>
            <w:r>
              <w:rPr>
                <w:sz w:val="19"/>
                <w:szCs w:val="19"/>
              </w:rPr>
              <w:t xml:space="preserve">—</w:t>
            </w:r>
          </w:p>
        </w:tc>
        <w:tc>
          <w:tcPr>
            <w:tcW w:type="dxa" w:w="1065"/>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Scheduling and triggers (§11)</w:t>
            </w:r>
          </w:p>
        </w:tc>
        <w:tc>
          <w:tcPr>
            <w:tcW w:type="dxa" w:w="2900"/>
            <w:tcMar>
              <w:top w:type="dxa" w:w="60"/>
              <w:left w:type="dxa" w:w="100"/>
              <w:bottom w:type="dxa" w:w="60"/>
              <w:right w:type="dxa" w:w="100"/>
            </w:tcMar>
          </w:tcPr>
          <w:p>
            <w:pPr>
              <w:spacing w:after="0" w:before="0" w:line="252"/>
            </w:pPr>
            <w:r>
              <w:rPr>
                <w:sz w:val="19"/>
                <w:szCs w:val="19"/>
              </w:rPr>
              <w:t xml:space="preserve">SCH‑03 mail events</w:t>
            </w:r>
          </w:p>
        </w:tc>
        <w:tc>
          <w:tcPr>
            <w:tcW w:type="dxa" w:w="2029"/>
            <w:tcMar>
              <w:top w:type="dxa" w:w="60"/>
              <w:left w:type="dxa" w:w="100"/>
              <w:bottom w:type="dxa" w:w="60"/>
              <w:right w:type="dxa" w:w="100"/>
            </w:tcMar>
          </w:tcPr>
          <w:p>
            <w:pPr>
              <w:spacing w:after="0" w:before="0" w:line="252"/>
            </w:pPr>
            <w:r>
              <w:rPr>
                <w:sz w:val="19"/>
                <w:szCs w:val="19"/>
              </w:rPr>
              <w:t xml:space="preserve">SCH‑01, 02, 07, 08</w:t>
            </w:r>
          </w:p>
        </w:tc>
        <w:tc>
          <w:tcPr>
            <w:tcW w:type="dxa" w:w="1647"/>
            <w:tcMar>
              <w:top w:type="dxa" w:w="60"/>
              <w:left w:type="dxa" w:w="100"/>
              <w:bottom w:type="dxa" w:w="60"/>
              <w:right w:type="dxa" w:w="100"/>
            </w:tcMar>
          </w:tcPr>
          <w:p>
            <w:pPr>
              <w:spacing w:after="0" w:before="0" w:line="252"/>
            </w:pPr>
            <w:r>
              <w:rPr>
                <w:sz w:val="19"/>
                <w:szCs w:val="19"/>
              </w:rPr>
              <w:t xml:space="preserve">SCH‑04–06</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Q&amp;A and chat (§12)</w:t>
            </w:r>
          </w:p>
        </w:tc>
        <w:tc>
          <w:tcPr>
            <w:tcW w:type="dxa" w:w="2900"/>
            <w:tcMar>
              <w:top w:type="dxa" w:w="60"/>
              <w:left w:type="dxa" w:w="100"/>
              <w:bottom w:type="dxa" w:w="60"/>
              <w:right w:type="dxa" w:w="100"/>
            </w:tcMar>
          </w:tcPr>
          <w:p>
            <w:pPr>
              <w:spacing w:after="0" w:before="0" w:line="252"/>
            </w:pPr>
            <w:r>
              <w:rPr>
                <w:sz w:val="19"/>
                <w:szCs w:val="19"/>
              </w:rPr>
              <w:t xml:space="preserve">QA‑01–03</w:t>
            </w:r>
          </w:p>
        </w:tc>
        <w:tc>
          <w:tcPr>
            <w:tcW w:type="dxa" w:w="2029"/>
            <w:tcMar>
              <w:top w:type="dxa" w:w="60"/>
              <w:left w:type="dxa" w:w="100"/>
              <w:bottom w:type="dxa" w:w="60"/>
              <w:right w:type="dxa" w:w="100"/>
            </w:tcMar>
          </w:tcPr>
          <w:p>
            <w:pPr>
              <w:spacing w:after="0" w:before="0" w:line="252"/>
            </w:pPr>
            <w:r>
              <w:rPr>
                <w:sz w:val="19"/>
                <w:szCs w:val="19"/>
              </w:rPr>
              <w:t xml:space="preserve">QA‑04–06</w:t>
            </w:r>
          </w:p>
        </w:tc>
        <w:tc>
          <w:tcPr>
            <w:tcW w:type="dxa" w:w="1647"/>
            <w:tcMar>
              <w:top w:type="dxa" w:w="60"/>
              <w:left w:type="dxa" w:w="100"/>
              <w:bottom w:type="dxa" w:w="60"/>
              <w:right w:type="dxa" w:w="100"/>
            </w:tcMar>
          </w:tcPr>
          <w:p>
            <w:pPr>
              <w:spacing w:after="0" w:before="0" w:line="252"/>
            </w:pPr>
            <w:r>
              <w:rPr>
                <w:sz w:val="19"/>
                <w:szCs w:val="19"/>
              </w:rPr>
              <w:t xml:space="preserve">QA‑07</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Admin and providers (§13)</w:t>
            </w:r>
          </w:p>
        </w:tc>
        <w:tc>
          <w:tcPr>
            <w:tcW w:type="dxa" w:w="2900"/>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029"/>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47"/>
            <w:tcMar>
              <w:top w:type="dxa" w:w="60"/>
              <w:left w:type="dxa" w:w="100"/>
              <w:bottom w:type="dxa" w:w="60"/>
              <w:right w:type="dxa" w:w="100"/>
            </w:tcMar>
          </w:tcPr>
          <w:p>
            <w:pPr>
              <w:spacing w:after="0" w:before="0" w:line="252"/>
            </w:pPr>
            <w:r>
              <w:rPr>
                <w:sz w:val="19"/>
                <w:szCs w:val="19"/>
              </w:rPr>
              <w:t xml:space="preserve">Consumer sign-in</w:t>
            </w:r>
          </w:p>
        </w:tc>
        <w:tc>
          <w:tcPr>
            <w:tcW w:type="dxa" w:w="1065"/>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Payments (§14)</w:t>
            </w:r>
          </w:p>
        </w:tc>
        <w:tc>
          <w:tcPr>
            <w:tcW w:type="dxa" w:w="2900"/>
            <w:tcMar>
              <w:top w:type="dxa" w:w="60"/>
              <w:left w:type="dxa" w:w="100"/>
              <w:bottom w:type="dxa" w:w="60"/>
              <w:right w:type="dxa" w:w="100"/>
            </w:tcMar>
          </w:tcPr>
          <w:p>
            <w:pPr>
              <w:spacing w:after="0" w:before="0" w:line="252"/>
            </w:pPr>
            <w:r>
              <w:rPr>
                <w:sz w:val="19"/>
                <w:szCs w:val="19"/>
              </w:rPr>
              <w:t xml:space="preserve">—</w:t>
            </w:r>
          </w:p>
        </w:tc>
        <w:tc>
          <w:tcPr>
            <w:tcW w:type="dxa" w:w="2029"/>
            <w:tcMar>
              <w:top w:type="dxa" w:w="60"/>
              <w:left w:type="dxa" w:w="100"/>
              <w:bottom w:type="dxa" w:w="60"/>
              <w:right w:type="dxa" w:w="100"/>
            </w:tcMar>
          </w:tcPr>
          <w:p>
            <w:pPr>
              <w:spacing w:after="0" w:before="0" w:line="252"/>
            </w:pPr>
            <w:r>
              <w:rPr>
                <w:sz w:val="19"/>
                <w:szCs w:val="19"/>
              </w:rPr>
              <w:t xml:space="preserve">—</w:t>
            </w:r>
          </w:p>
        </w:tc>
        <w:tc>
          <w:tcPr>
            <w:tcW w:type="dxa" w:w="1647"/>
            <w:tcMar>
              <w:top w:type="dxa" w:w="60"/>
              <w:left w:type="dxa" w:w="100"/>
              <w:bottom w:type="dxa" w:w="60"/>
              <w:right w:type="dxa" w:w="100"/>
            </w:tcMar>
          </w:tcPr>
          <w:p>
            <w:pPr>
              <w:spacing w:after="0" w:before="0" w:line="252"/>
            </w:pPr>
            <w:r>
              <w:rPr>
                <w:sz w:val="19"/>
                <w:szCs w:val="19"/>
              </w:rPr>
              <w:t xml:space="preserve">PAY‑01, 02, 04–08</w:t>
            </w:r>
          </w:p>
        </w:tc>
        <w:tc>
          <w:tcPr>
            <w:tcW w:type="dxa" w:w="1065"/>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Security and privacy (§15)</w:t>
            </w:r>
          </w:p>
        </w:tc>
        <w:tc>
          <w:tcPr>
            <w:tcW w:type="dxa" w:w="2900"/>
            <w:tcMar>
              <w:top w:type="dxa" w:w="60"/>
              <w:left w:type="dxa" w:w="100"/>
              <w:bottom w:type="dxa" w:w="60"/>
              <w:right w:type="dxa" w:w="100"/>
            </w:tcMar>
          </w:tcPr>
          <w:p>
            <w:pPr>
              <w:spacing w:after="0" w:before="0" w:line="252"/>
            </w:pPr>
            <w:r>
              <w:rPr>
                <w:sz w:val="19"/>
                <w:szCs w:val="19"/>
              </w:rPr>
              <w:t xml:space="preserve">SEC‑01 without customer-managed keys; SEC‑02–04, 07–18</w:t>
            </w:r>
          </w:p>
        </w:tc>
        <w:tc>
          <w:tcPr>
            <w:tcW w:type="dxa" w:w="2029"/>
            <w:tcMar>
              <w:top w:type="dxa" w:w="60"/>
              <w:left w:type="dxa" w:w="100"/>
              <w:bottom w:type="dxa" w:w="60"/>
              <w:right w:type="dxa" w:w="100"/>
            </w:tcMar>
          </w:tcPr>
          <w:p>
            <w:pPr>
              <w:spacing w:after="0" w:before="0" w:line="252"/>
            </w:pPr>
            <w:r>
              <w:rPr>
                <w:sz w:val="19"/>
                <w:szCs w:val="19"/>
              </w:rPr>
              <w:t xml:space="preserve">SEC‑01 customer-managed keys; SEC‑05</w:t>
            </w:r>
          </w:p>
        </w:tc>
        <w:tc>
          <w:tcPr>
            <w:tcW w:type="dxa" w:w="1647"/>
            <w:tcMar>
              <w:top w:type="dxa" w:w="60"/>
              <w:left w:type="dxa" w:w="100"/>
              <w:bottom w:type="dxa" w:w="60"/>
              <w:right w:type="dxa" w:w="100"/>
            </w:tcMar>
          </w:tcPr>
          <w:p>
            <w:pPr>
              <w:spacing w:after="0" w:before="0" w:line="252"/>
            </w:pPr>
            <w:r>
              <w:rPr>
                <w:sz w:val="19"/>
                <w:szCs w:val="19"/>
              </w:rPr>
              <w:t xml:space="preserve">SEC‑06</w:t>
            </w:r>
          </w:p>
        </w:tc>
        <w:tc>
          <w:tcPr>
            <w:tcW w:type="dxa" w:w="1065"/>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19"/>
            <w:tcMar>
              <w:top w:type="dxa" w:w="60"/>
              <w:left w:type="dxa" w:w="100"/>
              <w:bottom w:type="dxa" w:w="60"/>
              <w:right w:type="dxa" w:w="100"/>
            </w:tcMar>
          </w:tcPr>
          <w:p>
            <w:pPr>
              <w:spacing w:after="0" w:before="0" w:line="252"/>
            </w:pPr>
            <w:r>
              <w:rPr>
                <w:sz w:val="19"/>
                <w:szCs w:val="19"/>
              </w:rPr>
              <w:t xml:space="preserve">Non-functional (§17)</w:t>
            </w:r>
          </w:p>
        </w:tc>
        <w:tc>
          <w:tcPr>
            <w:tcW w:type="dxa" w:w="2900"/>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029"/>
            <w:tcMar>
              <w:top w:type="dxa" w:w="60"/>
              <w:left w:type="dxa" w:w="100"/>
              <w:bottom w:type="dxa" w:w="60"/>
              <w:right w:type="dxa" w:w="100"/>
            </w:tcMar>
          </w:tcPr>
          <w:p>
            <w:pPr>
              <w:spacing w:after="0" w:before="0" w:line="252"/>
            </w:pPr>
            <w:r>
              <w:rPr>
                <w:sz w:val="19"/>
                <w:szCs w:val="19"/>
              </w:rPr>
              <w:t xml:space="preserve">All rows</w:t>
            </w:r>
          </w:p>
        </w:tc>
        <w:tc>
          <w:tcPr>
            <w:tcW w:type="dxa" w:w="1647"/>
            <w:tcMar>
              <w:top w:type="dxa" w:w="60"/>
              <w:left w:type="dxa" w:w="100"/>
              <w:bottom w:type="dxa" w:w="60"/>
              <w:right w:type="dxa" w:w="100"/>
            </w:tcMar>
          </w:tcPr>
          <w:p>
            <w:pPr>
              <w:spacing w:after="0" w:before="0" w:line="252"/>
            </w:pPr>
            <w:r>
              <w:rPr>
                <w:sz w:val="19"/>
                <w:szCs w:val="19"/>
              </w:rPr>
              <w:t xml:space="preserve">Home scale</w:t>
            </w:r>
          </w:p>
        </w:tc>
        <w:tc>
          <w:tcPr>
            <w:tcW w:type="dxa" w:w="1065"/>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its own approval at the time it runs, ASG‑11)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settings. Changing permissions or security settings is never an action (SEC‑16).</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8"/>
        <w:gridCol w:w="3032"/>
        <w:gridCol w:w="4790"/>
      </w:tblGrid>
      <w:tr>
        <w:trPr>
          <w:tblHeader/>
        </w:trPr>
        <w:tc>
          <w:tcPr>
            <w:tcW w:type="dxa" w:w="153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032"/>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790"/>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Queue owner</w:t>
            </w:r>
          </w:p>
        </w:tc>
        <w:tc>
          <w:tcPr>
            <w:tcW w:type="dxa" w:w="3032"/>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790"/>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Delegate approver</w:t>
            </w:r>
          </w:p>
        </w:tc>
        <w:tc>
          <w:tcPr>
            <w:tcW w:type="dxa" w:w="3032"/>
            <w:tcMar>
              <w:top w:type="dxa" w:w="60"/>
              <w:left w:type="dxa" w:w="100"/>
              <w:bottom w:type="dxa" w:w="60"/>
              <w:right w:type="dxa" w:w="100"/>
            </w:tcMar>
          </w:tcPr>
          <w:p>
            <w:pPr>
              <w:spacing w:after="0" w:before="0" w:line="252"/>
            </w:pPr>
            <w:r>
              <w:rPr>
                <w:sz w:val="19"/>
                <w:szCs w:val="19"/>
              </w:rPr>
              <w:t xml:space="preserve">Named by the queue owner;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Custodian</w:t>
            </w:r>
          </w:p>
        </w:tc>
        <w:tc>
          <w:tcPr>
            <w:tcW w:type="dxa" w:w="3032"/>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Requester</w:t>
            </w:r>
          </w:p>
        </w:tc>
        <w:tc>
          <w:tcPr>
            <w:tcW w:type="dxa" w:w="3032"/>
            <w:tcMar>
              <w:top w:type="dxa" w:w="60"/>
              <w:left w:type="dxa" w:w="100"/>
              <w:bottom w:type="dxa" w:w="60"/>
              <w:right w:type="dxa" w:w="100"/>
            </w:tcMar>
          </w:tcPr>
          <w:p>
            <w:pPr>
              <w:spacing w:after="0" w:before="0" w:line="252"/>
            </w:pPr>
            <w:r>
              <w:rPr>
                <w:sz w:val="19"/>
                <w:szCs w:val="19"/>
              </w:rPr>
              <w:t xml:space="preserve">The email's sender</w:t>
            </w:r>
          </w:p>
        </w:tc>
        <w:tc>
          <w:tcPr>
            <w:tcW w:type="dxa" w:w="4790"/>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Tenant admin</w:t>
            </w:r>
          </w:p>
        </w:tc>
        <w:tc>
          <w:tcPr>
            <w:tcW w:type="dxa" w:w="3032"/>
            <w:tcMar>
              <w:top w:type="dxa" w:w="60"/>
              <w:left w:type="dxa" w:w="100"/>
              <w:bottom w:type="dxa" w:w="60"/>
              <w:right w:type="dxa" w:w="100"/>
            </w:tcMar>
          </w:tcPr>
          <w:p>
            <w:pPr>
              <w:spacing w:after="0" w:before="0" w:line="252"/>
            </w:pPr>
            <w:r>
              <w:rPr>
                <w:sz w:val="19"/>
                <w:szCs w:val="19"/>
              </w:rPr>
              <w:t xml:space="preserve">Customer administrator</w:t>
            </w:r>
          </w:p>
        </w:tc>
        <w:tc>
          <w:tcPr>
            <w:tcW w:type="dxa" w:w="4790"/>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that goes stale after its freshness window or a pause (RUN‑04); a compensation that waits for approval (RUN‑06); forged tool results in an email ignored (CON‑10, SEC‑18); AI disclosure on reply drafts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8"/>
        <w:gridCol w:w="1335"/>
        <w:gridCol w:w="2005"/>
        <w:gridCol w:w="2842"/>
      </w:tblGrid>
      <w:tr>
        <w:trPr>
          <w:tblHeader/>
        </w:trPr>
        <w:tc>
          <w:tcPr>
            <w:tcW w:type="dxa" w:w="3178"/>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5"/>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005"/>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42"/>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05"/>
            <w:tcMar>
              <w:top w:type="dxa" w:w="60"/>
              <w:left w:type="dxa" w:w="100"/>
              <w:bottom w:type="dxa" w:w="60"/>
              <w:right w:type="dxa" w:w="100"/>
            </w:tcMar>
          </w:tcPr>
          <w:p>
            <w:pPr>
              <w:spacing w:after="0" w:before="0" w:line="252"/>
            </w:pPr>
            <w:r>
              <w:rPr>
                <w:sz w:val="19"/>
                <w:szCs w:val="19"/>
              </w:rPr>
              <w:t xml:space="preserve">35%</w:t>
            </w:r>
          </w:p>
        </w:tc>
        <w:tc>
          <w:tcPr>
            <w:tcW w:type="dxa" w:w="2842"/>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05"/>
            <w:tcMar>
              <w:top w:type="dxa" w:w="60"/>
              <w:left w:type="dxa" w:w="100"/>
              <w:bottom w:type="dxa" w:w="60"/>
              <w:right w:type="dxa" w:w="100"/>
            </w:tcMar>
          </w:tcPr>
          <w:p>
            <w:pPr>
              <w:spacing w:after="0" w:before="0" w:line="252"/>
            </w:pPr>
            <w:r>
              <w:rPr>
                <w:sz w:val="19"/>
                <w:szCs w:val="19"/>
              </w:rPr>
              <w:t xml:space="preserve">60%</w:t>
            </w:r>
          </w:p>
        </w:tc>
        <w:tc>
          <w:tcPr>
            <w:tcW w:type="dxa" w:w="2842"/>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05"/>
            <w:tcMar>
              <w:top w:type="dxa" w:w="60"/>
              <w:left w:type="dxa" w:w="100"/>
              <w:bottom w:type="dxa" w:w="60"/>
              <w:right w:type="dxa" w:w="100"/>
            </w:tcMar>
          </w:tcPr>
          <w:p>
            <w:pPr>
              <w:spacing w:after="0" w:before="0" w:line="252"/>
            </w:pPr>
            <w:r>
              <w:rPr>
                <w:sz w:val="19"/>
                <w:szCs w:val="19"/>
              </w:rPr>
              <w:t xml:space="preserve">80%</w:t>
            </w:r>
          </w:p>
        </w:tc>
        <w:tc>
          <w:tcPr>
            <w:tcW w:type="dxa" w:w="2842"/>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5"/>
            <w:tcMar>
              <w:top w:type="dxa" w:w="60"/>
              <w:left w:type="dxa" w:w="100"/>
              <w:bottom w:type="dxa" w:w="60"/>
              <w:right w:type="dxa" w:w="100"/>
            </w:tcMar>
          </w:tcPr>
          <w:p>
            <w:pPr>
              <w:spacing w:after="0" w:before="0" w:line="252"/>
            </w:pPr>
            <w:r>
              <w:rPr>
                <w:sz w:val="19"/>
                <w:szCs w:val="19"/>
              </w:rPr>
              <w:t xml:space="preserve">Leading</w:t>
            </w:r>
          </w:p>
        </w:tc>
        <w:tc>
          <w:tcPr>
            <w:tcW w:type="dxa" w:w="2005"/>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42"/>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≤10%, upper 95% bound ≤15%</w:t>
            </w:r>
          </w:p>
        </w:tc>
        <w:tc>
          <w:tcPr>
            <w:tcW w:type="dxa" w:w="2842"/>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≥80%</w:t>
            </w:r>
          </w:p>
        </w:tc>
        <w:tc>
          <w:tcPr>
            <w:tcW w:type="dxa" w:w="2842"/>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&lt;2%</w:t>
            </w:r>
          </w:p>
        </w:tc>
        <w:tc>
          <w:tcPr>
            <w:tcW w:type="dxa" w:w="2842"/>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≥80%</w:t>
            </w:r>
          </w:p>
        </w:tc>
        <w:tc>
          <w:tcPr>
            <w:tcW w:type="dxa" w:w="2842"/>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≥90%</w:t>
            </w:r>
          </w:p>
        </w:tc>
        <w:tc>
          <w:tcPr>
            <w:tcW w:type="dxa" w:w="2842"/>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≤10% of interventions</w:t>
            </w:r>
          </w:p>
        </w:tc>
        <w:tc>
          <w:tcPr>
            <w:tcW w:type="dxa" w:w="2842"/>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Supervision cost share</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≤15% of run cost</w:t>
            </w:r>
          </w:p>
        </w:tc>
        <w:tc>
          <w:tcPr>
            <w:tcW w:type="dxa" w:w="2842"/>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5"/>
            <w:tcMar>
              <w:top w:type="dxa" w:w="60"/>
              <w:left w:type="dxa" w:w="100"/>
              <w:bottom w:type="dxa" w:w="60"/>
              <w:right w:type="dxa" w:w="100"/>
            </w:tcMar>
          </w:tcPr>
          <w:p>
            <w:pPr>
              <w:spacing w:after="0" w:before="0" w:line="252"/>
            </w:pPr>
            <w:r>
              <w:rPr>
                <w:sz w:val="19"/>
                <w:szCs w:val="19"/>
              </w:rPr>
              <w:t xml:space="preserve">Quality</w:t>
            </w:r>
          </w:p>
        </w:tc>
        <w:tc>
          <w:tcPr>
            <w:tcW w:type="dxa" w:w="2005"/>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42"/>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05"/>
            <w:tcMar>
              <w:top w:type="dxa" w:w="60"/>
              <w:left w:type="dxa" w:w="100"/>
              <w:bottom w:type="dxa" w:w="60"/>
              <w:right w:type="dxa" w:w="100"/>
            </w:tcMar>
          </w:tcPr>
          <w:p>
            <w:pPr>
              <w:spacing w:after="0" w:before="0" w:line="252"/>
            </w:pPr>
            <w:r>
              <w:rPr>
                <w:sz w:val="19"/>
                <w:szCs w:val="19"/>
              </w:rPr>
              <w:t xml:space="preserve">50%</w:t>
            </w:r>
          </w:p>
        </w:tc>
        <w:tc>
          <w:tcPr>
            <w:tcW w:type="dxa" w:w="2842"/>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5"/>
            <w:tcMar>
              <w:top w:type="dxa" w:w="60"/>
              <w:left w:type="dxa" w:w="100"/>
              <w:bottom w:type="dxa" w:w="60"/>
              <w:right w:type="dxa" w:w="100"/>
            </w:tcMar>
          </w:tcPr>
          <w:p>
            <w:pPr>
              <w:spacing w:after="0" w:before="0" w:line="252"/>
            </w:pPr>
            <w:r>
              <w:rPr>
                <w:sz w:val="19"/>
                <w:szCs w:val="19"/>
              </w:rPr>
              <w:t xml:space="preserve">Lagging</w:t>
            </w:r>
          </w:p>
        </w:tc>
        <w:tc>
          <w:tcPr>
            <w:tcW w:type="dxa" w:w="2005"/>
            <w:tcMar>
              <w:top w:type="dxa" w:w="60"/>
              <w:left w:type="dxa" w:w="100"/>
              <w:bottom w:type="dxa" w:w="60"/>
              <w:right w:type="dxa" w:w="100"/>
            </w:tcMar>
          </w:tcPr>
          <w:p>
            <w:pPr>
              <w:spacing w:after="0" w:before="0" w:line="252"/>
            </w:pPr>
            <w:r>
              <w:rPr>
                <w:sz w:val="19"/>
                <w:szCs w:val="19"/>
              </w:rPr>
              <w:t xml:space="preserve">60% of licensed</w:t>
            </w:r>
          </w:p>
        </w:tc>
        <w:tc>
          <w:tcPr>
            <w:tcW w:type="dxa" w:w="2842"/>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78"/>
            <w:tcMar>
              <w:top w:type="dxa" w:w="60"/>
              <w:left w:type="dxa" w:w="100"/>
              <w:bottom w:type="dxa" w:w="60"/>
              <w:right w:type="dxa" w:w="100"/>
            </w:tcMar>
          </w:tcPr>
          <w:p>
            <w:pPr>
              <w:spacing w:after="0" w:before="0" w:line="252"/>
            </w:pPr>
            <w:r>
              <w:rPr>
                <w:sz w:val="19"/>
                <w:szCs w:val="19"/>
              </w:rPr>
              <w:t xml:space="preserve">Master-rule violations (§1)</w:t>
            </w:r>
          </w:p>
        </w:tc>
        <w:tc>
          <w:tcPr>
            <w:tcW w:type="dxa" w:w="1335"/>
            <w:tcMar>
              <w:top w:type="dxa" w:w="60"/>
              <w:left w:type="dxa" w:w="100"/>
              <w:bottom w:type="dxa" w:w="60"/>
              <w:right w:type="dxa" w:w="100"/>
            </w:tcMar>
          </w:tcPr>
          <w:p>
            <w:pPr>
              <w:spacing w:after="0" w:before="0" w:line="252"/>
            </w:pPr>
            <w:r>
              <w:rPr>
                <w:sz w:val="19"/>
                <w:szCs w:val="19"/>
              </w:rPr>
              <w:t xml:space="preserve">Guardrail</w:t>
            </w:r>
          </w:p>
        </w:tc>
        <w:tc>
          <w:tcPr>
            <w:tcW w:type="dxa" w:w="2005"/>
            <w:tcMar>
              <w:top w:type="dxa" w:w="60"/>
              <w:left w:type="dxa" w:w="100"/>
              <w:bottom w:type="dxa" w:w="60"/>
              <w:right w:type="dxa" w:w="100"/>
            </w:tcMar>
          </w:tcPr>
          <w:p>
            <w:pPr>
              <w:spacing w:after="0" w:before="0" w:line="252"/>
            </w:pPr>
            <w:r>
              <w:rPr>
                <w:sz w:val="19"/>
                <w:szCs w:val="19"/>
              </w:rPr>
              <w:t xml:space="preserve">0</w:t>
            </w:r>
          </w:p>
        </w:tc>
        <w:tc>
          <w:tcPr>
            <w:tcW w:type="dxa" w:w="2842"/>
            <w:tcMar>
              <w:top w:type="dxa" w:w="60"/>
              <w:left w:type="dxa" w:w="100"/>
              <w:bottom w:type="dxa" w:w="60"/>
              <w:right w:type="dxa" w:w="100"/>
            </w:tcMar>
          </w:tcPr>
          <w:p>
            <w:pPr>
              <w:spacing w:after="0" w:before="0" w:line="252"/>
            </w:pPr>
            <w:r>
              <w:rPr>
                <w:sz w:val="19"/>
                <w:szCs w:val="19"/>
              </w:rPr>
              <w:t xml:space="preserve">Audit log review, the red-team suite (SEC‑02) and incident reviews</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7"/>
        <w:gridCol w:w="2797"/>
        <w:gridCol w:w="3896"/>
      </w:tblGrid>
      <w:tr>
        <w:trPr>
          <w:tblHeader/>
        </w:trPr>
        <w:tc>
          <w:tcPr>
            <w:tcW w:type="dxa" w:w="2667"/>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797"/>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896"/>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797"/>
            <w:tcMar>
              <w:top w:type="dxa" w:w="60"/>
              <w:left w:type="dxa" w:w="100"/>
              <w:bottom w:type="dxa" w:w="60"/>
              <w:right w:type="dxa" w:w="100"/>
            </w:tcMar>
          </w:tcPr>
          <w:p>
            <w:pPr>
              <w:spacing w:after="0" w:before="0" w:line="252"/>
            </w:pPr>
            <w:r>
              <w:rPr>
                <w:sz w:val="19"/>
                <w:szCs w:val="19"/>
              </w:rPr>
              <w:t xml:space="preserve">Slow launch, thin quality</w:t>
            </w:r>
          </w:p>
        </w:tc>
        <w:tc>
          <w:tcPr>
            <w:tcW w:type="dxa" w:w="3896"/>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797"/>
            <w:tcMar>
              <w:top w:type="dxa" w:w="60"/>
              <w:left w:type="dxa" w:w="100"/>
              <w:bottom w:type="dxa" w:w="60"/>
              <w:right w:type="dxa" w:w="100"/>
            </w:tcMar>
          </w:tcPr>
          <w:p>
            <w:pPr>
              <w:spacing w:after="0" w:before="0" w:line="252"/>
            </w:pPr>
            <w:r>
              <w:rPr>
                <w:sz w:val="19"/>
                <w:szCs w:val="19"/>
              </w:rPr>
              <w:t xml:space="preserve">Security incident, loss of trust</w:t>
            </w:r>
          </w:p>
        </w:tc>
        <w:tc>
          <w:tcPr>
            <w:tcW w:type="dxa" w:w="3896"/>
            <w:tcMar>
              <w:top w:type="dxa" w:w="60"/>
              <w:left w:type="dxa" w:w="100"/>
              <w:bottom w:type="dxa" w:w="60"/>
              <w:right w:type="dxa" w:w="100"/>
            </w:tcMar>
          </w:tcPr>
          <w:p>
            <w:pPr>
              <w:spacing w:after="0" w:before="0" w:line="252"/>
            </w:pPr>
            <w:r>
              <w:rPr>
                <w:sz w:val="19"/>
                <w:szCs w:val="19"/>
              </w:rPr>
              <w:t xml:space="preserve">§15 controls; every action approved (ASG‑11); red-team before the beta and before GA</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797"/>
            <w:tcMar>
              <w:top w:type="dxa" w:w="60"/>
              <w:left w:type="dxa" w:w="100"/>
              <w:bottom w:type="dxa" w:w="60"/>
              <w:right w:type="dxa" w:w="100"/>
            </w:tcMar>
          </w:tcPr>
          <w:p>
            <w:pPr>
              <w:spacing w:after="0" w:before="0" w:line="252"/>
            </w:pPr>
            <w:r>
              <w:rPr>
                <w:sz w:val="19"/>
                <w:szCs w:val="19"/>
              </w:rPr>
              <w:t xml:space="preserve">Meal-plan purchase step blocked</w:t>
            </w:r>
          </w:p>
        </w:tc>
        <w:tc>
          <w:tcPr>
            <w:tcW w:type="dxa" w:w="3896"/>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797"/>
            <w:tcMar>
              <w:top w:type="dxa" w:w="60"/>
              <w:left w:type="dxa" w:w="100"/>
              <w:bottom w:type="dxa" w:w="60"/>
              <w:right w:type="dxa" w:w="100"/>
            </w:tcMar>
          </w:tcPr>
          <w:p>
            <w:pPr>
              <w:spacing w:after="0" w:before="0" w:line="252"/>
            </w:pPr>
            <w:r>
              <w:rPr>
                <w:sz w:val="19"/>
                <w:szCs w:val="19"/>
              </w:rPr>
              <w:t xml:space="preserve">Such systems can't be connected unless they take personal credentials</w:t>
            </w:r>
          </w:p>
        </w:tc>
        <w:tc>
          <w:tcPr>
            <w:tcW w:type="dxa" w:w="3896"/>
            <w:tcMar>
              <w:top w:type="dxa" w:w="60"/>
              <w:left w:type="dxa" w:w="100"/>
              <w:bottom w:type="dxa" w:w="60"/>
              <w:right w:type="dxa" w:w="100"/>
            </w:tcMar>
          </w:tcPr>
          <w:p>
            <w:pPr>
              <w:spacing w:after="0" w:before="0" w:line="252"/>
            </w:pPr>
            <w:r>
              <w:rPr>
                <w:sz w:val="19"/>
                <w:szCs w:val="19"/>
              </w:rPr>
              <w:t xml:space="preserve">Personal credentials only (CON‑05); publish a per-connector attribution matrix</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Sparse routing data early on</w:t>
            </w:r>
          </w:p>
        </w:tc>
        <w:tc>
          <w:tcPr>
            <w:tcW w:type="dxa" w:w="2797"/>
            <w:tcMar>
              <w:top w:type="dxa" w:w="60"/>
              <w:left w:type="dxa" w:w="100"/>
              <w:bottom w:type="dxa" w:w="60"/>
              <w:right w:type="dxa" w:w="100"/>
            </w:tcMar>
          </w:tcPr>
          <w:p>
            <w:pPr>
              <w:spacing w:after="0" w:before="0" w:line="252"/>
            </w:pPr>
            <w:r>
              <w:rPr>
                <w:sz w:val="19"/>
                <w:szCs w:val="19"/>
              </w:rPr>
              <w:t xml:space="preserve">Poor model choices, higher cost</w:t>
            </w:r>
          </w:p>
        </w:tc>
        <w:tc>
          <w:tcPr>
            <w:tcW w:type="dxa" w:w="3896"/>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Model and price churn</w:t>
            </w:r>
          </w:p>
        </w:tc>
        <w:tc>
          <w:tcPr>
            <w:tcW w:type="dxa" w:w="2797"/>
            <w:tcMar>
              <w:top w:type="dxa" w:w="60"/>
              <w:left w:type="dxa" w:w="100"/>
              <w:bottom w:type="dxa" w:w="60"/>
              <w:right w:type="dxa" w:w="100"/>
            </w:tcMar>
          </w:tcPr>
          <w:p>
            <w:pPr>
              <w:spacing w:after="0" w:before="0" w:line="252"/>
            </w:pPr>
            <w:r>
              <w:rPr>
                <w:sz w:val="19"/>
                <w:szCs w:val="19"/>
              </w:rPr>
              <w:t xml:space="preserve">Wrong estimates, stale inventory</w:t>
            </w:r>
          </w:p>
        </w:tc>
        <w:tc>
          <w:tcPr>
            <w:tcW w:type="dxa" w:w="3896"/>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797"/>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3896"/>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Supervisor overhead</w:t>
            </w:r>
          </w:p>
        </w:tc>
        <w:tc>
          <w:tcPr>
            <w:tcW w:type="dxa" w:w="2797"/>
            <w:tcMar>
              <w:top w:type="dxa" w:w="60"/>
              <w:left w:type="dxa" w:w="100"/>
              <w:bottom w:type="dxa" w:w="60"/>
              <w:right w:type="dxa" w:w="100"/>
            </w:tcMar>
          </w:tcPr>
          <w:p>
            <w:pPr>
              <w:spacing w:after="0" w:before="0" w:line="252"/>
            </w:pPr>
            <w:r>
              <w:rPr>
                <w:sz w:val="19"/>
                <w:szCs w:val="19"/>
              </w:rPr>
              <w:t xml:space="preserve">Erodes cost savings</w:t>
            </w:r>
          </w:p>
        </w:tc>
        <w:tc>
          <w:tcPr>
            <w:tcW w:type="dxa" w:w="3896"/>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797"/>
            <w:tcMar>
              <w:top w:type="dxa" w:w="60"/>
              <w:left w:type="dxa" w:w="100"/>
              <w:bottom w:type="dxa" w:w="60"/>
              <w:right w:type="dxa" w:w="100"/>
            </w:tcMar>
          </w:tcPr>
          <w:p>
            <w:pPr>
              <w:spacing w:after="0" w:before="0" w:line="252"/>
            </w:pPr>
            <w:r>
              <w:rPr>
                <w:sz w:val="19"/>
                <w:szCs w:val="19"/>
              </w:rPr>
              <w:t xml:space="preserve">Launch delay</w:t>
            </w:r>
          </w:p>
        </w:tc>
        <w:tc>
          <w:tcPr>
            <w:tcW w:type="dxa" w:w="3896"/>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797"/>
            <w:tcMar>
              <w:top w:type="dxa" w:w="60"/>
              <w:left w:type="dxa" w:w="100"/>
              <w:bottom w:type="dxa" w:w="60"/>
              <w:right w:type="dxa" w:w="100"/>
            </w:tcMar>
          </w:tcPr>
          <w:p>
            <w:pPr>
              <w:spacing w:after="0" w:before="0" w:line="252"/>
            </w:pPr>
            <w:r>
              <w:rPr>
                <w:sz w:val="19"/>
                <w:szCs w:val="19"/>
              </w:rPr>
              <w:t xml:space="preserve">Refunds, disputes</w:t>
            </w:r>
          </w:p>
        </w:tc>
        <w:tc>
          <w:tcPr>
            <w:tcW w:type="dxa" w:w="3896"/>
            <w:tcMar>
              <w:top w:type="dxa" w:w="60"/>
              <w:left w:type="dxa" w:w="100"/>
              <w:bottom w:type="dxa" w:w="60"/>
              <w:right w:type="dxa" w:w="100"/>
            </w:tcMar>
          </w:tcPr>
          <w:p>
            <w:pPr>
              <w:spacing w:after="0" w:before="0" w:line="252"/>
            </w:pPr>
            <w:r>
              <w:rPr>
                <w:sz w:val="19"/>
                <w:szCs w:val="19"/>
              </w:rPr>
              <w:t xml:space="preserve">Every action approved (ASG‑11); caps; clear terms of service</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The master rules remove pre-authorization and auto-execution</w:t>
            </w:r>
          </w:p>
        </w:tc>
        <w:tc>
          <w:tcPr>
            <w:tcW w:type="dxa" w:w="2797"/>
            <w:tcMar>
              <w:top w:type="dxa" w:w="60"/>
              <w:left w:type="dxa" w:w="100"/>
              <w:bottom w:type="dxa" w:w="60"/>
              <w:right w:type="dxa" w:w="100"/>
            </w:tcMar>
          </w:tcPr>
          <w:p>
            <w:pPr>
              <w:spacing w:after="0" w:before="0" w:line="252"/>
            </w:pPr>
            <w:r>
              <w:rPr>
                <w:sz w:val="19"/>
                <w:szCs w:val="19"/>
              </w:rPr>
              <w:t xml:space="preserve">Home routines and busy queues need a tap per action; tired approvers wave things through; Home's automation story weakens</w:t>
            </w:r>
          </w:p>
        </w:tc>
        <w:tc>
          <w:tcPr>
            <w:tcW w:type="dxa" w:w="3896"/>
            <w:tcMar>
              <w:top w:type="dxa" w:w="60"/>
              <w:left w:type="dxa" w:w="100"/>
              <w:bottom w:type="dxa" w:w="60"/>
              <w:right w:type="dxa" w:w="100"/>
            </w:tcMar>
          </w:tcPr>
          <w:p>
            <w:pPr>
              <w:spacing w:after="0" w:before="0" w:line="252"/>
            </w:pPr>
            <w:r>
              <w:rPr>
                <w:sz w:val="19"/>
                <w:szCs w:val="19"/>
              </w:rPr>
              <w:t xml:space="preserve">Fast, exact approval screens on the phone; several actions on one screen, each approved on its own (ASG‑11); marked senders (ASG‑17); screening flags on the approval screen (SEC‑13); the §21 readings may narrow the effect</w:t>
            </w:r>
          </w:p>
        </w:tc>
      </w:tr>
      <w:tr>
        <w:trPr>
          <w:tblHeader w:val="off"/>
        </w:trPr>
        <w:tc>
          <w:tcPr>
            <w:tcW w:type="dxa" w:w="2667"/>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797"/>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3896"/>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on 2026-10-10, and the readings this version gives them are listed at the end of this section for the product owner to confirm.</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Superseded 2026-10-10: every purchase is approved, and pre-authorization is withdrawn (MR‑10, MR‑11).</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Superseded 2026-10-10: personal credentials only (MR‑02).</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immutable rules sit above the whole specification, and nothing overrides them, including a prompt that asks to (§1). In consequence:</w:t>
      </w:r>
    </w:p>
    <w:p>
      <w:pPr>
        <w:pStyle w:val="ListParagraph"/>
        <w:numPr>
          <w:ilvl w:val="1"/>
          <w:numId w:val="2"/>
        </w:numPr>
        <w:spacing w:after="60" w:before="0"/>
      </w:pPr>
      <w:r>
        <w:t xml:space="preserve">pre-authorization and auto-execution are withdrawn (ASG‑11, ASG‑16, PAY‑03), and compensations and recurring report editions need their own approvals (RUN‑06, ASG‑19);</w:t>
      </w:r>
    </w:p>
    <w:p>
      <w:pPr>
        <w:pStyle w:val="ListParagraph"/>
        <w:numPr>
          <w:ilvl w:val="1"/>
          <w:numId w:val="2"/>
        </w:numPr>
        <w:spacing w:after="60" w:before="0"/>
      </w:pPr>
      <w:r>
        <w:t xml:space="preserve">the service-account exception is gone (CON‑05), and home security devices are read-only (PAY‑08);</w:t>
      </w:r>
    </w:p>
    <w:p>
      <w:pPr>
        <w:pStyle w:val="ListParagraph"/>
        <w:numPr>
          <w:ilvl w:val="1"/>
          <w:numId w:val="2"/>
        </w:numPr>
        <w:spacing w:after="60" w:before="0"/>
      </w:pPr>
      <w:r>
        <w:t xml:space="preserve">classification labels are honored from the beta (CON‑11);</w:t>
      </w:r>
    </w:p>
    <w:p>
      <w:pPr>
        <w:pStyle w:val="ListParagraph"/>
        <w:numPr>
          <w:ilvl w:val="1"/>
          <w:numId w:val="2"/>
        </w:numPr>
        <w:spacing w:after="60" w:before="0"/>
      </w:pPr>
      <w:r>
        <w:t xml:space="preserve">two runtime rules (RUN‑08, RUN‑09) and five security requirements (SEC‑14 to SEC‑17, plus SEC‑18 below) are added.</w:t>
      </w:r>
    </w:p>
    <w:p>
      <w:pPr>
        <w:spacing w:after="60" w:before="0"/>
        <w:ind w:left="720"/>
      </w:pPr>
      <w:r>
        <w:t xml:space="preserve">This settles v0.6's open question on approval gates against invariant 2: every side effect needs an approval.</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0"/>
        <w:gridCol w:w="1756"/>
        <w:gridCol w:w="2238"/>
        <w:gridCol w:w="2516"/>
      </w:tblGrid>
      <w:tr>
        <w:trPr>
          <w:tblHeader/>
        </w:trPr>
        <w:tc>
          <w:tcPr>
            <w:tcW w:type="dxa" w:w="2850"/>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56"/>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38"/>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516"/>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56"/>
            <w:tcMar>
              <w:top w:type="dxa" w:w="60"/>
              <w:left w:type="dxa" w:w="100"/>
              <w:bottom w:type="dxa" w:w="60"/>
              <w:right w:type="dxa" w:w="100"/>
            </w:tcMar>
          </w:tcPr>
          <w:p>
            <w:pPr>
              <w:spacing w:after="0" w:before="0" w:line="252"/>
            </w:pPr>
            <w:r>
              <w:rPr>
                <w:sz w:val="19"/>
                <w:szCs w:val="19"/>
              </w:rPr>
              <w:t xml:space="preserve">Product owner</w:t>
            </w:r>
          </w:p>
        </w:tc>
        <w:tc>
          <w:tcPr>
            <w:tcW w:type="dxa" w:w="2238"/>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516"/>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56"/>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38"/>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51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56"/>
            <w:tcMar>
              <w:top w:type="dxa" w:w="60"/>
              <w:left w:type="dxa" w:w="100"/>
              <w:bottom w:type="dxa" w:w="60"/>
              <w:right w:type="dxa" w:w="100"/>
            </w:tcMar>
          </w:tcPr>
          <w:p>
            <w:pPr>
              <w:spacing w:after="0" w:before="0" w:line="252"/>
            </w:pPr>
            <w:r>
              <w:rPr>
                <w:sz w:val="19"/>
                <w:szCs w:val="19"/>
              </w:rPr>
              <w:t xml:space="preserve">Product, security</w:t>
            </w:r>
          </w:p>
        </w:tc>
        <w:tc>
          <w:tcPr>
            <w:tcW w:type="dxa" w:w="2238"/>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516"/>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56"/>
            <w:tcMar>
              <w:top w:type="dxa" w:w="60"/>
              <w:left w:type="dxa" w:w="100"/>
              <w:bottom w:type="dxa" w:w="60"/>
              <w:right w:type="dxa" w:w="100"/>
            </w:tcMar>
          </w:tcPr>
          <w:p>
            <w:pPr>
              <w:spacing w:after="0" w:before="0" w:line="252"/>
            </w:pPr>
            <w:r>
              <w:rPr>
                <w:sz w:val="19"/>
                <w:szCs w:val="19"/>
              </w:rPr>
              <w:t xml:space="preserve">Product owner</w:t>
            </w:r>
          </w:p>
        </w:tc>
        <w:tc>
          <w:tcPr>
            <w:tcW w:type="dxa" w:w="2238"/>
            <w:tcMar>
              <w:top w:type="dxa" w:w="60"/>
              <w:left w:type="dxa" w:w="100"/>
              <w:bottom w:type="dxa" w:w="60"/>
              <w:right w:type="dxa" w:w="100"/>
            </w:tcMar>
          </w:tcPr>
          <w:p>
            <w:pPr>
              <w:spacing w:after="0" w:before="0" w:line="252"/>
            </w:pPr>
            <w:r>
              <w:rPr>
                <w:sz w:val="19"/>
                <w:szCs w:val="19"/>
              </w:rPr>
              <w:t xml:space="preserve">Yes, for phasing</w:t>
            </w:r>
          </w:p>
        </w:tc>
        <w:tc>
          <w:tcPr>
            <w:tcW w:type="dxa" w:w="251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56"/>
            <w:tcMar>
              <w:top w:type="dxa" w:w="60"/>
              <w:left w:type="dxa" w:w="100"/>
              <w:bottom w:type="dxa" w:w="60"/>
              <w:right w:type="dxa" w:w="100"/>
            </w:tcMar>
          </w:tcPr>
          <w:p>
            <w:pPr>
              <w:spacing w:after="0" w:before="0" w:line="252"/>
            </w:pPr>
            <w:r>
              <w:rPr>
                <w:sz w:val="19"/>
                <w:szCs w:val="19"/>
              </w:rPr>
              <w:t xml:space="preserve">Engineering, product</w:t>
            </w:r>
          </w:p>
        </w:tc>
        <w:tc>
          <w:tcPr>
            <w:tcW w:type="dxa" w:w="2238"/>
            <w:tcMar>
              <w:top w:type="dxa" w:w="60"/>
              <w:left w:type="dxa" w:w="100"/>
              <w:bottom w:type="dxa" w:w="60"/>
              <w:right w:type="dxa" w:w="100"/>
            </w:tcMar>
          </w:tcPr>
          <w:p>
            <w:pPr>
              <w:spacing w:after="0" w:before="0" w:line="252"/>
            </w:pPr>
            <w:r>
              <w:rPr>
                <w:sz w:val="19"/>
                <w:szCs w:val="19"/>
              </w:rPr>
              <w:t xml:space="preserve">Before orchestrator build</w:t>
            </w:r>
          </w:p>
        </w:tc>
        <w:tc>
          <w:tcPr>
            <w:tcW w:type="dxa" w:w="2516"/>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56"/>
            <w:tcMar>
              <w:top w:type="dxa" w:w="60"/>
              <w:left w:type="dxa" w:w="100"/>
              <w:bottom w:type="dxa" w:w="60"/>
              <w:right w:type="dxa" w:w="100"/>
            </w:tcMar>
          </w:tcPr>
          <w:p>
            <w:pPr>
              <w:spacing w:after="0" w:before="0" w:line="252"/>
            </w:pPr>
            <w:r>
              <w:rPr>
                <w:sz w:val="19"/>
                <w:szCs w:val="19"/>
              </w:rPr>
              <w:t xml:space="preserve">Product, data</w:t>
            </w:r>
          </w:p>
        </w:tc>
        <w:tc>
          <w:tcPr>
            <w:tcW w:type="dxa" w:w="2238"/>
            <w:tcMar>
              <w:top w:type="dxa" w:w="60"/>
              <w:left w:type="dxa" w:w="100"/>
              <w:bottom w:type="dxa" w:w="60"/>
              <w:right w:type="dxa" w:w="100"/>
            </w:tcMar>
          </w:tcPr>
          <w:p>
            <w:pPr>
              <w:spacing w:after="0" w:before="0" w:line="252"/>
            </w:pPr>
            <w:r>
              <w:rPr>
                <w:sz w:val="19"/>
                <w:szCs w:val="19"/>
              </w:rPr>
              <w:t xml:space="preserve">Before beta</w:t>
            </w:r>
          </w:p>
        </w:tc>
        <w:tc>
          <w:tcPr>
            <w:tcW w:type="dxa" w:w="2516"/>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56"/>
            <w:tcMar>
              <w:top w:type="dxa" w:w="60"/>
              <w:left w:type="dxa" w:w="100"/>
              <w:bottom w:type="dxa" w:w="60"/>
              <w:right w:type="dxa" w:w="100"/>
            </w:tcMar>
          </w:tcPr>
          <w:p>
            <w:pPr>
              <w:spacing w:after="0" w:before="0" w:line="252"/>
            </w:pPr>
            <w:r>
              <w:rPr>
                <w:sz w:val="19"/>
                <w:szCs w:val="19"/>
              </w:rPr>
              <w:t xml:space="preserve">Product</w:t>
            </w:r>
          </w:p>
        </w:tc>
        <w:tc>
          <w:tcPr>
            <w:tcW w:type="dxa" w:w="2238"/>
            <w:tcMar>
              <w:top w:type="dxa" w:w="60"/>
              <w:left w:type="dxa" w:w="100"/>
              <w:bottom w:type="dxa" w:w="60"/>
              <w:right w:type="dxa" w:w="100"/>
            </w:tcMar>
          </w:tcPr>
          <w:p>
            <w:pPr>
              <w:spacing w:after="0" w:before="0" w:line="252"/>
            </w:pPr>
            <w:r>
              <w:rPr>
                <w:sz w:val="19"/>
                <w:szCs w:val="19"/>
              </w:rPr>
              <w:t xml:space="preserve">Before budget build</w:t>
            </w:r>
          </w:p>
        </w:tc>
        <w:tc>
          <w:tcPr>
            <w:tcW w:type="dxa" w:w="2516"/>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56"/>
            <w:tcMar>
              <w:top w:type="dxa" w:w="60"/>
              <w:left w:type="dxa" w:w="100"/>
              <w:bottom w:type="dxa" w:w="60"/>
              <w:right w:type="dxa" w:w="100"/>
            </w:tcMar>
          </w:tcPr>
          <w:p>
            <w:pPr>
              <w:spacing w:after="0" w:before="0" w:line="252"/>
            </w:pPr>
            <w:r>
              <w:rPr>
                <w:sz w:val="19"/>
                <w:szCs w:val="19"/>
              </w:rPr>
              <w:t xml:space="preserve">Business</w:t>
            </w:r>
          </w:p>
        </w:tc>
        <w:tc>
          <w:tcPr>
            <w:tcW w:type="dxa" w:w="2238"/>
            <w:tcMar>
              <w:top w:type="dxa" w:w="60"/>
              <w:left w:type="dxa" w:w="100"/>
              <w:bottom w:type="dxa" w:w="60"/>
              <w:right w:type="dxa" w:w="100"/>
            </w:tcMar>
          </w:tcPr>
          <w:p>
            <w:pPr>
              <w:spacing w:after="0" w:before="0" w:line="252"/>
            </w:pPr>
            <w:r>
              <w:rPr>
                <w:sz w:val="19"/>
                <w:szCs w:val="19"/>
              </w:rPr>
              <w:t xml:space="preserve">Before beta</w:t>
            </w:r>
          </w:p>
        </w:tc>
        <w:tc>
          <w:tcPr>
            <w:tcW w:type="dxa" w:w="2516"/>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56"/>
            <w:tcMar>
              <w:top w:type="dxa" w:w="60"/>
              <w:left w:type="dxa" w:w="100"/>
              <w:bottom w:type="dxa" w:w="60"/>
              <w:right w:type="dxa" w:w="100"/>
            </w:tcMar>
          </w:tcPr>
          <w:p>
            <w:pPr>
              <w:spacing w:after="0" w:before="0" w:line="252"/>
            </w:pPr>
            <w:r>
              <w:rPr>
                <w:sz w:val="19"/>
                <w:szCs w:val="19"/>
              </w:rPr>
              <w:t xml:space="preserve">Sales, legal</w:t>
            </w:r>
          </w:p>
        </w:tc>
        <w:tc>
          <w:tcPr>
            <w:tcW w:type="dxa" w:w="2238"/>
            <w:tcMar>
              <w:top w:type="dxa" w:w="60"/>
              <w:left w:type="dxa" w:w="100"/>
              <w:bottom w:type="dxa" w:w="60"/>
              <w:right w:type="dxa" w:w="100"/>
            </w:tcMar>
          </w:tcPr>
          <w:p>
            <w:pPr>
              <w:spacing w:after="0" w:before="0" w:line="252"/>
            </w:pPr>
            <w:r>
              <w:rPr>
                <w:sz w:val="19"/>
                <w:szCs w:val="19"/>
              </w:rPr>
              <w:t xml:space="preserve">Before Enterprise GA</w:t>
            </w:r>
          </w:p>
        </w:tc>
        <w:tc>
          <w:tcPr>
            <w:tcW w:type="dxa" w:w="2516"/>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56"/>
            <w:tcMar>
              <w:top w:type="dxa" w:w="60"/>
              <w:left w:type="dxa" w:w="100"/>
              <w:bottom w:type="dxa" w:w="60"/>
              <w:right w:type="dxa" w:w="100"/>
            </w:tcMar>
          </w:tcPr>
          <w:p>
            <w:pPr>
              <w:spacing w:after="0" w:before="0" w:line="252"/>
            </w:pPr>
            <w:r>
              <w:rPr>
                <w:sz w:val="19"/>
                <w:szCs w:val="19"/>
              </w:rPr>
              <w:t xml:space="preserve">Business development</w:t>
            </w:r>
          </w:p>
        </w:tc>
        <w:tc>
          <w:tcPr>
            <w:tcW w:type="dxa" w:w="2238"/>
            <w:tcMar>
              <w:top w:type="dxa" w:w="60"/>
              <w:left w:type="dxa" w:w="100"/>
              <w:bottom w:type="dxa" w:w="60"/>
              <w:right w:type="dxa" w:w="100"/>
            </w:tcMar>
          </w:tcPr>
          <w:p>
            <w:pPr>
              <w:spacing w:after="0" w:before="0" w:line="252"/>
            </w:pPr>
            <w:r>
              <w:rPr>
                <w:sz w:val="19"/>
                <w:szCs w:val="19"/>
              </w:rPr>
              <w:t xml:space="preserve">Before Home</w:t>
            </w:r>
          </w:p>
        </w:tc>
        <w:tc>
          <w:tcPr>
            <w:tcW w:type="dxa" w:w="2516"/>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56"/>
            <w:tcMar>
              <w:top w:type="dxa" w:w="60"/>
              <w:left w:type="dxa" w:w="100"/>
              <w:bottom w:type="dxa" w:w="60"/>
              <w:right w:type="dxa" w:w="100"/>
            </w:tcMar>
          </w:tcPr>
          <w:p>
            <w:pPr>
              <w:spacing w:after="0" w:before="0" w:line="252"/>
            </w:pPr>
            <w:r>
              <w:rPr>
                <w:sz w:val="19"/>
                <w:szCs w:val="19"/>
              </w:rPr>
              <w:t xml:space="preserve">Product</w:t>
            </w:r>
          </w:p>
        </w:tc>
        <w:tc>
          <w:tcPr>
            <w:tcW w:type="dxa" w:w="2238"/>
            <w:tcMar>
              <w:top w:type="dxa" w:w="60"/>
              <w:left w:type="dxa" w:w="100"/>
              <w:bottom w:type="dxa" w:w="60"/>
              <w:right w:type="dxa" w:w="100"/>
            </w:tcMar>
          </w:tcPr>
          <w:p>
            <w:pPr>
              <w:spacing w:after="0" w:before="0" w:line="252"/>
            </w:pPr>
            <w:r>
              <w:rPr>
                <w:sz w:val="19"/>
                <w:szCs w:val="19"/>
              </w:rPr>
              <w:t xml:space="preserve">No</w:t>
            </w:r>
          </w:p>
        </w:tc>
        <w:tc>
          <w:tcPr>
            <w:tcW w:type="dxa" w:w="2516"/>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Allow browser-automation connectors for sites with no API? A browser runs every page's scripts, which MR‑24 forbids, so this would need the rule itself changed</w:t>
            </w:r>
          </w:p>
        </w:tc>
        <w:tc>
          <w:tcPr>
            <w:tcW w:type="dxa" w:w="1756"/>
            <w:tcMar>
              <w:top w:type="dxa" w:w="60"/>
              <w:left w:type="dxa" w:w="100"/>
              <w:bottom w:type="dxa" w:w="60"/>
              <w:right w:type="dxa" w:w="100"/>
            </w:tcMar>
          </w:tcPr>
          <w:p>
            <w:pPr>
              <w:spacing w:after="0" w:before="0" w:line="252"/>
            </w:pPr>
            <w:r>
              <w:rPr>
                <w:sz w:val="19"/>
                <w:szCs w:val="19"/>
              </w:rPr>
              <w:t xml:space="preserve">Product, security</w:t>
            </w:r>
          </w:p>
        </w:tc>
        <w:tc>
          <w:tcPr>
            <w:tcW w:type="dxa" w:w="2238"/>
            <w:tcMar>
              <w:top w:type="dxa" w:w="60"/>
              <w:left w:type="dxa" w:w="100"/>
              <w:bottom w:type="dxa" w:w="60"/>
              <w:right w:type="dxa" w:w="100"/>
            </w:tcMar>
          </w:tcPr>
          <w:p>
            <w:pPr>
              <w:spacing w:after="0" w:before="0" w:line="252"/>
            </w:pPr>
            <w:r>
              <w:rPr>
                <w:sz w:val="19"/>
                <w:szCs w:val="19"/>
              </w:rPr>
              <w:t xml:space="preserve">No (P2)</w:t>
            </w:r>
          </w:p>
        </w:tc>
        <w:tc>
          <w:tcPr>
            <w:tcW w:type="dxa" w:w="2516"/>
            <w:tcMar>
              <w:top w:type="dxa" w:w="60"/>
              <w:left w:type="dxa" w:w="100"/>
              <w:bottom w:type="dxa" w:w="60"/>
              <w:right w:type="dxa" w:w="100"/>
            </w:tcMar>
          </w:tcPr>
          <w:p>
            <w:pPr>
              <w:spacing w:after="0" w:before="0" w:line="252"/>
            </w:pPr>
            <w:r>
              <w:rPr>
                <w:sz w:val="19"/>
                <w:szCs w:val="19"/>
              </w:rPr>
              <w:t xml:space="preserve">Not built (SEC‑15)</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56"/>
            <w:tcMar>
              <w:top w:type="dxa" w:w="60"/>
              <w:left w:type="dxa" w:w="100"/>
              <w:bottom w:type="dxa" w:w="60"/>
              <w:right w:type="dxa" w:w="100"/>
            </w:tcMar>
          </w:tcPr>
          <w:p>
            <w:pPr>
              <w:spacing w:after="0" w:before="0" w:line="252"/>
            </w:pPr>
            <w:r>
              <w:rPr>
                <w:sz w:val="19"/>
                <w:szCs w:val="19"/>
              </w:rPr>
              <w:t xml:space="preserve">Product</w:t>
            </w:r>
          </w:p>
        </w:tc>
        <w:tc>
          <w:tcPr>
            <w:tcW w:type="dxa" w:w="2238"/>
            <w:tcMar>
              <w:top w:type="dxa" w:w="60"/>
              <w:left w:type="dxa" w:w="100"/>
              <w:bottom w:type="dxa" w:w="60"/>
              <w:right w:type="dxa" w:w="100"/>
            </w:tcMar>
          </w:tcPr>
          <w:p>
            <w:pPr>
              <w:spacing w:after="0" w:before="0" w:line="252"/>
            </w:pPr>
            <w:r>
              <w:rPr>
                <w:sz w:val="19"/>
                <w:szCs w:val="19"/>
              </w:rPr>
              <w:t xml:space="preserve">No (P2)</w:t>
            </w:r>
          </w:p>
        </w:tc>
        <w:tc>
          <w:tcPr>
            <w:tcW w:type="dxa" w:w="2516"/>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56"/>
            <w:tcMar>
              <w:top w:type="dxa" w:w="60"/>
              <w:left w:type="dxa" w:w="100"/>
              <w:bottom w:type="dxa" w:w="60"/>
              <w:right w:type="dxa" w:w="100"/>
            </w:tcMar>
          </w:tcPr>
          <w:p>
            <w:pPr>
              <w:spacing w:after="0" w:before="0" w:line="252"/>
            </w:pPr>
            <w:r>
              <w:rPr>
                <w:sz w:val="19"/>
                <w:szCs w:val="19"/>
              </w:rPr>
              <w:t xml:space="preserve">Business</w:t>
            </w:r>
          </w:p>
        </w:tc>
        <w:tc>
          <w:tcPr>
            <w:tcW w:type="dxa" w:w="2238"/>
            <w:tcMar>
              <w:top w:type="dxa" w:w="60"/>
              <w:left w:type="dxa" w:w="100"/>
              <w:bottom w:type="dxa" w:w="60"/>
              <w:right w:type="dxa" w:w="100"/>
            </w:tcMar>
          </w:tcPr>
          <w:p>
            <w:pPr>
              <w:spacing w:after="0" w:before="0" w:line="252"/>
            </w:pPr>
            <w:r>
              <w:rPr>
                <w:sz w:val="19"/>
                <w:szCs w:val="19"/>
              </w:rPr>
              <w:t xml:space="preserve">No (P2)</w:t>
            </w:r>
          </w:p>
        </w:tc>
        <w:tc>
          <w:tcPr>
            <w:tcW w:type="dxa" w:w="2516"/>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56"/>
            <w:tcMar>
              <w:top w:type="dxa" w:w="60"/>
              <w:left w:type="dxa" w:w="100"/>
              <w:bottom w:type="dxa" w:w="60"/>
              <w:right w:type="dxa" w:w="100"/>
            </w:tcMar>
          </w:tcPr>
          <w:p>
            <w:pPr>
              <w:spacing w:after="0" w:before="0" w:line="252"/>
            </w:pPr>
            <w:r>
              <w:rPr>
                <w:sz w:val="19"/>
                <w:szCs w:val="19"/>
              </w:rPr>
              <w:t xml:space="preserve">Product, legal</w:t>
            </w:r>
          </w:p>
        </w:tc>
        <w:tc>
          <w:tcPr>
            <w:tcW w:type="dxa" w:w="2238"/>
            <w:tcMar>
              <w:top w:type="dxa" w:w="60"/>
              <w:left w:type="dxa" w:w="100"/>
              <w:bottom w:type="dxa" w:w="60"/>
              <w:right w:type="dxa" w:w="100"/>
            </w:tcMar>
          </w:tcPr>
          <w:p>
            <w:pPr>
              <w:spacing w:after="0" w:before="0" w:line="252"/>
            </w:pPr>
            <w:r>
              <w:rPr>
                <w:sz w:val="19"/>
                <w:szCs w:val="19"/>
              </w:rPr>
              <w:t xml:space="preserve">No</w:t>
            </w:r>
          </w:p>
        </w:tc>
        <w:tc>
          <w:tcPr>
            <w:tcW w:type="dxa" w:w="2516"/>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Home minimum age?</w:t>
            </w:r>
          </w:p>
        </w:tc>
        <w:tc>
          <w:tcPr>
            <w:tcW w:type="dxa" w:w="1756"/>
            <w:tcMar>
              <w:top w:type="dxa" w:w="60"/>
              <w:left w:type="dxa" w:w="100"/>
              <w:bottom w:type="dxa" w:w="60"/>
              <w:right w:type="dxa" w:w="100"/>
            </w:tcMar>
          </w:tcPr>
          <w:p>
            <w:pPr>
              <w:spacing w:after="0" w:before="0" w:line="252"/>
            </w:pPr>
            <w:r>
              <w:rPr>
                <w:sz w:val="19"/>
                <w:szCs w:val="19"/>
              </w:rPr>
              <w:t xml:space="preserve">Legal</w:t>
            </w:r>
          </w:p>
        </w:tc>
        <w:tc>
          <w:tcPr>
            <w:tcW w:type="dxa" w:w="2238"/>
            <w:tcMar>
              <w:top w:type="dxa" w:w="60"/>
              <w:left w:type="dxa" w:w="100"/>
              <w:bottom w:type="dxa" w:w="60"/>
              <w:right w:type="dxa" w:w="100"/>
            </w:tcMar>
          </w:tcPr>
          <w:p>
            <w:pPr>
              <w:spacing w:after="0" w:before="0" w:line="252"/>
            </w:pPr>
            <w:r>
              <w:rPr>
                <w:sz w:val="19"/>
                <w:szCs w:val="19"/>
              </w:rPr>
              <w:t xml:space="preserve">Before Home launch</w:t>
            </w:r>
          </w:p>
        </w:tc>
        <w:tc>
          <w:tcPr>
            <w:tcW w:type="dxa" w:w="2516"/>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56"/>
            <w:tcMar>
              <w:top w:type="dxa" w:w="60"/>
              <w:left w:type="dxa" w:w="100"/>
              <w:bottom w:type="dxa" w:w="60"/>
              <w:right w:type="dxa" w:w="100"/>
            </w:tcMar>
          </w:tcPr>
          <w:p>
            <w:pPr>
              <w:spacing w:after="0" w:before="0" w:line="252"/>
            </w:pPr>
            <w:r>
              <w:rPr>
                <w:sz w:val="19"/>
                <w:szCs w:val="19"/>
              </w:rPr>
              <w:t xml:space="preserve">Product owner</w:t>
            </w:r>
          </w:p>
        </w:tc>
        <w:tc>
          <w:tcPr>
            <w:tcW w:type="dxa" w:w="2238"/>
            <w:tcMar>
              <w:top w:type="dxa" w:w="60"/>
              <w:left w:type="dxa" w:w="100"/>
              <w:bottom w:type="dxa" w:w="60"/>
              <w:right w:type="dxa" w:w="100"/>
            </w:tcMar>
          </w:tcPr>
          <w:p>
            <w:pPr>
              <w:spacing w:after="0" w:before="0" w:line="252"/>
            </w:pPr>
            <w:r>
              <w:rPr>
                <w:sz w:val="19"/>
                <w:szCs w:val="19"/>
              </w:rPr>
              <w:t xml:space="preserve">Before beta signing</w:t>
            </w:r>
          </w:p>
        </w:tc>
        <w:tc>
          <w:tcPr>
            <w:tcW w:type="dxa" w:w="2516"/>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56"/>
            <w:tcMar>
              <w:top w:type="dxa" w:w="60"/>
              <w:left w:type="dxa" w:w="100"/>
              <w:bottom w:type="dxa" w:w="60"/>
              <w:right w:type="dxa" w:w="100"/>
            </w:tcMar>
          </w:tcPr>
          <w:p>
            <w:pPr>
              <w:spacing w:after="0" w:before="0" w:line="252"/>
            </w:pPr>
            <w:r>
              <w:rPr>
                <w:sz w:val="19"/>
                <w:szCs w:val="19"/>
              </w:rPr>
              <w:t xml:space="preserve">Product, security</w:t>
            </w:r>
          </w:p>
        </w:tc>
        <w:tc>
          <w:tcPr>
            <w:tcW w:type="dxa" w:w="2238"/>
            <w:tcMar>
              <w:top w:type="dxa" w:w="60"/>
              <w:left w:type="dxa" w:w="100"/>
              <w:bottom w:type="dxa" w:w="60"/>
              <w:right w:type="dxa" w:w="100"/>
            </w:tcMar>
          </w:tcPr>
          <w:p>
            <w:pPr>
              <w:spacing w:after="0" w:before="0" w:line="252"/>
            </w:pPr>
            <w:r>
              <w:rPr>
                <w:sz w:val="19"/>
                <w:szCs w:val="19"/>
              </w:rPr>
              <w:t xml:space="preserve">No</w:t>
            </w:r>
          </w:p>
        </w:tc>
        <w:tc>
          <w:tcPr>
            <w:tcW w:type="dxa" w:w="2516"/>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850"/>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56"/>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38"/>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516"/>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 to confirm.</w:t>
      </w:r>
      <w:r>
        <w:t xml:space="preserve"> Where a master rule needed a reading to be built, this version takes the stricter one. Each stands until the product owner confirms it or picks the alternative, and no alternative may go below the rule's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5"/>
        <w:gridCol w:w="4523"/>
        <w:gridCol w:w="3792"/>
      </w:tblGrid>
      <w:tr>
        <w:trPr>
          <w:tblHeader/>
        </w:trPr>
        <w:tc>
          <w:tcPr>
            <w:tcW w:type="dxa" w:w="1045"/>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523"/>
            <w:shd w:fill="F2F2F2" w:color="auto" w:val="clear"/>
            <w:tcMar>
              <w:top w:type="dxa" w:w="60"/>
              <w:left w:type="dxa" w:w="100"/>
              <w:bottom w:type="dxa" w:w="60"/>
              <w:right w:type="dxa" w:w="100"/>
            </w:tcMar>
          </w:tcPr>
          <w:p>
            <w:pPr>
              <w:spacing w:after="0" w:before="0" w:line="252"/>
            </w:pPr>
            <w:r>
              <w:rPr>
                <w:b/>
                <w:bCs/>
                <w:sz w:val="19"/>
                <w:szCs w:val="19"/>
              </w:rPr>
              <w:t xml:space="preserve">Reading in v0.7</w:t>
            </w:r>
          </w:p>
        </w:tc>
        <w:tc>
          <w:tcPr>
            <w:tcW w:type="dxa" w:w="3792"/>
            <w:shd w:fill="F2F2F2" w:color="auto" w:val="clear"/>
            <w:tcMar>
              <w:top w:type="dxa" w:w="60"/>
              <w:left w:type="dxa" w:w="100"/>
              <w:bottom w:type="dxa" w:w="60"/>
              <w:right w:type="dxa" w:w="100"/>
            </w:tcMar>
          </w:tcPr>
          <w:p>
            <w:pPr>
              <w:spacing w:after="0" w:before="0" w:line="252"/>
            </w:pPr>
            <w:r>
              <w:rPr>
                <w:b/>
                <w:bCs/>
                <w:sz w:val="19"/>
                <w:szCs w:val="19"/>
              </w:rPr>
              <w:t xml:space="preserve">Alternative</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MR‑09, MR‑11</w:t>
            </w:r>
          </w:p>
        </w:tc>
        <w:tc>
          <w:tcPr>
            <w:tcW w:type="dxa" w:w="4523"/>
            <w:tcMar>
              <w:top w:type="dxa" w:w="60"/>
              <w:left w:type="dxa" w:w="100"/>
              <w:bottom w:type="dxa" w:w="60"/>
              <w:right w:type="dxa" w:w="100"/>
            </w:tcMar>
          </w:tcPr>
          <w:p>
            <w:pPr>
              <w:spacing w:after="0" w:before="0" w:line="252"/>
            </w:pPr>
            <w:r>
              <w:rPr>
                <w:sz w:val="19"/>
                <w:szCs w:val="19"/>
              </w:rPr>
              <w:t xml:space="preserve">Every side effect needs a per-action approval, so Home routines such as lights and heating ask each time</w:t>
            </w:r>
          </w:p>
        </w:tc>
        <w:tc>
          <w:tcPr>
            <w:tcW w:type="dxa" w:w="3792"/>
            <w:tcMar>
              <w:top w:type="dxa" w:w="60"/>
              <w:left w:type="dxa" w:w="100"/>
              <w:bottom w:type="dxa" w:w="60"/>
              <w:right w:type="dxa" w:w="100"/>
            </w:tcMar>
          </w:tcPr>
          <w:p>
            <w:pPr>
              <w:spacing w:after="0" w:before="0" w:line="252"/>
            </w:pPr>
            <w:r>
              <w:rPr>
                <w:sz w:val="19"/>
                <w:szCs w:val="19"/>
              </w:rPr>
              <w:t xml:space="preserve">Reversible, non-destructive actions inside the trusted boundary need no approval, since MR‑09 names only irreversible or destructive ones (this would also change invariant 2)</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MR‑11</w:t>
            </w:r>
          </w:p>
        </w:tc>
        <w:tc>
          <w:tcPr>
            <w:tcW w:type="dxa" w:w="4523"/>
            <w:tcMar>
              <w:top w:type="dxa" w:w="60"/>
              <w:left w:type="dxa" w:w="100"/>
              <w:bottom w:type="dxa" w:w="60"/>
              <w:right w:type="dxa" w:w="100"/>
            </w:tcMar>
          </w:tcPr>
          <w:p>
            <w:pPr>
              <w:spacing w:after="0" w:before="0" w:line="252"/>
            </w:pPr>
            <w:r>
              <w:rPr>
                <w:sz w:val="19"/>
                <w:szCs w:val="19"/>
              </w:rPr>
              <w:t xml:space="preserve">"Per-session" means an approval is given in a live session and stays fresh for 15 minutes, or until the run next waits or pauses; clients don't queue approvals offline (RUN‑04)</w:t>
            </w:r>
          </w:p>
        </w:tc>
        <w:tc>
          <w:tcPr>
            <w:tcW w:type="dxa" w:w="3792"/>
            <w:tcMar>
              <w:top w:type="dxa" w:w="60"/>
              <w:left w:type="dxa" w:w="100"/>
              <w:bottom w:type="dxa" w:w="60"/>
              <w:right w:type="dxa" w:w="100"/>
            </w:tcMar>
          </w:tcPr>
          <w:p>
            <w:pPr>
              <w:spacing w:after="0" w:before="0" w:line="252"/>
            </w:pPr>
            <w:r>
              <w:rPr>
                <w:sz w:val="19"/>
                <w:szCs w:val="19"/>
              </w:rPr>
              <w:t xml:space="preserve">A different freshness window</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MR‑10</w:t>
            </w:r>
          </w:p>
        </w:tc>
        <w:tc>
          <w:tcPr>
            <w:tcW w:type="dxa" w:w="4523"/>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c>
          <w:tcPr>
            <w:tcW w:type="dxa" w:w="3792"/>
            <w:tcMar>
              <w:top w:type="dxa" w:w="60"/>
              <w:left w:type="dxa" w:w="100"/>
              <w:bottom w:type="dxa" w:w="60"/>
              <w:right w:type="dxa" w:w="100"/>
            </w:tcMar>
          </w:tcPr>
          <w:p>
            <w:pPr>
              <w:spacing w:after="0" w:before="0" w:line="252"/>
            </w:pPr>
            <w:r>
              <w:rPr>
                <w:sz w:val="19"/>
                <w:szCs w:val="19"/>
              </w:rPr>
              <w:t xml:space="preserve">Approve every paid call</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MR‑15</w:t>
            </w:r>
          </w:p>
        </w:tc>
        <w:tc>
          <w:tcPr>
            <w:tcW w:type="dxa" w:w="4523"/>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c>
          <w:tcPr>
            <w:tcW w:type="dxa" w:w="3792"/>
            <w:tcMar>
              <w:top w:type="dxa" w:w="60"/>
              <w:left w:type="dxa" w:w="100"/>
              <w:bottom w:type="dxa" w:w="60"/>
              <w:right w:type="dxa" w:w="100"/>
            </w:tcMar>
          </w:tcPr>
          <w:p>
            <w:pPr>
              <w:spacing w:after="0" w:before="0" w:line="252"/>
            </w:pPr>
            <w:r>
              <w:rPr>
                <w:sz w:val="19"/>
                <w:szCs w:val="19"/>
              </w:rPr>
              <w:t xml:space="preserve">Approve each renewal</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MR‑17</w:t>
            </w:r>
          </w:p>
        </w:tc>
        <w:tc>
          <w:tcPr>
            <w:tcW w:type="dxa" w:w="4523"/>
            <w:tcMar>
              <w:top w:type="dxa" w:w="60"/>
              <w:left w:type="dxa" w:w="100"/>
              <w:bottom w:type="dxa" w:w="60"/>
              <w:right w:type="dxa" w:w="100"/>
            </w:tcMar>
          </w:tcPr>
          <w:p>
            <w:pPr>
              <w:spacing w:after="0" w:before="0" w:line="252"/>
            </w:pPr>
            <w:r>
              <w:rPr>
                <w:sz w:val="19"/>
                <w:szCs w:val="19"/>
              </w:rPr>
              <w:t xml:space="preserve">Drafts the user sends themselves still carry an AI note they see before sending (SEC‑14)</w:t>
            </w:r>
          </w:p>
        </w:tc>
        <w:tc>
          <w:tcPr>
            <w:tcW w:type="dxa" w:w="3792"/>
            <w:tcMar>
              <w:top w:type="dxa" w:w="60"/>
              <w:left w:type="dxa" w:w="100"/>
              <w:bottom w:type="dxa" w:w="60"/>
              <w:right w:type="dxa" w:w="100"/>
            </w:tcMar>
          </w:tcPr>
          <w:p>
            <w:pPr>
              <w:spacing w:after="0" w:before="0" w:line="252"/>
            </w:pPr>
            <w:r>
              <w:rPr>
                <w:sz w:val="19"/>
                <w:szCs w:val="19"/>
              </w:rPr>
              <w:t xml:space="preserve">No note on drafts, since the user sends them</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MR‑22</w:t>
            </w:r>
          </w:p>
        </w:tc>
        <w:tc>
          <w:tcPr>
            <w:tcW w:type="dxa" w:w="4523"/>
            <w:tcMar>
              <w:top w:type="dxa" w:w="60"/>
              <w:left w:type="dxa" w:w="100"/>
              <w:bottom w:type="dxa" w:w="60"/>
              <w:right w:type="dxa" w:w="100"/>
            </w:tcMar>
          </w:tcPr>
          <w:p>
            <w:pPr>
              <w:spacing w:after="0" w:before="0" w:line="252"/>
            </w:pPr>
            <w:r>
              <w:rPr>
                <w:sz w:val="19"/>
                <w:szCs w:val="19"/>
              </w:rPr>
              <w:t xml:space="preserve">A chained trigger may start only an assignment whose grants are within the upstream one's (RUN‑09)</w:t>
            </w:r>
          </w:p>
        </w:tc>
        <w:tc>
          <w:tcPr>
            <w:tcW w:type="dxa" w:w="3792"/>
            <w:tcMar>
              <w:top w:type="dxa" w:w="60"/>
              <w:left w:type="dxa" w:w="100"/>
              <w:bottom w:type="dxa" w:w="60"/>
              <w:right w:type="dxa" w:w="100"/>
            </w:tcMar>
          </w:tcPr>
          <w:p>
            <w:pPr>
              <w:spacing w:after="0" w:before="0" w:line="252"/>
            </w:pPr>
            <w:r>
              <w:rPr>
                <w:sz w:val="19"/>
                <w:szCs w:val="19"/>
              </w:rPr>
              <w:t xml:space="preserve">Treat a chain the owner configured as the owner's act rather than the agent's, so the downstream assignment's own accepted grants apply</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MR‑24</w:t>
            </w:r>
          </w:p>
        </w:tc>
        <w:tc>
          <w:tcPr>
            <w:tcW w:type="dxa" w:w="4523"/>
            <w:tcMar>
              <w:top w:type="dxa" w:w="60"/>
              <w:left w:type="dxa" w:w="100"/>
              <w:bottom w:type="dxa" w:w="60"/>
              <w:right w:type="dxa" w:w="100"/>
            </w:tcMar>
          </w:tcPr>
          <w:p>
            <w:pPr>
              <w:spacing w:after="0" w:before="0" w:line="252"/>
            </w:pPr>
            <w:r>
              <w:rPr>
                <w:sz w:val="19"/>
                <w:szCs w:val="19"/>
              </w:rPr>
              <w:t xml:space="preserve">No browser automation, because it runs every page's scripts, and no execution of model-written code, even in a sandbox; scaffolded connector code runs only once a person adopts it and it's approved as a signed build (SEC‑15)</w:t>
            </w:r>
          </w:p>
        </w:tc>
        <w:tc>
          <w:tcPr>
            <w:tcW w:type="dxa" w:w="3792"/>
            <w:tcMar>
              <w:top w:type="dxa" w:w="60"/>
              <w:left w:type="dxa" w:w="100"/>
              <w:bottom w:type="dxa" w:w="60"/>
              <w:right w:type="dxa" w:w="100"/>
            </w:tcMar>
          </w:tcPr>
          <w:p>
            <w:pPr>
              <w:spacing w:after="0" w:before="0" w:line="252"/>
            </w:pPr>
            <w:r>
              <w:rPr>
                <w:sz w:val="19"/>
                <w:szCs w:val="19"/>
              </w:rPr>
              <w:t xml:space="preserve">None within the rule's words: browser automation would need the rule itself changed</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MR‑25</w:t>
            </w:r>
          </w:p>
        </w:tc>
        <w:tc>
          <w:tcPr>
            <w:tcW w:type="dxa" w:w="4523"/>
            <w:tcMar>
              <w:top w:type="dxa" w:w="60"/>
              <w:left w:type="dxa" w:w="100"/>
              <w:bottom w:type="dxa" w:w="60"/>
              <w:right w:type="dxa" w:w="100"/>
            </w:tcMar>
          </w:tcPr>
          <w:p>
            <w:pPr>
              <w:spacing w:after="0" w:before="0" w:line="252"/>
            </w:pPr>
            <w:r>
              <w:rPr>
                <w:sz w:val="19"/>
                <w:szCs w:val="19"/>
              </w:rPr>
              <w:t xml:space="preserve">Locks, garage doors, alarm systems and security cameras are read-only (PAY‑08)</w:t>
            </w:r>
          </w:p>
        </w:tc>
        <w:tc>
          <w:tcPr>
            <w:tcW w:type="dxa" w:w="3792"/>
            <w:tcMar>
              <w:top w:type="dxa" w:w="60"/>
              <w:left w:type="dxa" w:w="100"/>
              <w:bottom w:type="dxa" w:w="60"/>
              <w:right w:type="dxa" w:w="100"/>
            </w:tcMar>
          </w:tcPr>
          <w:p>
            <w:pPr>
              <w:spacing w:after="0" w:before="0" w:line="252"/>
            </w:pPr>
            <w:r>
              <w:rPr>
                <w:sz w:val="19"/>
                <w:szCs w:val="19"/>
              </w:rPr>
              <w:t xml:space="preserve">Read MR‑25 as IT security settings only, keeping approval every time for home devices</w:t>
            </w:r>
          </w:p>
        </w:tc>
      </w:tr>
      <w:tr>
        <w:trPr>
          <w:tblHeader w:val="off"/>
        </w:trPr>
        <w:tc>
          <w:tcPr>
            <w:tcW w:type="dxa" w:w="1045"/>
            <w:tcMar>
              <w:top w:type="dxa" w:w="60"/>
              <w:left w:type="dxa" w:w="100"/>
              <w:bottom w:type="dxa" w:w="60"/>
              <w:right w:type="dxa" w:w="100"/>
            </w:tcMar>
          </w:tcPr>
          <w:p>
            <w:pPr>
              <w:spacing w:after="0" w:before="0" w:line="252"/>
            </w:pPr>
            <w:r>
              <w:rPr>
                <w:sz w:val="19"/>
                <w:szCs w:val="19"/>
              </w:rPr>
              <w:t xml:space="preserve">MR‑02</w:t>
            </w:r>
          </w:p>
        </w:tc>
        <w:tc>
          <w:tcPr>
            <w:tcW w:type="dxa" w:w="4523"/>
            <w:tcMar>
              <w:top w:type="dxa" w:w="60"/>
              <w:left w:type="dxa" w:w="100"/>
              <w:bottom w:type="dxa" w:w="60"/>
              <w:right w:type="dxa" w:w="100"/>
            </w:tcMar>
          </w:tcPr>
          <w:p>
            <w:pPr>
              <w:spacing w:after="0" w:before="0" w:line="252"/>
            </w:pPr>
            <w:r>
              <w:rPr>
                <w:sz w:val="19"/>
                <w:szCs w:val="19"/>
              </w:rPr>
              <w:t xml:space="preserve">Directory polling for deprovisioning (CON‑06) isn't borrowing: it runs under an admin-granted app permission, reads only account status and acts on no one's data</w:t>
            </w:r>
          </w:p>
        </w:tc>
        <w:tc>
          <w:tcPr>
            <w:tcW w:type="dxa" w:w="3792"/>
            <w:tcMar>
              <w:top w:type="dxa" w:w="60"/>
              <w:left w:type="dxa" w:w="100"/>
              <w:bottom w:type="dxa" w:w="60"/>
              <w:right w:type="dxa" w:w="100"/>
            </w:tcMar>
          </w:tcPr>
          <w:p>
            <w:pPr>
              <w:spacing w:after="0" w:before="0" w:line="252"/>
            </w:pPr>
            <w:r>
              <w:rPr>
                <w:sz w:val="19"/>
                <w:szCs w:val="19"/>
              </w:rPr>
              <w:t xml:space="preserve">Drop polling and rely on SCIM and continuous access evaluation</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9"/>
        <w:gridCol w:w="1127"/>
        <w:gridCol w:w="6984"/>
      </w:tblGrid>
      <w:tr>
        <w:trPr>
          <w:tblHeader/>
        </w:trPr>
        <w:tc>
          <w:tcPr>
            <w:tcW w:type="dxa" w:w="124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27"/>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84"/>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v0.7</w:t>
            </w:r>
          </w:p>
        </w:tc>
        <w:tc>
          <w:tcPr>
            <w:tcW w:type="dxa" w:w="1127"/>
            <w:tcMar>
              <w:top w:type="dxa" w:w="60"/>
              <w:left w:type="dxa" w:w="100"/>
              <w:bottom w:type="dxa" w:w="60"/>
              <w:right w:type="dxa" w:w="100"/>
            </w:tcMar>
          </w:tcPr>
          <w:p>
            <w:pPr>
              <w:spacing w:after="0" w:before="0" w:line="252"/>
            </w:pPr>
            <w:r>
              <w:rPr>
                <w:sz w:val="19"/>
                <w:szCs w:val="19"/>
              </w:rPr>
              <w:t xml:space="preserve">2026-10-10</w:t>
            </w:r>
          </w:p>
        </w:tc>
        <w:tc>
          <w:tcPr>
            <w:tcW w:type="dxa" w:w="6984"/>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v0.6</w:t>
            </w:r>
          </w:p>
        </w:tc>
        <w:tc>
          <w:tcPr>
            <w:tcW w:type="dxa" w:w="1127"/>
            <w:tcMar>
              <w:top w:type="dxa" w:w="60"/>
              <w:left w:type="dxa" w:w="100"/>
              <w:bottom w:type="dxa" w:w="60"/>
              <w:right w:type="dxa" w:w="100"/>
            </w:tcMar>
          </w:tcPr>
          <w:p>
            <w:pPr>
              <w:spacing w:after="0" w:before="0" w:line="252"/>
            </w:pPr>
            <w:r>
              <w:rPr>
                <w:sz w:val="19"/>
                <w:szCs w:val="19"/>
              </w:rPr>
              <w:t xml:space="preserve">2026-10-10</w:t>
            </w:r>
          </w:p>
        </w:tc>
        <w:tc>
          <w:tcPr>
            <w:tcW w:type="dxa" w:w="6984"/>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v0.5</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84"/>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v0.4</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84"/>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v0.3</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84"/>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v0.2</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84"/>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9"/>
            <w:tcMar>
              <w:top w:type="dxa" w:w="60"/>
              <w:left w:type="dxa" w:w="100"/>
              <w:bottom w:type="dxa" w:w="60"/>
              <w:right w:type="dxa" w:w="100"/>
            </w:tcMar>
          </w:tcPr>
          <w:p>
            <w:pPr>
              <w:spacing w:after="0" w:before="0" w:line="252"/>
            </w:pPr>
            <w:r>
              <w:rPr>
                <w:sz w:val="19"/>
                <w:szCs w:val="19"/>
              </w:rPr>
              <w:t xml:space="preserve">v0.1</w:t>
            </w:r>
          </w:p>
        </w:tc>
        <w:tc>
          <w:tcPr>
            <w:tcW w:type="dxa" w:w="1127"/>
            <w:tcMar>
              <w:top w:type="dxa" w:w="60"/>
              <w:left w:type="dxa" w:w="100"/>
              <w:bottom w:type="dxa" w:w="60"/>
              <w:right w:type="dxa" w:w="100"/>
            </w:tcMar>
          </w:tcPr>
          <w:p>
            <w:pPr>
              <w:spacing w:after="0" w:before="0" w:line="252"/>
            </w:pPr>
            <w:r>
              <w:rPr>
                <w:sz w:val="19"/>
                <w:szCs w:val="19"/>
              </w:rPr>
              <w:t xml:space="preserve">2026-10-05</w:t>
            </w:r>
          </w:p>
        </w:tc>
        <w:tc>
          <w:tcPr>
            <w:tcW w:type="dxa" w:w="6984"/>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kfvt9lqzf_tf7bu_plehs">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sfttsvpjmpuitfjz95sxe">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xg_wizft5hxyzp7hzkc-s">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hqtz03sri5bvjc98jckyf">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qzblude97xwog2vf-c-sx">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zczz_kuup_ovtidttxpid">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rckag5_x_d5gabesrt5vj">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k_s3dsld-eeyig4secdxl">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unn7x0kgmvhzdhg70tipx">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m2-p0vd_cpxybzymmi35i">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hs6jputnwfieudrrriyqz">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fvt9lqzf_tf7bu_plehs" Type="http://schemas.openxmlformats.org/officeDocument/2006/relationships/hyperlink" Target="https://docs.temporal.io/activity-definition#idempotency" TargetMode="External"/><Relationship Id="rIdsfttsvpjmpuitfjz95sxe" Type="http://schemas.openxmlformats.org/officeDocument/2006/relationships/hyperlink" Target="https://learn.microsoft.com/en-us/entra/identity-platform/configurable-token-lifetimes" TargetMode="External"/><Relationship Id="rIdxg_wizft5hxyzp7hzkc-s" Type="http://schemas.openxmlformats.org/officeDocument/2006/relationships/hyperlink" Target="https://cheatsheetseries.owasp.org/cheatsheets/LLM_Prompt_Injection_Prevention_Cheat_Sheet.html" TargetMode="External"/><Relationship Id="rIdhqtz03sri5bvjc98jckyf" Type="http://schemas.openxmlformats.org/officeDocument/2006/relationships/hyperlink" Target="https://learn.microsoft.com/en-us/entra/identity/app-provisioning/use-scim-to-provision-users-and-groups" TargetMode="External"/><Relationship Id="rIdqzblude97xwog2vf-c-sx" Type="http://schemas.openxmlformats.org/officeDocument/2006/relationships/hyperlink" Target="https://learn.microsoft.com/en-us/entra/identity/conditional-access/concept-continuous-access-evaluation" TargetMode="External"/><Relationship Id="rIdzczz_kuup_ovtidttxpid" Type="http://schemas.openxmlformats.org/officeDocument/2006/relationships/hyperlink" Target="https://www.unicode.org/reports/tr39/" TargetMode="External"/><Relationship Id="rIdrckag5_x_d5gabesrt5vj" Type="http://schemas.openxmlformats.org/officeDocument/2006/relationships/hyperlink" Target="https://datatracker.ietf.org/doc/draft-ietf-webbotauth-httpsig-protocol/" TargetMode="External"/><Relationship Id="rIdk_s3dsld-eeyig4secdxl" Type="http://schemas.openxmlformats.org/officeDocument/2006/relationships/hyperlink" Target="https://developers.cloudflare.com/bots/reference/bot-verification/web-bot-auth/" TargetMode="External"/><Relationship Id="rIdunn7x0kgmvhzdhg70tipx" Type="http://schemas.openxmlformats.org/officeDocument/2006/relationships/hyperlink" Target="https://aws.amazon.com/about-aws/whats-new/2025/11/aws-waf-web-bot-auth-support" TargetMode="External"/><Relationship Id="rIdm2-p0vd_cpxybzymmi35i" Type="http://schemas.openxmlformats.org/officeDocument/2006/relationships/hyperlink" Target="https://blog.cloudflare.com/secure-agentic-commerce/" TargetMode="External"/><Relationship Id="rIdhs6jputnwfieudrrriyqz"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v0.7)</dc:title>
  <dc:creator>Collicity</dc:creator>
  <cp:lastModifiedBy>Un-named</cp:lastModifiedBy>
  <cp:revision>1</cp:revision>
  <dcterms:created xsi:type="dcterms:W3CDTF">2026-10-10T10:14:53.288Z</dcterms:created>
  <dcterms:modified xsi:type="dcterms:W3CDTF">2026-10-10T10:14:53.289Z</dcterms:modified>
</cp:coreProperties>
</file>

<file path=docProps/custom.xml><?xml version="1.0" encoding="utf-8"?>
<Properties xmlns="http://schemas.openxmlformats.org/officeDocument/2006/custom-properties" xmlns:vt="http://schemas.openxmlformats.org/officeDocument/2006/docPropsVTypes"/>
</file>