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AI RMF Alignment (Draft v0.1)</w:t>
      </w:r>
    </w:p>
    <w:p>
      <w:pPr>
        <w:spacing w:after="240"/>
      </w:pPr>
      <w:r>
        <w:rPr>
          <w:color w:val="595959"/>
        </w:rPr>
        <w:t xml:space="preserve">Oct 11, 2026 · @Philip Maynard · Companion to </w:t>
      </w:r>
      <w:r>
        <w:rPr>
          <w:i/>
          <w:iCs/>
          <w:color w:val="595959"/>
        </w:rPr>
        <w:t xml:space="preserve">Collicity — Product Specification (Draft v0.19)</w:t>
      </w:r>
    </w:p>
    <w:p>
      <w:pPr>
        <w:pStyle w:val="Heading1"/>
        <w:keepNext/>
      </w:pPr>
      <w:r>
        <w:t xml:space="preserve">1. Purpose and status</w:t>
      </w:r>
    </w:p>
    <w:p>
      <w:r>
        <w:t xml:space="preserve">This document maps the NIST AI Risk Management Framework (AI RMF 1.0, NIST AI 100-1) and its Generative AI Profile (NIST AI 600-1) to the Collicity product specification. It shows where the specification already meets each part of the framework, which gaps the review found, and which items belong to the company rather than the product.</w:t>
      </w:r>
    </w:p>
    <w:p>
      <w:pPr>
        <w:pStyle w:val="ListParagraph"/>
        <w:numPr>
          <w:ilvl w:val="0"/>
          <w:numId w:val="2"/>
        </w:numPr>
        <w:spacing w:after="60" w:before="0"/>
      </w:pPr>
      <w:r>
        <w:rPr>
          <w:b/>
          <w:bCs/>
        </w:rPr>
        <w:t xml:space="preserve">Aligned, not compliant.</w:t>
      </w:r>
      <w:r>
        <w:t xml:space="preserve"> The AI RMF is voluntary and has no certification, so Collicity describes itself as aligned with it. ISO/IEC 42001, which can be certified, is on the compliance roadmap if customers call for it (spec SEC‑05), and this mapping is a step toward it.</w:t>
      </w:r>
    </w:p>
    <w:p>
      <w:pPr>
        <w:pStyle w:val="ListParagraph"/>
        <w:numPr>
          <w:ilvl w:val="0"/>
          <w:numId w:val="2"/>
        </w:numPr>
        <w:spacing w:after="60" w:before="0"/>
      </w:pPr>
      <w:r>
        <w:rPr>
          <w:b/>
          <w:bCs/>
        </w:rPr>
        <w:t xml:space="preserve">Provider, not deployer.</w:t>
      </w:r>
      <w:r>
        <w:t xml:space="preserve"> Collicity provides an AI system that tenants deploy. Some outcomes, such as a tenant's own AI policy, belong to the tenant; Collicity supports them with notice language, audit records and controls.</w:t>
      </w:r>
    </w:p>
    <w:p>
      <w:pPr>
        <w:pStyle w:val="ListParagraph"/>
        <w:numPr>
          <w:ilvl w:val="0"/>
          <w:numId w:val="2"/>
        </w:numPr>
        <w:spacing w:after="60" w:before="0"/>
      </w:pPr>
      <w:r>
        <w:rPr>
          <w:b/>
          <w:bCs/>
        </w:rPr>
        <w:t xml:space="preserve">A moving target.</w:t>
      </w:r>
      <w:r>
        <w:t xml:space="preserve"> NIST says AI RMF 1.0 is being revised, and its AI overlays for SP 800-53 (the COSAiS project) aren't published yet. This mapping will be redone when either appears (§7).</w:t>
      </w:r>
    </w:p>
    <w:p>
      <w:pPr>
        <w:pStyle w:val="ListParagraph"/>
        <w:numPr>
          <w:ilvl w:val="0"/>
          <w:numId w:val="2"/>
        </w:numPr>
        <w:spacing w:after="60" w:before="0"/>
      </w:pPr>
      <w:r>
        <w:rPr>
          <w:b/>
          <w:bCs/>
        </w:rPr>
        <w:t xml:space="preserve">Category names</w:t>
      </w:r>
      <w:r>
        <w:t xml:space="preserve"> below are short paraphrases of the framework's wording. Requirement IDs refer to the specification.</w:t>
      </w:r>
    </w:p>
    <w:p>
      <w:pPr>
        <w:spacing w:after="0"/>
      </w:pPr>
    </w:p>
    <w:p>
      <w:pPr>
        <w:pStyle w:val="Heading1"/>
        <w:keepNext/>
      </w:pPr>
      <w:r>
        <w:t xml:space="preserve">2. Trustworthiness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4"/>
        <w:gridCol w:w="6676"/>
      </w:tblGrid>
      <w:tr>
        <w:trPr>
          <w:tblHeader/>
        </w:trPr>
        <w:tc>
          <w:tcPr>
            <w:tcW w:type="dxa" w:w="2684"/>
            <w:shd w:fill="F2F2F2" w:color="auto" w:val="clear"/>
            <w:tcMar>
              <w:top w:type="dxa" w:w="60"/>
              <w:left w:type="dxa" w:w="100"/>
              <w:bottom w:type="dxa" w:w="60"/>
              <w:right w:type="dxa" w:w="100"/>
            </w:tcMar>
          </w:tcPr>
          <w:p>
            <w:pPr>
              <w:spacing w:after="0" w:before="0" w:line="252"/>
            </w:pPr>
            <w:r>
              <w:rPr>
                <w:b/>
                <w:bCs/>
                <w:sz w:val="19"/>
                <w:szCs w:val="19"/>
              </w:rPr>
              <w:t xml:space="preserve">Characteristic</w:t>
            </w:r>
          </w:p>
        </w:tc>
        <w:tc>
          <w:tcPr>
            <w:tcW w:type="dxa" w:w="6676"/>
            <w:shd w:fill="F2F2F2" w:color="auto" w:val="clear"/>
            <w:tcMar>
              <w:top w:type="dxa" w:w="60"/>
              <w:left w:type="dxa" w:w="100"/>
              <w:bottom w:type="dxa" w:w="60"/>
              <w:right w:type="dxa" w:w="100"/>
            </w:tcMar>
          </w:tcPr>
          <w:p>
            <w:pPr>
              <w:spacing w:after="0" w:before="0" w:line="252"/>
            </w:pPr>
            <w:r>
              <w:rPr>
                <w:b/>
                <w:bCs/>
                <w:sz w:val="19"/>
                <w:szCs w:val="19"/>
              </w:rPr>
              <w:t xml:space="preserve">How Collicity addresses it</w:t>
            </w:r>
          </w:p>
        </w:tc>
      </w:tr>
      <w:tr>
        <w:trPr>
          <w:tblHeader w:val="off"/>
        </w:trPr>
        <w:tc>
          <w:tcPr>
            <w:tcW w:type="dxa" w:w="2684"/>
            <w:tcMar>
              <w:top w:type="dxa" w:w="60"/>
              <w:left w:type="dxa" w:w="100"/>
              <w:bottom w:type="dxa" w:w="60"/>
              <w:right w:type="dxa" w:w="100"/>
            </w:tcMar>
          </w:tcPr>
          <w:p>
            <w:pPr>
              <w:spacing w:after="0" w:before="0" w:line="252"/>
            </w:pPr>
            <w:r>
              <w:rPr>
                <w:sz w:val="19"/>
                <w:szCs w:val="19"/>
              </w:rPr>
              <w:t xml:space="preserve">Valid and reliable</w:t>
            </w:r>
          </w:p>
        </w:tc>
        <w:tc>
          <w:tcPr>
            <w:tcW w:type="dxa" w:w="6676"/>
            <w:tcMar>
              <w:top w:type="dxa" w:w="60"/>
              <w:left w:type="dxa" w:w="100"/>
              <w:bottom w:type="dxa" w:w="60"/>
              <w:right w:type="dxa" w:w="100"/>
            </w:tcMar>
          </w:tcPr>
          <w:p>
            <w:pPr>
              <w:spacing w:after="0" w:before="0" w:line="252"/>
            </w:pPr>
            <w:r>
              <w:rPr>
                <w:sz w:val="19"/>
                <w:szCs w:val="19"/>
              </w:rPr>
              <w:t xml:space="preserve">Verified-success labels and lower-bound routing (INV‑06, RTR‑02); deterministic checks that gate delivery (SUP‑01); an independent evaluation set (SUP‑06); status computed only from recorded state (RUN‑08)</w:t>
            </w:r>
          </w:p>
        </w:tc>
      </w:tr>
      <w:tr>
        <w:trPr>
          <w:tblHeader w:val="off"/>
        </w:trPr>
        <w:tc>
          <w:tcPr>
            <w:tcW w:type="dxa" w:w="2684"/>
            <w:tcMar>
              <w:top w:type="dxa" w:w="60"/>
              <w:left w:type="dxa" w:w="100"/>
              <w:bottom w:type="dxa" w:w="60"/>
              <w:right w:type="dxa" w:w="100"/>
            </w:tcMar>
          </w:tcPr>
          <w:p>
            <w:pPr>
              <w:spacing w:after="0" w:before="0" w:line="252"/>
            </w:pPr>
            <w:r>
              <w:rPr>
                <w:sz w:val="19"/>
                <w:szCs w:val="19"/>
              </w:rPr>
              <w:t xml:space="preserve">Safe</w:t>
            </w:r>
          </w:p>
        </w:tc>
        <w:tc>
          <w:tcPr>
            <w:tcW w:type="dxa" w:w="6676"/>
            <w:tcMar>
              <w:top w:type="dxa" w:w="60"/>
              <w:left w:type="dxa" w:w="100"/>
              <w:bottom w:type="dxa" w:w="60"/>
              <w:right w:type="dxa" w:w="100"/>
            </w:tcMar>
          </w:tcPr>
          <w:p>
            <w:pPr>
              <w:spacing w:after="0" w:before="0" w:line="252"/>
            </w:pPr>
            <w:r>
              <w:rPr>
                <w:sz w:val="19"/>
                <w:szCs w:val="19"/>
              </w:rPr>
              <w:t xml:space="preserve">Five product invariants and 26 master rules enforced outside the model (spec §1); an approval or narrow mandate for every side effect (ASG‑11, ASG‑24); hard lines that are never mandated; the kill switch (ASG‑13)</w:t>
            </w:r>
          </w:p>
        </w:tc>
      </w:tr>
      <w:tr>
        <w:trPr>
          <w:tblHeader w:val="off"/>
        </w:trPr>
        <w:tc>
          <w:tcPr>
            <w:tcW w:type="dxa" w:w="2684"/>
            <w:tcMar>
              <w:top w:type="dxa" w:w="60"/>
              <w:left w:type="dxa" w:w="100"/>
              <w:bottom w:type="dxa" w:w="60"/>
              <w:right w:type="dxa" w:w="100"/>
            </w:tcMar>
          </w:tcPr>
          <w:p>
            <w:pPr>
              <w:spacing w:after="0" w:before="0" w:line="252"/>
            </w:pPr>
            <w:r>
              <w:rPr>
                <w:sz w:val="19"/>
                <w:szCs w:val="19"/>
              </w:rPr>
              <w:t xml:space="preserve">Secure and resilient</w:t>
            </w:r>
          </w:p>
        </w:tc>
        <w:tc>
          <w:tcPr>
            <w:tcW w:type="dxa" w:w="6676"/>
            <w:tcMar>
              <w:top w:type="dxa" w:w="60"/>
              <w:left w:type="dxa" w:w="100"/>
              <w:bottom w:type="dxa" w:w="60"/>
              <w:right w:type="dxa" w:w="100"/>
            </w:tcMar>
          </w:tcPr>
          <w:p>
            <w:pPr>
              <w:spacing w:after="0" w:before="0" w:line="252"/>
            </w:pPr>
            <w:r>
              <w:rPr>
                <w:sz w:val="19"/>
                <w:szCs w:val="19"/>
              </w:rPr>
              <w:t xml:space="preserve">One connector gateway holding every credential (spec §16); prompt-injection defenses (CON‑10, SEC‑11 to SEC‑13, SEC‑18); durability targets (spec §17)</w:t>
            </w:r>
          </w:p>
        </w:tc>
      </w:tr>
      <w:tr>
        <w:trPr>
          <w:tblHeader w:val="off"/>
        </w:trPr>
        <w:tc>
          <w:tcPr>
            <w:tcW w:type="dxa" w:w="2684"/>
            <w:tcMar>
              <w:top w:type="dxa" w:w="60"/>
              <w:left w:type="dxa" w:w="100"/>
              <w:bottom w:type="dxa" w:w="60"/>
              <w:right w:type="dxa" w:w="100"/>
            </w:tcMar>
          </w:tcPr>
          <w:p>
            <w:pPr>
              <w:spacing w:after="0" w:before="0" w:line="252"/>
            </w:pPr>
            <w:r>
              <w:rPr>
                <w:sz w:val="19"/>
                <w:szCs w:val="19"/>
              </w:rPr>
              <w:t xml:space="preserve">Accountable and transparent</w:t>
            </w:r>
          </w:p>
        </w:tc>
        <w:tc>
          <w:tcPr>
            <w:tcW w:type="dxa" w:w="6676"/>
            <w:tcMar>
              <w:top w:type="dxa" w:w="60"/>
              <w:left w:type="dxa" w:w="100"/>
              <w:bottom w:type="dxa" w:w="60"/>
              <w:right w:type="dxa" w:w="100"/>
            </w:tcMar>
          </w:tcPr>
          <w:p>
            <w:pPr>
              <w:spacing w:after="0" w:before="0" w:line="252"/>
            </w:pPr>
            <w:r>
              <w:rPr>
                <w:sz w:val="19"/>
                <w:szCs w:val="19"/>
              </w:rPr>
              <w:t xml:space="preserve">A tamper-evident audit log (ADM‑07); on-behalf-of attribution and agent identity (CON‑07, MR‑04); AI disclosure on everything Collicity sends (SEC‑14)</w:t>
            </w:r>
          </w:p>
        </w:tc>
      </w:tr>
      <w:tr>
        <w:trPr>
          <w:tblHeader w:val="off"/>
        </w:trPr>
        <w:tc>
          <w:tcPr>
            <w:tcW w:type="dxa" w:w="2684"/>
            <w:tcMar>
              <w:top w:type="dxa" w:w="60"/>
              <w:left w:type="dxa" w:w="100"/>
              <w:bottom w:type="dxa" w:w="60"/>
              <w:right w:type="dxa" w:w="100"/>
            </w:tcMar>
          </w:tcPr>
          <w:p>
            <w:pPr>
              <w:spacing w:after="0" w:before="0" w:line="252"/>
            </w:pPr>
            <w:r>
              <w:rPr>
                <w:sz w:val="19"/>
                <w:szCs w:val="19"/>
              </w:rPr>
              <w:t xml:space="preserve">Explainable and interpretable</w:t>
            </w:r>
          </w:p>
        </w:tc>
        <w:tc>
          <w:tcPr>
            <w:tcW w:type="dxa" w:w="6676"/>
            <w:tcMar>
              <w:top w:type="dxa" w:w="60"/>
              <w:left w:type="dxa" w:w="100"/>
              <w:bottom w:type="dxa" w:w="60"/>
              <w:right w:type="dxa" w:w="100"/>
            </w:tcMar>
          </w:tcPr>
          <w:p>
            <w:pPr>
              <w:spacing w:after="0" w:before="0" w:line="252"/>
            </w:pPr>
            <w:r>
              <w:rPr>
                <w:sz w:val="19"/>
                <w:szCs w:val="19"/>
              </w:rPr>
              <w:t xml:space="preserve">Router decision records (RTR‑04); citations on narrative and answers (TPL‑07, QA‑02); approval screens that show the exact action (ASG‑11)</w:t>
            </w:r>
          </w:p>
        </w:tc>
      </w:tr>
      <w:tr>
        <w:trPr>
          <w:tblHeader w:val="off"/>
        </w:trPr>
        <w:tc>
          <w:tcPr>
            <w:tcW w:type="dxa" w:w="2684"/>
            <w:tcMar>
              <w:top w:type="dxa" w:w="60"/>
              <w:left w:type="dxa" w:w="100"/>
              <w:bottom w:type="dxa" w:w="60"/>
              <w:right w:type="dxa" w:w="100"/>
            </w:tcMar>
          </w:tcPr>
          <w:p>
            <w:pPr>
              <w:spacing w:after="0" w:before="0" w:line="252"/>
            </w:pPr>
            <w:r>
              <w:rPr>
                <w:sz w:val="19"/>
                <w:szCs w:val="19"/>
              </w:rPr>
              <w:t xml:space="preserve">Privacy-enhanced</w:t>
            </w:r>
          </w:p>
        </w:tc>
        <w:tc>
          <w:tcPr>
            <w:tcW w:type="dxa" w:w="6676"/>
            <w:tcMar>
              <w:top w:type="dxa" w:w="60"/>
              <w:left w:type="dxa" w:w="100"/>
              <w:bottom w:type="dxa" w:w="60"/>
              <w:right w:type="dxa" w:w="100"/>
            </w:tcMar>
          </w:tcPr>
          <w:p>
            <w:pPr>
              <w:spacing w:after="0" w:before="0" w:line="252"/>
            </w:pPr>
            <w:r>
              <w:rPr>
                <w:sz w:val="19"/>
                <w:szCs w:val="19"/>
              </w:rPr>
              <w:t xml:space="preserve">Data minimization and deletion (SEC‑04); visibility that follows the sources (SEC‑08); approved models, endpoints and regions only (MR‑07); notice for people affected who aren't users (SEC‑19)</w:t>
            </w:r>
          </w:p>
        </w:tc>
      </w:tr>
      <w:tr>
        <w:trPr>
          <w:tblHeader w:val="off"/>
        </w:trPr>
        <w:tc>
          <w:tcPr>
            <w:tcW w:type="dxa" w:w="2684"/>
            <w:tcMar>
              <w:top w:type="dxa" w:w="60"/>
              <w:left w:type="dxa" w:w="100"/>
              <w:bottom w:type="dxa" w:w="60"/>
              <w:right w:type="dxa" w:w="100"/>
            </w:tcMar>
          </w:tcPr>
          <w:p>
            <w:pPr>
              <w:spacing w:after="0" w:before="0" w:line="252"/>
            </w:pPr>
            <w:r>
              <w:rPr>
                <w:sz w:val="19"/>
                <w:szCs w:val="19"/>
              </w:rPr>
              <w:t xml:space="preserve">Fair, with harmful bias managed</w:t>
            </w:r>
          </w:p>
        </w:tc>
        <w:tc>
          <w:tcPr>
            <w:tcW w:type="dxa" w:w="6676"/>
            <w:tcMar>
              <w:top w:type="dxa" w:w="60"/>
              <w:left w:type="dxa" w:w="100"/>
              <w:bottom w:type="dxa" w:w="60"/>
              <w:right w:type="dxa" w:w="100"/>
            </w:tcMar>
          </w:tcPr>
          <w:p>
            <w:pPr>
              <w:spacing w:after="0" w:before="0" w:line="252"/>
            </w:pPr>
            <w:r>
              <w:rPr>
                <w:sz w:val="19"/>
                <w:szCs w:val="19"/>
              </w:rPr>
              <w:t xml:space="preserve">Evaluation stratified by sender category, so miss and error rates can be compared across senders (SUP‑06). The beta's automatic decisions about senders are limited to triage, identity confidence and throttling (ASG‑15, ASG‑17); the evaluation set samples what triage drops (SUP‑06), and every change Collicity makes is approved by a person</w:t>
            </w:r>
          </w:p>
        </w:tc>
      </w:tr>
    </w:tbl>
    <w:p>
      <w:pPr>
        <w:spacing w:after="60"/>
      </w:pPr>
    </w:p>
    <w:p>
      <w:pPr>
        <w:pStyle w:val="Heading1"/>
        <w:keepNext/>
      </w:pPr>
      <w:r>
        <w:t xml:space="preserve">3. Core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2"/>
        <w:gridCol w:w="3654"/>
        <w:gridCol w:w="2684"/>
      </w:tblGrid>
      <w:tr>
        <w:trPr>
          <w:tblHeader/>
        </w:trPr>
        <w:tc>
          <w:tcPr>
            <w:tcW w:type="dxa" w:w="3022"/>
            <w:shd w:fill="F2F2F2" w:color="auto" w:val="clear"/>
            <w:tcMar>
              <w:top w:type="dxa" w:w="60"/>
              <w:left w:type="dxa" w:w="100"/>
              <w:bottom w:type="dxa" w:w="60"/>
              <w:right w:type="dxa" w:w="100"/>
            </w:tcMar>
          </w:tcPr>
          <w:p>
            <w:pPr>
              <w:spacing w:after="0" w:before="0" w:line="252"/>
            </w:pPr>
            <w:r>
              <w:rPr>
                <w:b/>
                <w:bCs/>
                <w:sz w:val="19"/>
                <w:szCs w:val="19"/>
              </w:rPr>
              <w:t xml:space="preserve">Category</w:t>
            </w:r>
          </w:p>
        </w:tc>
        <w:tc>
          <w:tcPr>
            <w:tcW w:type="dxa" w:w="3654"/>
            <w:shd w:fill="F2F2F2" w:color="auto" w:val="clear"/>
            <w:tcMar>
              <w:top w:type="dxa" w:w="60"/>
              <w:left w:type="dxa" w:w="100"/>
              <w:bottom w:type="dxa" w:w="60"/>
              <w:right w:type="dxa" w:w="100"/>
            </w:tcMar>
          </w:tcPr>
          <w:p>
            <w:pPr>
              <w:spacing w:after="0" w:before="0" w:line="252"/>
            </w:pPr>
            <w:r>
              <w:rPr>
                <w:b/>
                <w:bCs/>
                <w:sz w:val="19"/>
                <w:szCs w:val="19"/>
              </w:rPr>
              <w:t xml:space="preserve">How Collicity addresses it</w:t>
            </w:r>
          </w:p>
        </w:tc>
        <w:tc>
          <w:tcPr>
            <w:tcW w:type="dxa" w:w="2684"/>
            <w:shd w:fill="F2F2F2" w:color="auto" w:val="clear"/>
            <w:tcMar>
              <w:top w:type="dxa" w:w="60"/>
              <w:left w:type="dxa" w:w="100"/>
              <w:bottom w:type="dxa" w:w="60"/>
              <w:right w:type="dxa" w:w="100"/>
            </w:tcMar>
          </w:tcPr>
          <w:p>
            <w:pPr>
              <w:spacing w:after="0" w:before="0" w:line="252"/>
            </w:pPr>
            <w:r>
              <w:rPr>
                <w:b/>
                <w:bCs/>
                <w:sz w:val="19"/>
                <w:szCs w:val="19"/>
              </w:rPr>
              <w:t xml:space="preserve">Gaps and notes</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GOVERN 1:</w:t>
            </w:r>
            <w:r>
              <w:rPr>
                <w:sz w:val="19"/>
                <w:szCs w:val="19"/>
              </w:rPr>
              <w:t xml:space="preserve"> policies and practices for AI risk are in place and followed</w:t>
            </w:r>
          </w:p>
        </w:tc>
        <w:tc>
          <w:tcPr>
            <w:tcW w:type="dxa" w:w="3654"/>
            <w:tcMar>
              <w:top w:type="dxa" w:w="60"/>
              <w:left w:type="dxa" w:w="100"/>
              <w:bottom w:type="dxa" w:w="60"/>
              <w:right w:type="dxa" w:w="100"/>
            </w:tcMar>
          </w:tcPr>
          <w:p>
            <w:pPr>
              <w:spacing w:after="0" w:before="0" w:line="252"/>
            </w:pPr>
            <w:r>
              <w:rPr>
                <w:sz w:val="19"/>
                <w:szCs w:val="19"/>
              </w:rPr>
              <w:t xml:space="preserve">Master rules, invariants, release tests and detection rules (spec §1, §19); a security review for every rule change</w:t>
            </w:r>
          </w:p>
        </w:tc>
        <w:tc>
          <w:tcPr>
            <w:tcW w:type="dxa" w:w="2684"/>
            <w:tcMar>
              <w:top w:type="dxa" w:w="60"/>
              <w:left w:type="dxa" w:w="100"/>
              <w:bottom w:type="dxa" w:w="60"/>
              <w:right w:type="dxa" w:w="100"/>
            </w:tcMar>
          </w:tcPr>
          <w:p>
            <w:pPr>
              <w:spacing w:after="0" w:before="0" w:line="252"/>
            </w:pPr>
            <w:r>
              <w:rPr>
                <w:sz w:val="19"/>
                <w:szCs w:val="19"/>
              </w:rPr>
              <w:t xml:space="preserve">Risk tolerance recorded (SEC‑21, at GA); a company AI policy is still to write (§6 below)</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GOVERN 2:</w:t>
            </w:r>
            <w:r>
              <w:rPr>
                <w:sz w:val="19"/>
                <w:szCs w:val="19"/>
              </w:rPr>
              <w:t xml:space="preserve"> accountability; people are empowered, responsible and trained</w:t>
            </w:r>
          </w:p>
        </w:tc>
        <w:tc>
          <w:tcPr>
            <w:tcW w:type="dxa" w:w="3654"/>
            <w:tcMar>
              <w:top w:type="dxa" w:w="60"/>
              <w:left w:type="dxa" w:w="100"/>
              <w:bottom w:type="dxa" w:w="60"/>
              <w:right w:type="dxa" w:w="100"/>
            </w:tcMar>
          </w:tcPr>
          <w:p>
            <w:pPr>
              <w:spacing w:after="0" w:before="0" w:line="252"/>
            </w:pPr>
            <w:r>
              <w:rPr>
                <w:sz w:val="19"/>
                <w:szCs w:val="19"/>
              </w:rPr>
              <w:t xml:space="preserve">Roles (ADM‑01, §18.1); the product owner signs off rule changes; custodians (RUN‑06); approver authority (ASG‑25)</w:t>
            </w:r>
          </w:p>
        </w:tc>
        <w:tc>
          <w:tcPr>
            <w:tcW w:type="dxa" w:w="2684"/>
            <w:tcMar>
              <w:top w:type="dxa" w:w="60"/>
              <w:left w:type="dxa" w:w="100"/>
              <w:bottom w:type="dxa" w:w="60"/>
              <w:right w:type="dxa" w:w="100"/>
            </w:tcMar>
          </w:tcPr>
          <w:p>
            <w:pPr>
              <w:spacing w:after="0" w:before="0" w:line="252"/>
            </w:pPr>
            <w:r>
              <w:rPr>
                <w:sz w:val="19"/>
                <w:szCs w:val="19"/>
              </w:rPr>
              <w:t xml:space="preserve">Training is a company action (§6 below)</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GOVERN 3:</w:t>
            </w:r>
            <w:r>
              <w:rPr>
                <w:sz w:val="19"/>
                <w:szCs w:val="19"/>
              </w:rPr>
              <w:t xml:space="preserve"> workforce diversity, equity, inclusion and accessibility inform AI risk work</w:t>
            </w:r>
          </w:p>
        </w:tc>
        <w:tc>
          <w:tcPr>
            <w:tcW w:type="dxa" w:w="3654"/>
            <w:tcMar>
              <w:top w:type="dxa" w:w="60"/>
              <w:left w:type="dxa" w:w="100"/>
              <w:bottom w:type="dxa" w:w="60"/>
              <w:right w:type="dxa" w:w="100"/>
            </w:tcMar>
          </w:tcPr>
          <w:p>
            <w:pPr>
              <w:spacing w:after="0" w:before="0" w:line="252"/>
            </w:pPr>
            <w:r>
              <w:rPr>
                <w:sz w:val="19"/>
                <w:szCs w:val="19"/>
              </w:rPr>
              <w:t xml:space="preserve">Accessibility: WCAG 2.2 AA on every client (PLT‑06)</w:t>
            </w:r>
          </w:p>
        </w:tc>
        <w:tc>
          <w:tcPr>
            <w:tcW w:type="dxa" w:w="2684"/>
            <w:tcMar>
              <w:top w:type="dxa" w:w="60"/>
              <w:left w:type="dxa" w:w="100"/>
              <w:bottom w:type="dxa" w:w="60"/>
              <w:right w:type="dxa" w:w="100"/>
            </w:tcMar>
          </w:tcPr>
          <w:p>
            <w:pPr>
              <w:spacing w:after="0" w:before="0" w:line="252"/>
            </w:pPr>
            <w:r>
              <w:rPr>
                <w:sz w:val="19"/>
                <w:szCs w:val="19"/>
              </w:rPr>
              <w:t xml:space="preserve">Company action (§6 below)</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GOVERN 4:</w:t>
            </w:r>
            <w:r>
              <w:rPr>
                <w:sz w:val="19"/>
                <w:szCs w:val="19"/>
              </w:rPr>
              <w:t xml:space="preserve"> a culture that considers and communicates AI risk</w:t>
            </w:r>
          </w:p>
        </w:tc>
        <w:tc>
          <w:tcPr>
            <w:tcW w:type="dxa" w:w="3654"/>
            <w:tcMar>
              <w:top w:type="dxa" w:w="60"/>
              <w:left w:type="dxa" w:w="100"/>
              <w:bottom w:type="dxa" w:w="60"/>
              <w:right w:type="dxa" w:w="100"/>
            </w:tcMar>
          </w:tcPr>
          <w:p>
            <w:pPr>
              <w:spacing w:after="0" w:before="0" w:line="252"/>
            </w:pPr>
            <w:r>
              <w:rPr>
                <w:sz w:val="19"/>
                <w:szCs w:val="19"/>
              </w:rPr>
              <w:t xml:space="preserve">A threat model per feature (SEC‑02); decisions and open questions recorded (spec §21)</w:t>
            </w:r>
          </w:p>
        </w:tc>
        <w:tc>
          <w:tcPr>
            <w:tcW w:type="dxa" w:w="2684"/>
            <w:tcMar>
              <w:top w:type="dxa" w:w="60"/>
              <w:left w:type="dxa" w:w="100"/>
              <w:bottom w:type="dxa" w:w="60"/>
              <w:right w:type="dxa" w:w="100"/>
            </w:tcMar>
          </w:tcPr>
          <w:p>
            <w:pPr>
              <w:spacing w:after="0" w:before="0" w:line="252"/>
            </w:pPr>
            <w:r>
              <w:rPr>
                <w:sz w:val="19"/>
                <w:szCs w:val="19"/>
              </w:rPr>
              <w:t xml:space="preserve">Company action (§6 below)</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GOVERN 5:</w:t>
            </w:r>
            <w:r>
              <w:rPr>
                <w:sz w:val="19"/>
                <w:szCs w:val="19"/>
              </w:rPr>
              <w:t xml:space="preserve"> engagement with relevant AI actors</w:t>
            </w:r>
          </w:p>
        </w:tc>
        <w:tc>
          <w:tcPr>
            <w:tcW w:type="dxa" w:w="3654"/>
            <w:tcMar>
              <w:top w:type="dxa" w:w="60"/>
              <w:left w:type="dxa" w:w="100"/>
              <w:bottom w:type="dxa" w:w="60"/>
              <w:right w:type="dxa" w:w="100"/>
            </w:tcMar>
          </w:tcPr>
          <w:p>
            <w:pPr>
              <w:spacing w:after="0" w:before="0" w:line="252"/>
            </w:pPr>
            <w:r>
              <w:rPr>
                <w:sz w:val="19"/>
                <w:szCs w:val="19"/>
              </w:rPr>
              <w:t xml:space="preserve">Design partners (spec §18.1); outside feedback (SEC‑22); bot-verification programs (CON‑20)</w:t>
            </w:r>
          </w:p>
        </w:tc>
        <w:tc>
          <w:tcPr>
            <w:tcW w:type="dxa" w:w="2684"/>
            <w:tcMar>
              <w:top w:type="dxa" w:w="60"/>
              <w:left w:type="dxa" w:w="100"/>
              <w:bottom w:type="dxa" w:w="60"/>
              <w:right w:type="dxa" w:w="100"/>
            </w:tcMar>
          </w:tcPr>
          <w:p>
            <w:pPr>
              <w:spacing w:after="0" w:before="0" w:line="252"/>
            </w:pPr>
            <w:r>
              <w:rPr>
                <w:sz w:val="19"/>
                <w:szCs w:val="19"/>
              </w:rPr>
              <w:t xml:space="preserve">Closed in v0.19 (SEC‑22)</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GOVERN 6:</w:t>
            </w:r>
            <w:r>
              <w:rPr>
                <w:sz w:val="19"/>
                <w:szCs w:val="19"/>
              </w:rPr>
              <w:t xml:space="preserve"> third-party software, data and supply-chain risk</w:t>
            </w:r>
          </w:p>
        </w:tc>
        <w:tc>
          <w:tcPr>
            <w:tcW w:type="dxa" w:w="3654"/>
            <w:tcMar>
              <w:top w:type="dxa" w:w="60"/>
              <w:left w:type="dxa" w:w="100"/>
              <w:bottom w:type="dxa" w:w="60"/>
              <w:right w:type="dxa" w:w="100"/>
            </w:tcMar>
          </w:tcPr>
          <w:p>
            <w:pPr>
              <w:spacing w:after="0" w:before="0" w:line="252"/>
            </w:pPr>
            <w:r>
              <w:rPr>
                <w:sz w:val="19"/>
                <w:szCs w:val="19"/>
              </w:rPr>
              <w:t xml:space="preserve">Model and supplier risk (PRV‑06); signed connector manifests, pinned tool descriptions and admin approval (CON‑12, CON‑13, CON‑15); provider data terms (PRV‑05)</w:t>
            </w:r>
          </w:p>
        </w:tc>
        <w:tc>
          <w:tcPr>
            <w:tcW w:type="dxa" w:w="2684"/>
            <w:tcMar>
              <w:top w:type="dxa" w:w="60"/>
              <w:left w:type="dxa" w:w="100"/>
              <w:bottom w:type="dxa" w:w="60"/>
              <w:right w:type="dxa" w:w="100"/>
            </w:tcMar>
          </w:tcPr>
          <w:p>
            <w:pPr>
              <w:spacing w:after="0" w:before="0" w:line="252"/>
            </w:pPr>
            <w:r>
              <w:rPr>
                <w:sz w:val="19"/>
                <w:szCs w:val="19"/>
              </w:rPr>
              <w:t xml:space="preserve">Closed in v0.19 (PRV‑06)</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MAP 1:</w:t>
            </w:r>
            <w:r>
              <w:rPr>
                <w:sz w:val="19"/>
                <w:szCs w:val="19"/>
              </w:rPr>
              <w:t xml:space="preserve"> context is established and understood</w:t>
            </w:r>
          </w:p>
        </w:tc>
        <w:tc>
          <w:tcPr>
            <w:tcW w:type="dxa" w:w="3654"/>
            <w:tcMar>
              <w:top w:type="dxa" w:w="60"/>
              <w:left w:type="dxa" w:w="100"/>
              <w:bottom w:type="dxa" w:w="60"/>
              <w:right w:type="dxa" w:w="100"/>
            </w:tcMar>
          </w:tcPr>
          <w:p>
            <w:pPr>
              <w:spacing w:after="0" w:before="0" w:line="252"/>
            </w:pPr>
            <w:r>
              <w:rPr>
                <w:sz w:val="19"/>
                <w:szCs w:val="19"/>
              </w:rPr>
              <w:t xml:space="preserve">Personas, goals and non-goals (spec §2, §3); the beta contract (spec §18.1)</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MAP 2:</w:t>
            </w:r>
            <w:r>
              <w:rPr>
                <w:sz w:val="19"/>
                <w:szCs w:val="19"/>
              </w:rPr>
              <w:t xml:space="preserve"> the AI system is categorized</w:t>
            </w:r>
          </w:p>
        </w:tc>
        <w:tc>
          <w:tcPr>
            <w:tcW w:type="dxa" w:w="3654"/>
            <w:tcMar>
              <w:top w:type="dxa" w:w="60"/>
              <w:left w:type="dxa" w:w="100"/>
              <w:bottom w:type="dxa" w:w="60"/>
              <w:right w:type="dxa" w:w="100"/>
            </w:tcMar>
          </w:tcPr>
          <w:p>
            <w:pPr>
              <w:spacing w:after="0" w:before="0" w:line="252"/>
            </w:pPr>
            <w:r>
              <w:rPr>
                <w:sz w:val="19"/>
                <w:szCs w:val="19"/>
              </w:rPr>
              <w:t xml:space="preserve">Task types and criticality (INV‑02, RTR‑02); impact tiers (RUN‑04); data classes (spec §15)</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MAP 3:</w:t>
            </w:r>
            <w:r>
              <w:rPr>
                <w:sz w:val="19"/>
                <w:szCs w:val="19"/>
              </w:rPr>
              <w:t xml:space="preserve"> capabilities, goals, benefits and costs are understood against benchmarks</w:t>
            </w:r>
          </w:p>
        </w:tc>
        <w:tc>
          <w:tcPr>
            <w:tcW w:type="dxa" w:w="3654"/>
            <w:tcMar>
              <w:top w:type="dxa" w:w="60"/>
              <w:left w:type="dxa" w:w="100"/>
              <w:bottom w:type="dxa" w:w="60"/>
              <w:right w:type="dxa" w:w="100"/>
            </w:tcMar>
          </w:tcPr>
          <w:p>
            <w:pPr>
              <w:spacing w:after="0" w:before="0" w:line="252"/>
            </w:pPr>
            <w:r>
              <w:rPr>
                <w:sz w:val="19"/>
                <w:szCs w:val="19"/>
              </w:rPr>
              <w:t xml:space="preserve">Cost against a frontier-only baseline (G3); time saved against a week-0 baseline (G6)</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MAP 4:</w:t>
            </w:r>
            <w:r>
              <w:rPr>
                <w:sz w:val="19"/>
                <w:szCs w:val="19"/>
              </w:rPr>
              <w:t xml:space="preserve"> risks are mapped for every component, third parties included</w:t>
            </w:r>
          </w:p>
        </w:tc>
        <w:tc>
          <w:tcPr>
            <w:tcW w:type="dxa" w:w="3654"/>
            <w:tcMar>
              <w:top w:type="dxa" w:w="60"/>
              <w:left w:type="dxa" w:w="100"/>
              <w:bottom w:type="dxa" w:w="60"/>
              <w:right w:type="dxa" w:w="100"/>
            </w:tcMar>
          </w:tcPr>
          <w:p>
            <w:pPr>
              <w:spacing w:after="0" w:before="0" w:line="252"/>
            </w:pPr>
            <w:r>
              <w:rPr>
                <w:sz w:val="19"/>
                <w:szCs w:val="19"/>
              </w:rPr>
              <w:t xml:space="preserve">The threat table (spec §15); per-connector manifests (CON‑12); supplier assessments (PRV‑06)</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MAP 5:</w:t>
            </w:r>
            <w:r>
              <w:rPr>
                <w:sz w:val="19"/>
                <w:szCs w:val="19"/>
              </w:rPr>
              <w:t xml:space="preserve"> impacts on individuals, groups, communities and society are characterized</w:t>
            </w:r>
          </w:p>
        </w:tc>
        <w:tc>
          <w:tcPr>
            <w:tcW w:type="dxa" w:w="3654"/>
            <w:tcMar>
              <w:top w:type="dxa" w:w="60"/>
              <w:left w:type="dxa" w:w="100"/>
              <w:bottom w:type="dxa" w:w="60"/>
              <w:right w:type="dxa" w:w="100"/>
            </w:tcMar>
          </w:tcPr>
          <w:p>
            <w:pPr>
              <w:spacing w:after="0" w:before="0" w:line="252"/>
            </w:pPr>
            <w:r>
              <w:rPr>
                <w:sz w:val="19"/>
                <w:szCs w:val="19"/>
              </w:rPr>
              <w:t xml:space="preserve">People affected who aren't users (SEC‑19); evaluation by sender category (SUP‑06)</w:t>
            </w:r>
          </w:p>
        </w:tc>
        <w:tc>
          <w:tcPr>
            <w:tcW w:type="dxa" w:w="2684"/>
            <w:tcMar>
              <w:top w:type="dxa" w:w="60"/>
              <w:left w:type="dxa" w:w="100"/>
              <w:bottom w:type="dxa" w:w="60"/>
              <w:right w:type="dxa" w:w="100"/>
            </w:tcMar>
          </w:tcPr>
          <w:p>
            <w:pPr>
              <w:spacing w:after="0" w:before="0" w:line="252"/>
            </w:pPr>
            <w:r>
              <w:rPr>
                <w:sz w:val="19"/>
                <w:szCs w:val="19"/>
              </w:rPr>
              <w:t xml:space="preserve">Closed in v0.19 for people who aren't users (SEC‑19); impacts beyond customers and their correspondents aren't assessed</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MEASURE 1:</w:t>
            </w:r>
            <w:r>
              <w:rPr>
                <w:sz w:val="19"/>
                <w:szCs w:val="19"/>
              </w:rPr>
              <w:t xml:space="preserve"> methods and metrics are chosen and applied</w:t>
            </w:r>
          </w:p>
        </w:tc>
        <w:tc>
          <w:tcPr>
            <w:tcW w:type="dxa" w:w="3654"/>
            <w:tcMar>
              <w:top w:type="dxa" w:w="60"/>
              <w:left w:type="dxa" w:w="100"/>
              <w:bottom w:type="dxa" w:w="60"/>
              <w:right w:type="dxa" w:w="100"/>
            </w:tcMar>
          </w:tcPr>
          <w:p>
            <w:pPr>
              <w:spacing w:after="0" w:before="0" w:line="252"/>
            </w:pPr>
            <w:r>
              <w:rPr>
                <w:sz w:val="19"/>
                <w:szCs w:val="19"/>
              </w:rPr>
              <w:t xml:space="preserve">Evidence classes (spec §9.2); metrics and guardrails (spec §19); master-rule checks</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MEASURE 2:</w:t>
            </w:r>
            <w:r>
              <w:rPr>
                <w:sz w:val="19"/>
                <w:szCs w:val="19"/>
              </w:rPr>
              <w:t xml:space="preserve"> the system is evaluated for trustworthiness</w:t>
            </w:r>
          </w:p>
        </w:tc>
        <w:tc>
          <w:tcPr>
            <w:tcW w:type="dxa" w:w="3654"/>
            <w:tcMar>
              <w:top w:type="dxa" w:w="60"/>
              <w:left w:type="dxa" w:w="100"/>
              <w:bottom w:type="dxa" w:w="60"/>
              <w:right w:type="dxa" w:w="100"/>
            </w:tcMar>
          </w:tcPr>
          <w:p>
            <w:pPr>
              <w:spacing w:after="0" w:before="0" w:line="252"/>
            </w:pPr>
            <w:r>
              <w:rPr>
                <w:sz w:val="19"/>
                <w:szCs w:val="19"/>
              </w:rPr>
              <w:t xml:space="preserve">The evaluation set (SUP‑06); the red-team suite (SEC‑02); invariant suites</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MEASURE 3:</w:t>
            </w:r>
            <w:r>
              <w:rPr>
                <w:sz w:val="19"/>
                <w:szCs w:val="19"/>
              </w:rPr>
              <w:t xml:space="preserve"> identified risks are tracked over time</w:t>
            </w:r>
          </w:p>
        </w:tc>
        <w:tc>
          <w:tcPr>
            <w:tcW w:type="dxa" w:w="3654"/>
            <w:tcMar>
              <w:top w:type="dxa" w:w="60"/>
              <w:left w:type="dxa" w:w="100"/>
              <w:bottom w:type="dxa" w:w="60"/>
              <w:right w:type="dxa" w:w="100"/>
            </w:tcMar>
          </w:tcPr>
          <w:p>
            <w:pPr>
              <w:spacing w:after="0" w:before="0" w:line="252"/>
            </w:pPr>
            <w:r>
              <w:rPr>
                <w:sz w:val="19"/>
                <w:szCs w:val="19"/>
              </w:rPr>
              <w:t xml:space="preserve">The model inventory (INV‑01 to INV‑07); guardrail dashboards and detection rules (spec §19); outside reports (SEC‑22)</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MEASURE 4:</w:t>
            </w:r>
            <w:r>
              <w:rPr>
                <w:sz w:val="19"/>
                <w:szCs w:val="19"/>
              </w:rPr>
              <w:t xml:space="preserve"> feedback on whether measurement works is gathered</w:t>
            </w:r>
          </w:p>
        </w:tc>
        <w:tc>
          <w:tcPr>
            <w:tcW w:type="dxa" w:w="3654"/>
            <w:tcMar>
              <w:top w:type="dxa" w:w="60"/>
              <w:left w:type="dxa" w:w="100"/>
              <w:bottom w:type="dxa" w:w="60"/>
              <w:right w:type="dxa" w:w="100"/>
            </w:tcMar>
          </w:tcPr>
          <w:p>
            <w:pPr>
              <w:spacing w:after="0" w:before="0" w:line="252"/>
            </w:pPr>
            <w:r>
              <w:rPr>
                <w:sz w:val="19"/>
                <w:szCs w:val="19"/>
              </w:rPr>
              <w:t xml:space="preserve">Supervisor precision and recall against the evaluation set (spec §19); approval quality (ASG‑27); outside feedback (SEC‑22)</w:t>
            </w:r>
          </w:p>
        </w:tc>
        <w:tc>
          <w:tcPr>
            <w:tcW w:type="dxa" w:w="2684"/>
            <w:tcMar>
              <w:top w:type="dxa" w:w="60"/>
              <w:left w:type="dxa" w:w="100"/>
              <w:bottom w:type="dxa" w:w="60"/>
              <w:right w:type="dxa" w:w="100"/>
            </w:tcMar>
          </w:tcPr>
          <w:p>
            <w:pPr>
              <w:spacing w:after="0" w:before="0" w:line="252"/>
            </w:pPr>
            <w:r>
              <w:rPr>
                <w:sz w:val="19"/>
                <w:szCs w:val="19"/>
              </w:rPr>
              <w:t xml:space="preserve">Closed in v0.19 (ASG‑27)</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MANAGE 1:</w:t>
            </w:r>
            <w:r>
              <w:rPr>
                <w:sz w:val="19"/>
                <w:szCs w:val="19"/>
              </w:rPr>
              <w:t xml:space="preserve"> risks are prioritized and treated</w:t>
            </w:r>
          </w:p>
        </w:tc>
        <w:tc>
          <w:tcPr>
            <w:tcW w:type="dxa" w:w="3654"/>
            <w:tcMar>
              <w:top w:type="dxa" w:w="60"/>
              <w:left w:type="dxa" w:w="100"/>
              <w:bottom w:type="dxa" w:w="60"/>
              <w:right w:type="dxa" w:w="100"/>
            </w:tcMar>
          </w:tcPr>
          <w:p>
            <w:pPr>
              <w:spacing w:after="0" w:before="0" w:line="252"/>
            </w:pPr>
            <w:r>
              <w:rPr>
                <w:sz w:val="19"/>
                <w:szCs w:val="19"/>
              </w:rPr>
              <w:t xml:space="preserve">Tiers and hard lines (spec §1); approvals and mandates (ASG‑11, ASG‑24); recorded risk tolerance (SEC‑21, at GA)</w:t>
            </w:r>
          </w:p>
        </w:tc>
        <w:tc>
          <w:tcPr>
            <w:tcW w:type="dxa" w:w="2684"/>
            <w:tcMar>
              <w:top w:type="dxa" w:w="60"/>
              <w:left w:type="dxa" w:w="100"/>
              <w:bottom w:type="dxa" w:w="60"/>
              <w:right w:type="dxa" w:w="100"/>
            </w:tcMar>
          </w:tcPr>
          <w:p>
            <w:pPr>
              <w:spacing w:after="0" w:before="0" w:line="252"/>
            </w:pPr>
            <w:r>
              <w:rPr>
                <w:sz w:val="19"/>
                <w:szCs w:val="19"/>
              </w:rPr>
              <w:t xml:space="preserve">Specified in v0.19 (SEC‑21, P1, built at GA)</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MANAGE 2:</w:t>
            </w:r>
            <w:r>
              <w:rPr>
                <w:sz w:val="19"/>
                <w:szCs w:val="19"/>
              </w:rPr>
              <w:t xml:space="preserve"> benefits are maximized and harms minimized, including the ability to disengage or deactivate</w:t>
            </w:r>
          </w:p>
        </w:tc>
        <w:tc>
          <w:tcPr>
            <w:tcW w:type="dxa" w:w="3654"/>
            <w:tcMar>
              <w:top w:type="dxa" w:w="60"/>
              <w:left w:type="dxa" w:w="100"/>
              <w:bottom w:type="dxa" w:w="60"/>
              <w:right w:type="dxa" w:w="100"/>
            </w:tcMar>
          </w:tcPr>
          <w:p>
            <w:pPr>
              <w:spacing w:after="0" w:before="0" w:line="252"/>
            </w:pPr>
            <w:r>
              <w:rPr>
                <w:sz w:val="19"/>
                <w:szCs w:val="19"/>
              </w:rPr>
              <w:t xml:space="preserve">The kill switch (ASG‑13); mandate suspension (ASG‑24); alpha features that switch off without a release (spec §1)</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MANAGE 3:</w:t>
            </w:r>
            <w:r>
              <w:rPr>
                <w:sz w:val="19"/>
                <w:szCs w:val="19"/>
              </w:rPr>
              <w:t xml:space="preserve"> third-party risks are managed</w:t>
            </w:r>
          </w:p>
        </w:tc>
        <w:tc>
          <w:tcPr>
            <w:tcW w:type="dxa" w:w="3654"/>
            <w:tcMar>
              <w:top w:type="dxa" w:w="60"/>
              <w:left w:type="dxa" w:w="100"/>
              <w:bottom w:type="dxa" w:w="60"/>
              <w:right w:type="dxa" w:w="100"/>
            </w:tcMar>
          </w:tcPr>
          <w:p>
            <w:pPr>
              <w:spacing w:after="0" w:before="0" w:line="252"/>
            </w:pPr>
            <w:r>
              <w:rPr>
                <w:sz w:val="19"/>
                <w:szCs w:val="19"/>
              </w:rPr>
              <w:t xml:space="preserve">Supplier risk (PRV‑06); admin-approved custom connectors (CON‑15); per-version model records (INV‑03)</w:t>
            </w:r>
          </w:p>
        </w:tc>
        <w:tc>
          <w:tcPr>
            <w:tcW w:type="dxa" w:w="268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3022"/>
            <w:tcMar>
              <w:top w:type="dxa" w:w="60"/>
              <w:left w:type="dxa" w:w="100"/>
              <w:bottom w:type="dxa" w:w="60"/>
              <w:right w:type="dxa" w:w="100"/>
            </w:tcMar>
          </w:tcPr>
          <w:p>
            <w:pPr>
              <w:spacing w:after="0" w:before="0" w:line="252"/>
            </w:pPr>
            <w:r>
              <w:rPr>
                <w:b/>
                <w:bCs/>
                <w:sz w:val="19"/>
                <w:szCs w:val="19"/>
              </w:rPr>
              <w:t xml:space="preserve">MANAGE 4:</w:t>
            </w:r>
            <w:r>
              <w:rPr>
                <w:sz w:val="19"/>
                <w:szCs w:val="19"/>
              </w:rPr>
              <w:t xml:space="preserve"> response, recovery and communication are documented and monitored</w:t>
            </w:r>
          </w:p>
        </w:tc>
        <w:tc>
          <w:tcPr>
            <w:tcW w:type="dxa" w:w="3654"/>
            <w:tcMar>
              <w:top w:type="dxa" w:w="60"/>
              <w:left w:type="dxa" w:w="100"/>
              <w:bottom w:type="dxa" w:w="60"/>
              <w:right w:type="dxa" w:w="100"/>
            </w:tcMar>
          </w:tcPr>
          <w:p>
            <w:pPr>
              <w:spacing w:after="0" w:before="0" w:line="252"/>
            </w:pPr>
            <w:r>
              <w:rPr>
                <w:sz w:val="19"/>
                <w:szCs w:val="19"/>
              </w:rPr>
              <w:t xml:space="preserve">AI incidents with a 72-hour notice to tenants (SEC‑20); recovery and compensation (RUN‑06); the injection runbook (SEC‑02); retirement (SEC‑21)</w:t>
            </w:r>
          </w:p>
        </w:tc>
        <w:tc>
          <w:tcPr>
            <w:tcW w:type="dxa" w:w="2684"/>
            <w:tcMar>
              <w:top w:type="dxa" w:w="60"/>
              <w:left w:type="dxa" w:w="100"/>
              <w:bottom w:type="dxa" w:w="60"/>
              <w:right w:type="dxa" w:w="100"/>
            </w:tcMar>
          </w:tcPr>
          <w:p>
            <w:pPr>
              <w:spacing w:after="0" w:before="0" w:line="252"/>
            </w:pPr>
            <w:r>
              <w:rPr>
                <w:sz w:val="19"/>
                <w:szCs w:val="19"/>
              </w:rPr>
              <w:t xml:space="preserve">Closed in v0.19 (SEC‑20)</w:t>
            </w:r>
          </w:p>
        </w:tc>
      </w:tr>
    </w:tbl>
    <w:p>
      <w:pPr>
        <w:spacing w:after="60"/>
      </w:pPr>
    </w:p>
    <w:p>
      <w:pPr>
        <w:pStyle w:val="Heading1"/>
        <w:keepNext/>
      </w:pPr>
      <w:r>
        <w:t xml:space="preserve">4. Generative AI Profile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7"/>
        <w:gridCol w:w="2267"/>
        <w:gridCol w:w="4576"/>
      </w:tblGrid>
      <w:tr>
        <w:trPr>
          <w:tblHeader/>
        </w:trPr>
        <w:tc>
          <w:tcPr>
            <w:tcW w:type="dxa" w:w="2517"/>
            <w:shd w:fill="F2F2F2" w:color="auto" w:val="clear"/>
            <w:tcMar>
              <w:top w:type="dxa" w:w="60"/>
              <w:left w:type="dxa" w:w="100"/>
              <w:bottom w:type="dxa" w:w="60"/>
              <w:right w:type="dxa" w:w="100"/>
            </w:tcMar>
          </w:tcPr>
          <w:p>
            <w:pPr>
              <w:spacing w:after="0" w:before="0" w:line="252"/>
            </w:pPr>
            <w:r>
              <w:rPr>
                <w:b/>
                <w:bCs/>
                <w:sz w:val="19"/>
                <w:szCs w:val="19"/>
              </w:rPr>
              <w:t xml:space="preserve">Risk (NIST AI 600-1)</w:t>
            </w:r>
          </w:p>
        </w:tc>
        <w:tc>
          <w:tcPr>
            <w:tcW w:type="dxa" w:w="2267"/>
            <w:shd w:fill="F2F2F2" w:color="auto" w:val="clear"/>
            <w:tcMar>
              <w:top w:type="dxa" w:w="60"/>
              <w:left w:type="dxa" w:w="100"/>
              <w:bottom w:type="dxa" w:w="60"/>
              <w:right w:type="dxa" w:w="100"/>
            </w:tcMar>
          </w:tcPr>
          <w:p>
            <w:pPr>
              <w:spacing w:after="0" w:before="0" w:line="252"/>
            </w:pPr>
            <w:r>
              <w:rPr>
                <w:b/>
                <w:bCs/>
                <w:sz w:val="19"/>
                <w:szCs w:val="19"/>
              </w:rPr>
              <w:t xml:space="preserve">Relevance to Collicity</w:t>
            </w:r>
          </w:p>
        </w:tc>
        <w:tc>
          <w:tcPr>
            <w:tcW w:type="dxa" w:w="4576"/>
            <w:shd w:fill="F2F2F2" w:color="auto" w:val="clear"/>
            <w:tcMar>
              <w:top w:type="dxa" w:w="60"/>
              <w:left w:type="dxa" w:w="100"/>
              <w:bottom w:type="dxa" w:w="60"/>
              <w:right w:type="dxa" w:w="100"/>
            </w:tcMar>
          </w:tcPr>
          <w:p>
            <w:pPr>
              <w:spacing w:after="0" w:before="0" w:line="252"/>
            </w:pPr>
            <w:r>
              <w:rPr>
                <w:b/>
                <w:bCs/>
                <w:sz w:val="19"/>
                <w:szCs w:val="19"/>
              </w:rPr>
              <w:t xml:space="preserve">Controls</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CBRN information or capabilities</w:t>
            </w:r>
          </w:p>
        </w:tc>
        <w:tc>
          <w:tcPr>
            <w:tcW w:type="dxa" w:w="2267"/>
            <w:tcMar>
              <w:top w:type="dxa" w:w="60"/>
              <w:left w:type="dxa" w:w="100"/>
              <w:bottom w:type="dxa" w:w="60"/>
              <w:right w:type="dxa" w:w="100"/>
            </w:tcMar>
          </w:tcPr>
          <w:p>
            <w:pPr>
              <w:spacing w:after="0" w:before="0" w:line="252"/>
            </w:pPr>
            <w:r>
              <w:rPr>
                <w:sz w:val="19"/>
                <w:szCs w:val="19"/>
              </w:rPr>
              <w:t xml:space="preserve">Low: chat and Q&amp;A could be misused</w:t>
            </w:r>
          </w:p>
        </w:tc>
        <w:tc>
          <w:tcPr>
            <w:tcW w:type="dxa" w:w="4576"/>
            <w:tcMar>
              <w:top w:type="dxa" w:w="60"/>
              <w:left w:type="dxa" w:w="100"/>
              <w:bottom w:type="dxa" w:w="60"/>
              <w:right w:type="dxa" w:w="100"/>
            </w:tcMar>
          </w:tcPr>
          <w:p>
            <w:pPr>
              <w:spacing w:after="0" w:before="0" w:line="252"/>
            </w:pPr>
            <w:r>
              <w:rPr>
                <w:sz w:val="19"/>
                <w:szCs w:val="19"/>
              </w:rPr>
              <w:t xml:space="preserve">Provider safeguards; an acceptable-use policy (§6 below)</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Confabulation</w:t>
            </w:r>
          </w:p>
        </w:tc>
        <w:tc>
          <w:tcPr>
            <w:tcW w:type="dxa" w:w="2267"/>
            <w:tcMar>
              <w:top w:type="dxa" w:w="60"/>
              <w:left w:type="dxa" w:w="100"/>
              <w:bottom w:type="dxa" w:w="60"/>
              <w:right w:type="dxa" w:w="100"/>
            </w:tcMar>
          </w:tcPr>
          <w:p>
            <w:pPr>
              <w:spacing w:after="0" w:before="0" w:line="252"/>
            </w:pPr>
            <w:r>
              <w:rPr>
                <w:sz w:val="19"/>
                <w:szCs w:val="19"/>
              </w:rPr>
              <w:t xml:space="preserve">High: narrative, summaries and proposals</w:t>
            </w:r>
          </w:p>
        </w:tc>
        <w:tc>
          <w:tcPr>
            <w:tcW w:type="dxa" w:w="4576"/>
            <w:tcMar>
              <w:top w:type="dxa" w:w="60"/>
              <w:left w:type="dxa" w:w="100"/>
              <w:bottom w:type="dxa" w:w="60"/>
              <w:right w:type="dxa" w:w="100"/>
            </w:tcMar>
          </w:tcPr>
          <w:p>
            <w:pPr>
              <w:spacing w:after="0" w:before="0" w:line="252"/>
            </w:pPr>
            <w:r>
              <w:rPr>
                <w:sz w:val="19"/>
                <w:szCs w:val="19"/>
              </w:rPr>
              <w:t xml:space="preserve">Deterministic and grounded checks (SUP‑01, SUP‑02); quotes rendered from stored source snapshots (SUP‑01); cited answers (QA‑02); honest status (RUN‑08)</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Dangerous, violent or hateful content</w:t>
            </w:r>
          </w:p>
        </w:tc>
        <w:tc>
          <w:tcPr>
            <w:tcW w:type="dxa" w:w="2267"/>
            <w:tcMar>
              <w:top w:type="dxa" w:w="60"/>
              <w:left w:type="dxa" w:w="100"/>
              <w:bottom w:type="dxa" w:w="60"/>
              <w:right w:type="dxa" w:w="100"/>
            </w:tcMar>
          </w:tcPr>
          <w:p>
            <w:pPr>
              <w:spacing w:after="0" w:before="0" w:line="252"/>
            </w:pPr>
            <w:r>
              <w:rPr>
                <w:sz w:val="19"/>
                <w:szCs w:val="19"/>
              </w:rPr>
              <w:t xml:space="preserve">Low</w:t>
            </w:r>
          </w:p>
        </w:tc>
        <w:tc>
          <w:tcPr>
            <w:tcW w:type="dxa" w:w="4576"/>
            <w:tcMar>
              <w:top w:type="dxa" w:w="60"/>
              <w:left w:type="dxa" w:w="100"/>
              <w:bottom w:type="dxa" w:w="60"/>
              <w:right w:type="dxa" w:w="100"/>
            </w:tcMar>
          </w:tcPr>
          <w:p>
            <w:pPr>
              <w:spacing w:after="0" w:before="0" w:line="252"/>
            </w:pPr>
            <w:r>
              <w:rPr>
                <w:sz w:val="19"/>
                <w:szCs w:val="19"/>
              </w:rPr>
              <w:t xml:space="preserve">Provider safeguards; an acceptable-use policy (§6 below)</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Data privacy</w:t>
            </w:r>
          </w:p>
        </w:tc>
        <w:tc>
          <w:tcPr>
            <w:tcW w:type="dxa" w:w="2267"/>
            <w:tcMar>
              <w:top w:type="dxa" w:w="60"/>
              <w:left w:type="dxa" w:w="100"/>
              <w:bottom w:type="dxa" w:w="60"/>
              <w:right w:type="dxa" w:w="100"/>
            </w:tcMar>
          </w:tcPr>
          <w:p>
            <w:pPr>
              <w:spacing w:after="0" w:before="0" w:line="252"/>
            </w:pPr>
            <w:r>
              <w:rPr>
                <w:sz w:val="19"/>
                <w:szCs w:val="19"/>
              </w:rPr>
              <w:t xml:space="preserve">High: mail and documents about third parties</w:t>
            </w:r>
          </w:p>
        </w:tc>
        <w:tc>
          <w:tcPr>
            <w:tcW w:type="dxa" w:w="4576"/>
            <w:tcMar>
              <w:top w:type="dxa" w:w="60"/>
              <w:left w:type="dxa" w:w="100"/>
              <w:bottom w:type="dxa" w:w="60"/>
              <w:right w:type="dxa" w:w="100"/>
            </w:tcMar>
          </w:tcPr>
          <w:p>
            <w:pPr>
              <w:spacing w:after="0" w:before="0" w:line="252"/>
            </w:pPr>
            <w:r>
              <w:rPr>
                <w:sz w:val="19"/>
                <w:szCs w:val="19"/>
              </w:rPr>
              <w:t xml:space="preserve">SEC‑04, SEC‑08, MR‑07, data classes (spec §15); notice for people affected (SEC‑19)</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Environmental impacts</w:t>
            </w:r>
          </w:p>
        </w:tc>
        <w:tc>
          <w:tcPr>
            <w:tcW w:type="dxa" w:w="2267"/>
            <w:tcMar>
              <w:top w:type="dxa" w:w="60"/>
              <w:left w:type="dxa" w:w="100"/>
              <w:bottom w:type="dxa" w:w="60"/>
              <w:right w:type="dxa" w:w="100"/>
            </w:tcMar>
          </w:tcPr>
          <w:p>
            <w:pPr>
              <w:spacing w:after="0" w:before="0" w:line="252"/>
            </w:pPr>
            <w:r>
              <w:rPr>
                <w:sz w:val="19"/>
                <w:szCs w:val="19"/>
              </w:rPr>
              <w:t xml:space="preserve">Low</w:t>
            </w:r>
          </w:p>
        </w:tc>
        <w:tc>
          <w:tcPr>
            <w:tcW w:type="dxa" w:w="4576"/>
            <w:tcMar>
              <w:top w:type="dxa" w:w="60"/>
              <w:left w:type="dxa" w:w="100"/>
              <w:bottom w:type="dxa" w:w="60"/>
              <w:right w:type="dxa" w:w="100"/>
            </w:tcMar>
          </w:tcPr>
          <w:p>
            <w:pPr>
              <w:spacing w:after="0" w:before="0" w:line="252"/>
            </w:pPr>
            <w:r>
              <w:rPr>
                <w:sz w:val="19"/>
                <w:szCs w:val="19"/>
              </w:rPr>
              <w:t xml:space="preserve">Cheapest-capable routing reduces compute (RTR‑02); not measured (§6 below)</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Harmful bias and homogenization</w:t>
            </w:r>
          </w:p>
        </w:tc>
        <w:tc>
          <w:tcPr>
            <w:tcW w:type="dxa" w:w="2267"/>
            <w:tcMar>
              <w:top w:type="dxa" w:w="60"/>
              <w:left w:type="dxa" w:w="100"/>
              <w:bottom w:type="dxa" w:w="60"/>
              <w:right w:type="dxa" w:w="100"/>
            </w:tcMar>
          </w:tcPr>
          <w:p>
            <w:pPr>
              <w:spacing w:after="0" w:before="0" w:line="252"/>
            </w:pPr>
            <w:r>
              <w:rPr>
                <w:sz w:val="19"/>
                <w:szCs w:val="19"/>
              </w:rPr>
              <w:t xml:space="preserve">Medium: triage could treat senders unevenly</w:t>
            </w:r>
          </w:p>
        </w:tc>
        <w:tc>
          <w:tcPr>
            <w:tcW w:type="dxa" w:w="4576"/>
            <w:tcMar>
              <w:top w:type="dxa" w:w="60"/>
              <w:left w:type="dxa" w:w="100"/>
              <w:bottom w:type="dxa" w:w="60"/>
              <w:right w:type="dxa" w:w="100"/>
            </w:tcMar>
          </w:tcPr>
          <w:p>
            <w:pPr>
              <w:spacing w:after="0" w:before="0" w:line="252"/>
            </w:pPr>
            <w:r>
              <w:rPr>
                <w:sz w:val="19"/>
                <w:szCs w:val="19"/>
              </w:rPr>
              <w:t xml:space="preserve">Evaluation by sender category (SUP‑06); identity confidence rules (ASG‑15)</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Human-AI configuration</w:t>
            </w:r>
          </w:p>
        </w:tc>
        <w:tc>
          <w:tcPr>
            <w:tcW w:type="dxa" w:w="2267"/>
            <w:tcMar>
              <w:top w:type="dxa" w:w="60"/>
              <w:left w:type="dxa" w:w="100"/>
              <w:bottom w:type="dxa" w:w="60"/>
              <w:right w:type="dxa" w:w="100"/>
            </w:tcMar>
          </w:tcPr>
          <w:p>
            <w:pPr>
              <w:spacing w:after="0" w:before="0" w:line="252"/>
            </w:pPr>
            <w:r>
              <w:rPr>
                <w:sz w:val="19"/>
                <w:szCs w:val="19"/>
              </w:rPr>
              <w:t xml:space="preserve">High: people approve what the agent proposes</w:t>
            </w:r>
          </w:p>
        </w:tc>
        <w:tc>
          <w:tcPr>
            <w:tcW w:type="dxa" w:w="4576"/>
            <w:tcMar>
              <w:top w:type="dxa" w:w="60"/>
              <w:left w:type="dxa" w:w="100"/>
              <w:bottom w:type="dxa" w:w="60"/>
              <w:right w:type="dxa" w:w="100"/>
            </w:tcMar>
          </w:tcPr>
          <w:p>
            <w:pPr>
              <w:spacing w:after="0" w:before="0" w:line="252"/>
            </w:pPr>
            <w:r>
              <w:rPr>
                <w:sz w:val="19"/>
                <w:szCs w:val="19"/>
              </w:rPr>
              <w:t xml:space="preserve">Approval screens with the exact action (ASG‑11); batch limits; approval quality (ASG‑27); AI disclosure (SEC‑14)</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Information integrity</w:t>
            </w:r>
          </w:p>
        </w:tc>
        <w:tc>
          <w:tcPr>
            <w:tcW w:type="dxa" w:w="2267"/>
            <w:tcMar>
              <w:top w:type="dxa" w:w="60"/>
              <w:left w:type="dxa" w:w="100"/>
              <w:bottom w:type="dxa" w:w="60"/>
              <w:right w:type="dxa" w:w="100"/>
            </w:tcMar>
          </w:tcPr>
          <w:p>
            <w:pPr>
              <w:spacing w:after="0" w:before="0" w:line="252"/>
            </w:pPr>
            <w:r>
              <w:rPr>
                <w:sz w:val="19"/>
                <w:szCs w:val="19"/>
              </w:rPr>
              <w:t xml:space="preserve">Medium</w:t>
            </w:r>
          </w:p>
        </w:tc>
        <w:tc>
          <w:tcPr>
            <w:tcW w:type="dxa" w:w="4576"/>
            <w:tcMar>
              <w:top w:type="dxa" w:w="60"/>
              <w:left w:type="dxa" w:w="100"/>
              <w:bottom w:type="dxa" w:w="60"/>
              <w:right w:type="dxa" w:w="100"/>
            </w:tcMar>
          </w:tcPr>
          <w:p>
            <w:pPr>
              <w:spacing w:after="0" w:before="0" w:line="252"/>
            </w:pPr>
            <w:r>
              <w:rPr>
                <w:sz w:val="19"/>
                <w:szCs w:val="19"/>
              </w:rPr>
              <w:t xml:space="preserve">Provenance and lineage (SEC‑12); AI disclosure (SEC‑14); signed agent requests (CON‑17, alpha)</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Information security</w:t>
            </w:r>
          </w:p>
        </w:tc>
        <w:tc>
          <w:tcPr>
            <w:tcW w:type="dxa" w:w="2267"/>
            <w:tcMar>
              <w:top w:type="dxa" w:w="60"/>
              <w:left w:type="dxa" w:w="100"/>
              <w:bottom w:type="dxa" w:w="60"/>
              <w:right w:type="dxa" w:w="100"/>
            </w:tcMar>
          </w:tcPr>
          <w:p>
            <w:pPr>
              <w:spacing w:after="0" w:before="0" w:line="252"/>
            </w:pPr>
            <w:r>
              <w:rPr>
                <w:sz w:val="19"/>
                <w:szCs w:val="19"/>
              </w:rPr>
              <w:t xml:space="preserve">High</w:t>
            </w:r>
          </w:p>
        </w:tc>
        <w:tc>
          <w:tcPr>
            <w:tcW w:type="dxa" w:w="4576"/>
            <w:tcMar>
              <w:top w:type="dxa" w:w="60"/>
              <w:left w:type="dxa" w:w="100"/>
              <w:bottom w:type="dxa" w:w="60"/>
              <w:right w:type="dxa" w:w="100"/>
            </w:tcMar>
          </w:tcPr>
          <w:p>
            <w:pPr>
              <w:spacing w:after="0" w:before="0" w:line="252"/>
            </w:pPr>
            <w:r>
              <w:rPr>
                <w:sz w:val="19"/>
                <w:szCs w:val="19"/>
              </w:rPr>
              <w:t xml:space="preserve">Master rules, the gateway and the injection defenses (spec §1, §6, §15)</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Intellectual property</w:t>
            </w:r>
          </w:p>
        </w:tc>
        <w:tc>
          <w:tcPr>
            <w:tcW w:type="dxa" w:w="2267"/>
            <w:tcMar>
              <w:top w:type="dxa" w:w="60"/>
              <w:left w:type="dxa" w:w="100"/>
              <w:bottom w:type="dxa" w:w="60"/>
              <w:right w:type="dxa" w:w="100"/>
            </w:tcMar>
          </w:tcPr>
          <w:p>
            <w:pPr>
              <w:spacing w:after="0" w:before="0" w:line="252"/>
            </w:pPr>
            <w:r>
              <w:rPr>
                <w:sz w:val="19"/>
                <w:szCs w:val="19"/>
              </w:rPr>
              <w:t xml:space="preserve">Low</w:t>
            </w:r>
          </w:p>
        </w:tc>
        <w:tc>
          <w:tcPr>
            <w:tcW w:type="dxa" w:w="4576"/>
            <w:tcMar>
              <w:top w:type="dxa" w:w="60"/>
              <w:left w:type="dxa" w:w="100"/>
              <w:bottom w:type="dxa" w:w="60"/>
              <w:right w:type="dxa" w:w="100"/>
            </w:tcMar>
          </w:tcPr>
          <w:p>
            <w:pPr>
              <w:spacing w:after="0" w:before="0" w:line="252"/>
            </w:pPr>
            <w:r>
              <w:rPr>
                <w:sz w:val="19"/>
                <w:szCs w:val="19"/>
              </w:rPr>
              <w:t xml:space="preserve">Provider data terms (PRV‑05); no training on customer data (SEC‑04)</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Obscene, degrading or abusive content</w:t>
            </w:r>
          </w:p>
        </w:tc>
        <w:tc>
          <w:tcPr>
            <w:tcW w:type="dxa" w:w="2267"/>
            <w:tcMar>
              <w:top w:type="dxa" w:w="60"/>
              <w:left w:type="dxa" w:w="100"/>
              <w:bottom w:type="dxa" w:w="60"/>
              <w:right w:type="dxa" w:w="100"/>
            </w:tcMar>
          </w:tcPr>
          <w:p>
            <w:pPr>
              <w:spacing w:after="0" w:before="0" w:line="252"/>
            </w:pPr>
            <w:r>
              <w:rPr>
                <w:sz w:val="19"/>
                <w:szCs w:val="19"/>
              </w:rPr>
              <w:t xml:space="preserve">Low</w:t>
            </w:r>
          </w:p>
        </w:tc>
        <w:tc>
          <w:tcPr>
            <w:tcW w:type="dxa" w:w="4576"/>
            <w:tcMar>
              <w:top w:type="dxa" w:w="60"/>
              <w:left w:type="dxa" w:w="100"/>
              <w:bottom w:type="dxa" w:w="60"/>
              <w:right w:type="dxa" w:w="100"/>
            </w:tcMar>
          </w:tcPr>
          <w:p>
            <w:pPr>
              <w:spacing w:after="0" w:before="0" w:line="252"/>
            </w:pPr>
            <w:r>
              <w:rPr>
                <w:sz w:val="19"/>
                <w:szCs w:val="19"/>
              </w:rPr>
              <w:t xml:space="preserve">Provider safeguards; an acceptable-use policy (§6 below)</w:t>
            </w:r>
          </w:p>
        </w:tc>
      </w:tr>
      <w:tr>
        <w:trPr>
          <w:tblHeader w:val="off"/>
        </w:trPr>
        <w:tc>
          <w:tcPr>
            <w:tcW w:type="dxa" w:w="2517"/>
            <w:tcMar>
              <w:top w:type="dxa" w:w="60"/>
              <w:left w:type="dxa" w:w="100"/>
              <w:bottom w:type="dxa" w:w="60"/>
              <w:right w:type="dxa" w:w="100"/>
            </w:tcMar>
          </w:tcPr>
          <w:p>
            <w:pPr>
              <w:spacing w:after="0" w:before="0" w:line="252"/>
            </w:pPr>
            <w:r>
              <w:rPr>
                <w:sz w:val="19"/>
                <w:szCs w:val="19"/>
              </w:rPr>
              <w:t xml:space="preserve">Value chain and component integration</w:t>
            </w:r>
          </w:p>
        </w:tc>
        <w:tc>
          <w:tcPr>
            <w:tcW w:type="dxa" w:w="2267"/>
            <w:tcMar>
              <w:top w:type="dxa" w:w="60"/>
              <w:left w:type="dxa" w:w="100"/>
              <w:bottom w:type="dxa" w:w="60"/>
              <w:right w:type="dxa" w:w="100"/>
            </w:tcMar>
          </w:tcPr>
          <w:p>
            <w:pPr>
              <w:spacing w:after="0" w:before="0" w:line="252"/>
            </w:pPr>
            <w:r>
              <w:rPr>
                <w:sz w:val="19"/>
                <w:szCs w:val="19"/>
              </w:rPr>
              <w:t xml:space="preserve">High: model providers, connectors, MCP servers</w:t>
            </w:r>
          </w:p>
        </w:tc>
        <w:tc>
          <w:tcPr>
            <w:tcW w:type="dxa" w:w="4576"/>
            <w:tcMar>
              <w:top w:type="dxa" w:w="60"/>
              <w:left w:type="dxa" w:w="100"/>
              <w:bottom w:type="dxa" w:w="60"/>
              <w:right w:type="dxa" w:w="100"/>
            </w:tcMar>
          </w:tcPr>
          <w:p>
            <w:pPr>
              <w:spacing w:after="0" w:before="0" w:line="252"/>
            </w:pPr>
            <w:r>
              <w:rPr>
                <w:sz w:val="19"/>
                <w:szCs w:val="19"/>
              </w:rPr>
              <w:t xml:space="preserve">Supplier risk (PRV‑06); pinned tool descriptions (CON‑13); signed manifests (CON‑12); admin-approved connectors (CON‑15)</w:t>
            </w:r>
          </w:p>
        </w:tc>
      </w:tr>
    </w:tbl>
    <w:p>
      <w:pPr>
        <w:spacing w:after="60"/>
      </w:pPr>
    </w:p>
    <w:p>
      <w:pPr>
        <w:pStyle w:val="Heading1"/>
        <w:keepNext/>
      </w:pPr>
      <w:r>
        <w:t xml:space="preserve">5. Gaps closed in spec v0.19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2"/>
        <w:gridCol w:w="2670"/>
        <w:gridCol w:w="2738"/>
      </w:tblGrid>
      <w:tr>
        <w:trPr>
          <w:tblHeader/>
        </w:trPr>
        <w:tc>
          <w:tcPr>
            <w:tcW w:type="dxa" w:w="3952"/>
            <w:shd w:fill="F2F2F2" w:color="auto" w:val="clear"/>
            <w:tcMar>
              <w:top w:type="dxa" w:w="60"/>
              <w:left w:type="dxa" w:w="100"/>
              <w:bottom w:type="dxa" w:w="60"/>
              <w:right w:type="dxa" w:w="100"/>
            </w:tcMar>
          </w:tcPr>
          <w:p>
            <w:pPr>
              <w:spacing w:after="0" w:before="0" w:line="252"/>
            </w:pPr>
            <w:r>
              <w:rPr>
                <w:b/>
                <w:bCs/>
                <w:sz w:val="19"/>
                <w:szCs w:val="19"/>
              </w:rPr>
              <w:t xml:space="preserve">Gap</w:t>
            </w:r>
          </w:p>
        </w:tc>
        <w:tc>
          <w:tcPr>
            <w:tcW w:type="dxa" w:w="2670"/>
            <w:shd w:fill="F2F2F2" w:color="auto" w:val="clear"/>
            <w:tcMar>
              <w:top w:type="dxa" w:w="60"/>
              <w:left w:type="dxa" w:w="100"/>
              <w:bottom w:type="dxa" w:w="60"/>
              <w:right w:type="dxa" w:w="100"/>
            </w:tcMar>
          </w:tcPr>
          <w:p>
            <w:pPr>
              <w:spacing w:after="0" w:before="0" w:line="252"/>
            </w:pPr>
            <w:r>
              <w:rPr>
                <w:b/>
                <w:bCs/>
                <w:sz w:val="19"/>
                <w:szCs w:val="19"/>
              </w:rPr>
              <w:t xml:space="preserve">Framework reference</w:t>
            </w:r>
          </w:p>
        </w:tc>
        <w:tc>
          <w:tcPr>
            <w:tcW w:type="dxa" w:w="2738"/>
            <w:shd w:fill="F2F2F2" w:color="auto" w:val="clear"/>
            <w:tcMar>
              <w:top w:type="dxa" w:w="60"/>
              <w:left w:type="dxa" w:w="100"/>
              <w:bottom w:type="dxa" w:w="60"/>
              <w:right w:type="dxa" w:w="100"/>
            </w:tcMar>
          </w:tcPr>
          <w:p>
            <w:pPr>
              <w:spacing w:after="0" w:before="0" w:line="252"/>
            </w:pPr>
            <w:r>
              <w:rPr>
                <w:b/>
                <w:bCs/>
                <w:sz w:val="19"/>
                <w:szCs w:val="19"/>
              </w:rPr>
              <w:t xml:space="preserve">Spec change</w:t>
            </w:r>
          </w:p>
        </w:tc>
      </w:tr>
      <w:tr>
        <w:trPr>
          <w:tblHeader w:val="off"/>
        </w:trPr>
        <w:tc>
          <w:tcPr>
            <w:tcW w:type="dxa" w:w="3952"/>
            <w:tcMar>
              <w:top w:type="dxa" w:w="60"/>
              <w:left w:type="dxa" w:w="100"/>
              <w:bottom w:type="dxa" w:w="60"/>
              <w:right w:type="dxa" w:w="100"/>
            </w:tcMar>
          </w:tcPr>
          <w:p>
            <w:pPr>
              <w:spacing w:after="0" w:before="0" w:line="252"/>
            </w:pPr>
            <w:r>
              <w:rPr>
                <w:sz w:val="19"/>
                <w:szCs w:val="19"/>
              </w:rPr>
              <w:t xml:space="preserve">Approvers can rubber-stamp, especially in batches</w:t>
            </w:r>
          </w:p>
        </w:tc>
        <w:tc>
          <w:tcPr>
            <w:tcW w:type="dxa" w:w="2670"/>
            <w:tcMar>
              <w:top w:type="dxa" w:w="60"/>
              <w:left w:type="dxa" w:w="100"/>
              <w:bottom w:type="dxa" w:w="60"/>
              <w:right w:type="dxa" w:w="100"/>
            </w:tcMar>
          </w:tcPr>
          <w:p>
            <w:pPr>
              <w:spacing w:after="0" w:before="0" w:line="252"/>
            </w:pPr>
            <w:r>
              <w:rPr>
                <w:sz w:val="19"/>
                <w:szCs w:val="19"/>
              </w:rPr>
              <w:t xml:space="preserve">AI 600-1 human-AI configuration; MEASURE 4</w:t>
            </w:r>
          </w:p>
        </w:tc>
        <w:tc>
          <w:tcPr>
            <w:tcW w:type="dxa" w:w="2738"/>
            <w:tcMar>
              <w:top w:type="dxa" w:w="60"/>
              <w:left w:type="dxa" w:w="100"/>
              <w:bottom w:type="dxa" w:w="60"/>
              <w:right w:type="dxa" w:w="100"/>
            </w:tcMar>
          </w:tcPr>
          <w:p>
            <w:pPr>
              <w:spacing w:after="0" w:before="0" w:line="252"/>
            </w:pPr>
            <w:r>
              <w:rPr>
                <w:sz w:val="19"/>
                <w:szCs w:val="19"/>
              </w:rPr>
              <w:t xml:space="preserve">ASG‑27 approval quality; a diagnostic metric and a threat row</w:t>
            </w:r>
          </w:p>
        </w:tc>
      </w:tr>
      <w:tr>
        <w:trPr>
          <w:tblHeader w:val="off"/>
        </w:trPr>
        <w:tc>
          <w:tcPr>
            <w:tcW w:type="dxa" w:w="3952"/>
            <w:tcMar>
              <w:top w:type="dxa" w:w="60"/>
              <w:left w:type="dxa" w:w="100"/>
              <w:bottom w:type="dxa" w:w="60"/>
              <w:right w:type="dxa" w:w="100"/>
            </w:tcMar>
          </w:tcPr>
          <w:p>
            <w:pPr>
              <w:spacing w:after="0" w:before="0" w:line="252"/>
            </w:pPr>
            <w:r>
              <w:rPr>
                <w:sz w:val="19"/>
                <w:szCs w:val="19"/>
              </w:rPr>
              <w:t xml:space="preserve">No assessment of model providers and subprocessors, or plan for deprecations and provider incidents</w:t>
            </w:r>
          </w:p>
        </w:tc>
        <w:tc>
          <w:tcPr>
            <w:tcW w:type="dxa" w:w="2670"/>
            <w:tcMar>
              <w:top w:type="dxa" w:w="60"/>
              <w:left w:type="dxa" w:w="100"/>
              <w:bottom w:type="dxa" w:w="60"/>
              <w:right w:type="dxa" w:w="100"/>
            </w:tcMar>
          </w:tcPr>
          <w:p>
            <w:pPr>
              <w:spacing w:after="0" w:before="0" w:line="252"/>
            </w:pPr>
            <w:r>
              <w:rPr>
                <w:sz w:val="19"/>
                <w:szCs w:val="19"/>
              </w:rPr>
              <w:t xml:space="preserve">GOVERN 6; MANAGE 3; AI 600-1 value chain</w:t>
            </w:r>
          </w:p>
        </w:tc>
        <w:tc>
          <w:tcPr>
            <w:tcW w:type="dxa" w:w="2738"/>
            <w:tcMar>
              <w:top w:type="dxa" w:w="60"/>
              <w:left w:type="dxa" w:w="100"/>
              <w:bottom w:type="dxa" w:w="60"/>
              <w:right w:type="dxa" w:w="100"/>
            </w:tcMar>
          </w:tcPr>
          <w:p>
            <w:pPr>
              <w:spacing w:after="0" w:before="0" w:line="252"/>
            </w:pPr>
            <w:r>
              <w:rPr>
                <w:sz w:val="19"/>
                <w:szCs w:val="19"/>
              </w:rPr>
              <w:t xml:space="preserve">PRV‑06 model and supplier risk; a threat row</w:t>
            </w:r>
          </w:p>
        </w:tc>
      </w:tr>
      <w:tr>
        <w:trPr>
          <w:tblHeader w:val="off"/>
        </w:trPr>
        <w:tc>
          <w:tcPr>
            <w:tcW w:type="dxa" w:w="3952"/>
            <w:tcMar>
              <w:top w:type="dxa" w:w="60"/>
              <w:left w:type="dxa" w:w="100"/>
              <w:bottom w:type="dxa" w:w="60"/>
              <w:right w:type="dxa" w:w="100"/>
            </w:tcMar>
          </w:tcPr>
          <w:p>
            <w:pPr>
              <w:spacing w:after="0" w:before="0" w:line="252"/>
            </w:pPr>
            <w:r>
              <w:rPr>
                <w:sz w:val="19"/>
                <w:szCs w:val="19"/>
              </w:rPr>
              <w:t xml:space="preserve">People whose mail and documents Collicity processes get no notice</w:t>
            </w:r>
          </w:p>
        </w:tc>
        <w:tc>
          <w:tcPr>
            <w:tcW w:type="dxa" w:w="2670"/>
            <w:tcMar>
              <w:top w:type="dxa" w:w="60"/>
              <w:left w:type="dxa" w:w="100"/>
              <w:bottom w:type="dxa" w:w="60"/>
              <w:right w:type="dxa" w:w="100"/>
            </w:tcMar>
          </w:tcPr>
          <w:p>
            <w:pPr>
              <w:spacing w:after="0" w:before="0" w:line="252"/>
            </w:pPr>
            <w:r>
              <w:rPr>
                <w:sz w:val="19"/>
                <w:szCs w:val="19"/>
              </w:rPr>
              <w:t xml:space="preserve">MAP 5; AI 600-1 data privacy</w:t>
            </w:r>
          </w:p>
        </w:tc>
        <w:tc>
          <w:tcPr>
            <w:tcW w:type="dxa" w:w="2738"/>
            <w:tcMar>
              <w:top w:type="dxa" w:w="60"/>
              <w:left w:type="dxa" w:w="100"/>
              <w:bottom w:type="dxa" w:w="60"/>
              <w:right w:type="dxa" w:w="100"/>
            </w:tcMar>
          </w:tcPr>
          <w:p>
            <w:pPr>
              <w:spacing w:after="0" w:before="0" w:line="252"/>
            </w:pPr>
            <w:r>
              <w:rPr>
                <w:sz w:val="19"/>
                <w:szCs w:val="19"/>
              </w:rPr>
              <w:t xml:space="preserve">SEC‑19 people affected who aren't users</w:t>
            </w:r>
          </w:p>
        </w:tc>
      </w:tr>
      <w:tr>
        <w:trPr>
          <w:tblHeader w:val="off"/>
        </w:trPr>
        <w:tc>
          <w:tcPr>
            <w:tcW w:type="dxa" w:w="3952"/>
            <w:tcMar>
              <w:top w:type="dxa" w:w="60"/>
              <w:left w:type="dxa" w:w="100"/>
              <w:bottom w:type="dxa" w:w="60"/>
              <w:right w:type="dxa" w:w="100"/>
            </w:tcMar>
          </w:tcPr>
          <w:p>
            <w:pPr>
              <w:spacing w:after="0" w:before="0" w:line="252"/>
            </w:pPr>
            <w:r>
              <w:rPr>
                <w:sz w:val="19"/>
                <w:szCs w:val="19"/>
              </w:rPr>
              <w:t xml:space="preserve">No response or customer notice for AI incidents beyond prompt injection</w:t>
            </w:r>
          </w:p>
        </w:tc>
        <w:tc>
          <w:tcPr>
            <w:tcW w:type="dxa" w:w="2670"/>
            <w:tcMar>
              <w:top w:type="dxa" w:w="60"/>
              <w:left w:type="dxa" w:w="100"/>
              <w:bottom w:type="dxa" w:w="60"/>
              <w:right w:type="dxa" w:w="100"/>
            </w:tcMar>
          </w:tcPr>
          <w:p>
            <w:pPr>
              <w:spacing w:after="0" w:before="0" w:line="252"/>
            </w:pPr>
            <w:r>
              <w:rPr>
                <w:sz w:val="19"/>
                <w:szCs w:val="19"/>
              </w:rPr>
              <w:t xml:space="preserve">MANAGE 4</w:t>
            </w:r>
          </w:p>
        </w:tc>
        <w:tc>
          <w:tcPr>
            <w:tcW w:type="dxa" w:w="2738"/>
            <w:tcMar>
              <w:top w:type="dxa" w:w="60"/>
              <w:left w:type="dxa" w:w="100"/>
              <w:bottom w:type="dxa" w:w="60"/>
              <w:right w:type="dxa" w:w="100"/>
            </w:tcMar>
          </w:tcPr>
          <w:p>
            <w:pPr>
              <w:spacing w:after="0" w:before="0" w:line="252"/>
            </w:pPr>
            <w:r>
              <w:rPr>
                <w:sz w:val="19"/>
                <w:szCs w:val="19"/>
              </w:rPr>
              <w:t xml:space="preserve">SEC‑20 AI incidents; a guardrail metric</w:t>
            </w:r>
          </w:p>
        </w:tc>
      </w:tr>
      <w:tr>
        <w:trPr>
          <w:tblHeader w:val="off"/>
        </w:trPr>
        <w:tc>
          <w:tcPr>
            <w:tcW w:type="dxa" w:w="3952"/>
            <w:tcMar>
              <w:top w:type="dxa" w:w="60"/>
              <w:left w:type="dxa" w:w="100"/>
              <w:bottom w:type="dxa" w:w="60"/>
              <w:right w:type="dxa" w:w="100"/>
            </w:tcMar>
          </w:tcPr>
          <w:p>
            <w:pPr>
              <w:spacing w:after="0" w:before="0" w:line="252"/>
            </w:pPr>
            <w:r>
              <w:rPr>
                <w:sz w:val="19"/>
                <w:szCs w:val="19"/>
              </w:rPr>
              <w:t xml:space="preserve">Accepted residual risk and retirement weren't recorded</w:t>
            </w:r>
          </w:p>
        </w:tc>
        <w:tc>
          <w:tcPr>
            <w:tcW w:type="dxa" w:w="2670"/>
            <w:tcMar>
              <w:top w:type="dxa" w:w="60"/>
              <w:left w:type="dxa" w:w="100"/>
              <w:bottom w:type="dxa" w:w="60"/>
              <w:right w:type="dxa" w:w="100"/>
            </w:tcMar>
          </w:tcPr>
          <w:p>
            <w:pPr>
              <w:spacing w:after="0" w:before="0" w:line="252"/>
            </w:pPr>
            <w:r>
              <w:rPr>
                <w:sz w:val="19"/>
                <w:szCs w:val="19"/>
              </w:rPr>
              <w:t xml:space="preserve">MANAGE 1; GOVERN 1</w:t>
            </w:r>
          </w:p>
        </w:tc>
        <w:tc>
          <w:tcPr>
            <w:tcW w:type="dxa" w:w="2738"/>
            <w:tcMar>
              <w:top w:type="dxa" w:w="60"/>
              <w:left w:type="dxa" w:w="100"/>
              <w:bottom w:type="dxa" w:w="60"/>
              <w:right w:type="dxa" w:w="100"/>
            </w:tcMar>
          </w:tcPr>
          <w:p>
            <w:pPr>
              <w:spacing w:after="0" w:before="0" w:line="252"/>
            </w:pPr>
            <w:r>
              <w:rPr>
                <w:sz w:val="19"/>
                <w:szCs w:val="19"/>
              </w:rPr>
              <w:t xml:space="preserve">SEC‑21 risk tolerance and retirement (P1, at GA)</w:t>
            </w:r>
          </w:p>
        </w:tc>
      </w:tr>
      <w:tr>
        <w:trPr>
          <w:tblHeader w:val="off"/>
        </w:trPr>
        <w:tc>
          <w:tcPr>
            <w:tcW w:type="dxa" w:w="3952"/>
            <w:tcMar>
              <w:top w:type="dxa" w:w="60"/>
              <w:left w:type="dxa" w:w="100"/>
              <w:bottom w:type="dxa" w:w="60"/>
              <w:right w:type="dxa" w:w="100"/>
            </w:tcMar>
          </w:tcPr>
          <w:p>
            <w:pPr>
              <w:spacing w:after="0" w:before="0" w:line="252"/>
            </w:pPr>
            <w:r>
              <w:rPr>
                <w:sz w:val="19"/>
                <w:szCs w:val="19"/>
              </w:rPr>
              <w:t xml:space="preserve">No channel for outside parties to report problems</w:t>
            </w:r>
          </w:p>
        </w:tc>
        <w:tc>
          <w:tcPr>
            <w:tcW w:type="dxa" w:w="2670"/>
            <w:tcMar>
              <w:top w:type="dxa" w:w="60"/>
              <w:left w:type="dxa" w:w="100"/>
              <w:bottom w:type="dxa" w:w="60"/>
              <w:right w:type="dxa" w:w="100"/>
            </w:tcMar>
          </w:tcPr>
          <w:p>
            <w:pPr>
              <w:spacing w:after="0" w:before="0" w:line="252"/>
            </w:pPr>
            <w:r>
              <w:rPr>
                <w:sz w:val="19"/>
                <w:szCs w:val="19"/>
              </w:rPr>
              <w:t xml:space="preserve">GOVERN 5; MEASURE 3</w:t>
            </w:r>
          </w:p>
        </w:tc>
        <w:tc>
          <w:tcPr>
            <w:tcW w:type="dxa" w:w="2738"/>
            <w:tcMar>
              <w:top w:type="dxa" w:w="60"/>
              <w:left w:type="dxa" w:w="100"/>
              <w:bottom w:type="dxa" w:w="60"/>
              <w:right w:type="dxa" w:w="100"/>
            </w:tcMar>
          </w:tcPr>
          <w:p>
            <w:pPr>
              <w:spacing w:after="0" w:before="0" w:line="252"/>
            </w:pPr>
            <w:r>
              <w:rPr>
                <w:sz w:val="19"/>
                <w:szCs w:val="19"/>
              </w:rPr>
              <w:t xml:space="preserve">SEC‑22 outside feedback</w:t>
            </w:r>
          </w:p>
        </w:tc>
      </w:tr>
      <w:tr>
        <w:trPr>
          <w:tblHeader w:val="off"/>
        </w:trPr>
        <w:tc>
          <w:tcPr>
            <w:tcW w:type="dxa" w:w="3952"/>
            <w:tcMar>
              <w:top w:type="dxa" w:w="60"/>
              <w:left w:type="dxa" w:w="100"/>
              <w:bottom w:type="dxa" w:w="60"/>
              <w:right w:type="dxa" w:w="100"/>
            </w:tcMar>
          </w:tcPr>
          <w:p>
            <w:pPr>
              <w:spacing w:after="0" w:before="0" w:line="252"/>
            </w:pPr>
            <w:r>
              <w:rPr>
                <w:sz w:val="19"/>
                <w:szCs w:val="19"/>
              </w:rPr>
              <w:t xml:space="preserve">Miss and error rates weren't compared across senders</w:t>
            </w:r>
          </w:p>
        </w:tc>
        <w:tc>
          <w:tcPr>
            <w:tcW w:type="dxa" w:w="2670"/>
            <w:tcMar>
              <w:top w:type="dxa" w:w="60"/>
              <w:left w:type="dxa" w:w="100"/>
              <w:bottom w:type="dxa" w:w="60"/>
              <w:right w:type="dxa" w:w="100"/>
            </w:tcMar>
          </w:tcPr>
          <w:p>
            <w:pPr>
              <w:spacing w:after="0" w:before="0" w:line="252"/>
            </w:pPr>
            <w:r>
              <w:rPr>
                <w:sz w:val="19"/>
                <w:szCs w:val="19"/>
              </w:rPr>
              <w:t xml:space="preserve">AI 600-1 harmful bias</w:t>
            </w:r>
          </w:p>
        </w:tc>
        <w:tc>
          <w:tcPr>
            <w:tcW w:type="dxa" w:w="2738"/>
            <w:tcMar>
              <w:top w:type="dxa" w:w="60"/>
              <w:left w:type="dxa" w:w="100"/>
              <w:bottom w:type="dxa" w:w="60"/>
              <w:right w:type="dxa" w:w="100"/>
            </w:tcMar>
          </w:tcPr>
          <w:p>
            <w:pPr>
              <w:spacing w:after="0" w:before="0" w:line="252"/>
            </w:pPr>
            <w:r>
              <w:rPr>
                <w:sz w:val="19"/>
                <w:szCs w:val="19"/>
              </w:rPr>
              <w:t xml:space="preserve">SUP‑06 stratified by sender category</w:t>
            </w:r>
          </w:p>
        </w:tc>
      </w:tr>
    </w:tbl>
    <w:p>
      <w:pPr>
        <w:spacing w:after="60"/>
      </w:pPr>
    </w:p>
    <w:p>
      <w:pPr>
        <w:pStyle w:val="Heading1"/>
        <w:keepNext/>
      </w:pPr>
      <w:r>
        <w:t xml:space="preserve">6. Company actions outside the product</w:t>
      </w:r>
    </w:p>
    <w:p>
      <w:r>
        <w:t xml:space="preserve">These are outcomes the framework expects of the organization. None is a product requirement.</w:t>
      </w:r>
    </w:p>
    <w:p>
      <w:pPr>
        <w:pStyle w:val="ListParagraph"/>
        <w:numPr>
          <w:ilvl w:val="0"/>
          <w:numId w:val="2"/>
        </w:numPr>
        <w:spacing w:after="60" w:before="0"/>
      </w:pPr>
      <w:r>
        <w:rPr>
          <w:b/>
          <w:bCs/>
        </w:rPr>
        <w:t xml:space="preserve">AI policy (GOVERN 1):</w:t>
      </w:r>
      <w:r>
        <w:t xml:space="preserve"> a short company policy on how Collicity develops and runs AI, pointing to the master rules.</w:t>
      </w:r>
    </w:p>
    <w:p>
      <w:pPr>
        <w:pStyle w:val="ListParagraph"/>
        <w:numPr>
          <w:ilvl w:val="0"/>
          <w:numId w:val="2"/>
        </w:numPr>
        <w:spacing w:after="60" w:before="0"/>
      </w:pPr>
      <w:r>
        <w:rPr>
          <w:b/>
          <w:bCs/>
        </w:rPr>
        <w:t xml:space="preserve">Roles and training (GOVERN 2):</w:t>
      </w:r>
      <w:r>
        <w:t xml:space="preserve"> named owners for AI risk, security review and incidents, and training as the team grows from one person to three.</w:t>
      </w:r>
    </w:p>
    <w:p>
      <w:pPr>
        <w:pStyle w:val="ListParagraph"/>
        <w:numPr>
          <w:ilvl w:val="0"/>
          <w:numId w:val="2"/>
        </w:numPr>
        <w:spacing w:after="60" w:before="0"/>
      </w:pPr>
      <w:r>
        <w:rPr>
          <w:b/>
          <w:bCs/>
        </w:rPr>
        <w:t xml:space="preserve">Diversity and accessibility practices (GOVERN 3):</w:t>
      </w:r>
      <w:r>
        <w:t xml:space="preserve"> hiring and review practices as the team grows.</w:t>
      </w:r>
    </w:p>
    <w:p>
      <w:pPr>
        <w:pStyle w:val="ListParagraph"/>
        <w:numPr>
          <w:ilvl w:val="0"/>
          <w:numId w:val="2"/>
        </w:numPr>
        <w:spacing w:after="60" w:before="0"/>
      </w:pPr>
      <w:r>
        <w:rPr>
          <w:b/>
          <w:bCs/>
        </w:rPr>
        <w:t xml:space="preserve">Risk culture (GOVERN 4):</w:t>
      </w:r>
      <w:r>
        <w:t xml:space="preserve"> regular review of incidents, evaluation results and the risk-tolerance record (spec SEC‑21).</w:t>
      </w:r>
    </w:p>
    <w:p>
      <w:pPr>
        <w:pStyle w:val="ListParagraph"/>
        <w:numPr>
          <w:ilvl w:val="0"/>
          <w:numId w:val="2"/>
        </w:numPr>
        <w:spacing w:after="60" w:before="0"/>
      </w:pPr>
      <w:r>
        <w:rPr>
          <w:b/>
          <w:bCs/>
        </w:rPr>
        <w:t xml:space="preserve">Acceptable-use policy:</w:t>
      </w:r>
      <w:r>
        <w:t xml:space="preserve"> terms that forbid using chat and Q&amp;A for harmful content, backing the providers' safeguards.</w:t>
      </w:r>
    </w:p>
    <w:p>
      <w:pPr>
        <w:pStyle w:val="ListParagraph"/>
        <w:numPr>
          <w:ilvl w:val="0"/>
          <w:numId w:val="2"/>
        </w:numPr>
        <w:spacing w:after="60" w:before="0"/>
      </w:pPr>
      <w:r>
        <w:rPr>
          <w:b/>
          <w:bCs/>
        </w:rPr>
        <w:t xml:space="preserve">Environmental reporting (optional):</w:t>
      </w:r>
      <w:r>
        <w:t xml:space="preserve"> token and compute use per tenant, if customers ask for it.</w:t>
      </w:r>
    </w:p>
    <w:p>
      <w:pPr>
        <w:spacing w:after="0"/>
      </w:pPr>
    </w:p>
    <w:p>
      <w:pPr>
        <w:pStyle w:val="Heading1"/>
        <w:keepNext/>
      </w:pPr>
      <w:r>
        <w:t xml:space="preserve">7. Maintenance</w:t>
      </w:r>
    </w:p>
    <w:p>
      <w:pPr>
        <w:pStyle w:val="ListParagraph"/>
        <w:numPr>
          <w:ilvl w:val="0"/>
          <w:numId w:val="2"/>
        </w:numPr>
        <w:spacing w:after="60" w:before="0"/>
      </w:pPr>
      <w:r>
        <w:t xml:space="preserve">Redo this mapping when NIST publishes the revised AI RMF or the SP 800-53 AI overlays.</w:t>
      </w:r>
    </w:p>
    <w:p>
      <w:pPr>
        <w:pStyle w:val="ListParagraph"/>
        <w:numPr>
          <w:ilvl w:val="0"/>
          <w:numId w:val="2"/>
        </w:numPr>
        <w:spacing w:after="60" w:before="0"/>
      </w:pPr>
      <w:r>
        <w:t xml:space="preserve">Review it with each new version of the specification, and before an ISO/IEC 42001 readiness assessment (spec SEC‑05).</w:t>
      </w:r>
    </w:p>
    <w:p>
      <w:pPr>
        <w:spacing w:after="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9"/>
        <w:gridCol w:w="1121"/>
        <w:gridCol w:w="6930"/>
      </w:tblGrid>
      <w:tr>
        <w:trPr>
          <w:tblHeader/>
        </w:trPr>
        <w:tc>
          <w:tcPr>
            <w:tcW w:type="dxa" w:w="1309"/>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21"/>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6930"/>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309"/>
            <w:tcMar>
              <w:top w:type="dxa" w:w="60"/>
              <w:left w:type="dxa" w:w="100"/>
              <w:bottom w:type="dxa" w:w="60"/>
              <w:right w:type="dxa" w:w="100"/>
            </w:tcMar>
          </w:tcPr>
          <w:p>
            <w:pPr>
              <w:spacing w:after="0" w:before="0" w:line="252"/>
            </w:pPr>
            <w:r>
              <w:rPr>
                <w:sz w:val="19"/>
                <w:szCs w:val="19"/>
              </w:rPr>
              <w:t xml:space="preserve">v0.1</w:t>
            </w:r>
          </w:p>
        </w:tc>
        <w:tc>
          <w:tcPr>
            <w:tcW w:type="dxa" w:w="1121"/>
            <w:tcMar>
              <w:top w:type="dxa" w:w="60"/>
              <w:left w:type="dxa" w:w="100"/>
              <w:bottom w:type="dxa" w:w="60"/>
              <w:right w:type="dxa" w:w="100"/>
            </w:tcMar>
          </w:tcPr>
          <w:p>
            <w:pPr>
              <w:spacing w:after="0" w:before="0" w:line="252"/>
            </w:pPr>
            <w:r>
              <w:rPr>
                <w:sz w:val="19"/>
                <w:szCs w:val="19"/>
              </w:rPr>
              <w:t xml:space="preserve">2026-10-11</w:t>
            </w:r>
          </w:p>
        </w:tc>
        <w:tc>
          <w:tcPr>
            <w:tcW w:type="dxa" w:w="6930"/>
            <w:tcMar>
              <w:top w:type="dxa" w:w="60"/>
              <w:left w:type="dxa" w:w="100"/>
              <w:bottom w:type="dxa" w:w="60"/>
              <w:right w:type="dxa" w:w="100"/>
            </w:tcMar>
          </w:tcPr>
          <w:p>
            <w:pPr>
              <w:spacing w:after="0" w:before="0" w:line="252"/>
            </w:pPr>
            <w:r>
              <w:rPr>
                <w:sz w:val="19"/>
                <w:szCs w:val="19"/>
              </w:rPr>
              <w:t xml:space="preserve">First draft: trustworthiness characteristics, core functions and Generative AI Profile risks mapped to spec v0.19; the gaps v0.19 closed; company actions; maintenance</w:t>
            </w:r>
          </w:p>
        </w:tc>
      </w:tr>
    </w:tbl>
    <w:p>
      <w:pPr>
        <w:spacing w:after="60"/>
      </w:pPr>
    </w:p>
    <w:p>
      <w:pPr>
        <w:pStyle w:val="Heading1"/>
        <w:keepNext/>
      </w:pPr>
      <w:r>
        <w:t xml:space="preserve">Sources</w:t>
      </w:r>
    </w:p>
    <w:p>
      <w:pPr>
        <w:pStyle w:val="ListParagraph"/>
        <w:numPr>
          <w:ilvl w:val="0"/>
          <w:numId w:val="2"/>
        </w:numPr>
        <w:spacing w:after="60" w:before="0"/>
      </w:pPr>
      <w:hyperlink w:history="1" r:id="rIdq1hz4yi73wxrzwqomcdzz">
        <w:r>
          <w:rPr>
            <w:rStyle w:val="Hyperlink"/>
          </w:rPr>
          <w:t xml:space="preserve">NIST AIRC: AI Risk Management Framework</w:t>
        </w:r>
      </w:hyperlink>
      <w:r>
        <w:t xml:space="preserve">: AI RMF 1.0, its four functions, and the note that a revised version is in progress.</w:t>
      </w:r>
    </w:p>
    <w:p>
      <w:pPr>
        <w:pStyle w:val="ListParagraph"/>
        <w:numPr>
          <w:ilvl w:val="0"/>
          <w:numId w:val="2"/>
        </w:numPr>
        <w:spacing w:after="60" w:before="0"/>
      </w:pPr>
      <w:hyperlink w:history="1" r:id="rIdw01im2rlsk3atlmsttszg">
        <w:r>
          <w:rPr>
            <w:rStyle w:val="Hyperlink"/>
          </w:rPr>
          <w:t xml:space="preserve">NIST AI 100-1: Artificial Intelligence Risk Management Framework (AI RMF 1.0)</w:t>
        </w:r>
      </w:hyperlink>
      <w:r>
        <w:t xml:space="preserve">: the categories and trustworthiness characteristics paraphrased in §2 and §3.</w:t>
      </w:r>
    </w:p>
    <w:p>
      <w:pPr>
        <w:pStyle w:val="ListParagraph"/>
        <w:numPr>
          <w:ilvl w:val="0"/>
          <w:numId w:val="2"/>
        </w:numPr>
        <w:spacing w:after="60" w:before="0"/>
      </w:pPr>
      <w:hyperlink w:history="1" r:id="rIdhxudr4hsfsajor-a82fl4">
        <w:r>
          <w:rPr>
            <w:rStyle w:val="Hyperlink"/>
          </w:rPr>
          <w:t xml:space="preserve">NIST AI 600-1: Generative AI Profile</w:t>
        </w:r>
      </w:hyperlink>
      <w:r>
        <w:t xml:space="preserve">: the twelve risks in §4.</w:t>
      </w:r>
    </w:p>
    <w:p>
      <w:pPr>
        <w:pStyle w:val="ListParagraph"/>
        <w:numPr>
          <w:ilvl w:val="0"/>
          <w:numId w:val="2"/>
        </w:numPr>
        <w:spacing w:after="60" w:before="0"/>
      </w:pPr>
      <w:hyperlink w:history="1" r:id="rIdps1wphg_s-roqkg6m4odl">
        <w:r>
          <w:rPr>
            <w:rStyle w:val="Hyperlink"/>
          </w:rPr>
          <w:t xml:space="preserve">NIST: AI Risk Management Framework</w:t>
        </w:r>
      </w:hyperlink>
      <w:r>
        <w:t xml:space="preserve">: NIST's related profiles and resources.</w:t>
      </w:r>
    </w:p>
    <w:p>
      <w:pPr>
        <w:pStyle w:val="ListParagraph"/>
        <w:numPr>
          <w:ilvl w:val="0"/>
          <w:numId w:val="2"/>
        </w:numPr>
        <w:spacing w:after="60" w:before="0"/>
      </w:pPr>
      <w:hyperlink w:history="1" r:id="rIdxvlujmpnce-srmkxvht98">
        <w:r>
          <w:rPr>
            <w:rStyle w:val="Hyperlink"/>
          </w:rPr>
          <w:t xml:space="preserve">NIST CSRC: control overlays for securing AI systems</w:t>
        </w:r>
      </w:hyperlink>
      <w:r>
        <w:t xml:space="preserve">: the SP 800-53 AI overlays still in development.</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1hz4yi73wxrzwqomcdzz" Type="http://schemas.openxmlformats.org/officeDocument/2006/relationships/hyperlink" Target="https://airc.nist.gov/airmf-resources/airmf/" TargetMode="External"/><Relationship Id="rIdw01im2rlsk3atlmsttszg" Type="http://schemas.openxmlformats.org/officeDocument/2006/relationships/hyperlink" Target="https://nvlpubs.nist.gov/nistpubs/ai/NIST.AI.100-1.pdf" TargetMode="External"/><Relationship Id="rIdhxudr4hsfsajor-a82fl4" Type="http://schemas.openxmlformats.org/officeDocument/2006/relationships/hyperlink" Target="https://nvlpubs.nist.gov/nistpubs/ai/NIST.AI.600-1.pdf" TargetMode="External"/><Relationship Id="rIdps1wphg_s-roqkg6m4odl" Type="http://schemas.openxmlformats.org/officeDocument/2006/relationships/hyperlink" Target="https://www.nist.gov/itl/ai-risk-management-framework" TargetMode="External"/><Relationship Id="rIdxvlujmpnce-srmkxvht98" Type="http://schemas.openxmlformats.org/officeDocument/2006/relationships/hyperlink" Target="https://csrc.nist.gov/News/2025/webinar-nist-security-control-overlays-for-ai-sys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AI RMF Alignment (Draft v0.1)</dc:title>
  <dc:creator>Collicity</dc:creator>
  <cp:lastModifiedBy>Un-named</cp:lastModifiedBy>
  <cp:revision>1</cp:revision>
  <dcterms:created xsi:type="dcterms:W3CDTF">2026-10-11T13:09:52.858Z</dcterms:created>
  <dcterms:modified xsi:type="dcterms:W3CDTF">2026-10-11T13:09:52.860Z</dcterms:modified>
</cp:coreProperties>
</file>

<file path=docProps/custom.xml><?xml version="1.0" encoding="utf-8"?>
<Properties xmlns="http://schemas.openxmlformats.org/officeDocument/2006/custom-properties" xmlns:vt="http://schemas.openxmlformats.org/officeDocument/2006/docPropsVTypes"/>
</file>