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v0.11)</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was recorded with its reasoning and confirmed again after a 48-hour wait.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entirely under the v0.7 wording, so no review blocks gate 0; every review is due before the GA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4"/>
        <w:gridCol w:w="3903"/>
        <w:gridCol w:w="4003"/>
      </w:tblGrid>
      <w:tr>
        <w:trPr>
          <w:tblHeader/>
        </w:trPr>
        <w:tc>
          <w:tcPr>
            <w:tcW w:type="dxa" w:w="1454"/>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903"/>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03"/>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throughout the beta</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MR‑02</w:t>
            </w:r>
          </w:p>
        </w:tc>
        <w:tc>
          <w:tcPr>
            <w:tcW w:type="dxa" w:w="3903"/>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03"/>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MR‑09, MR‑11</w:t>
            </w:r>
          </w:p>
        </w:tc>
        <w:tc>
          <w:tcPr>
            <w:tcW w:type="dxa" w:w="3903"/>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03"/>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MR‑10</w:t>
            </w:r>
          </w:p>
        </w:tc>
        <w:tc>
          <w:tcPr>
            <w:tcW w:type="dxa" w:w="3903"/>
            <w:tcMar>
              <w:top w:type="dxa" w:w="60"/>
              <w:left w:type="dxa" w:w="100"/>
              <w:bottom w:type="dxa" w:w="60"/>
              <w:right w:type="dxa" w:w="100"/>
            </w:tcMar>
          </w:tcPr>
          <w:p>
            <w:pPr>
              <w:spacing w:after="0" w:before="0" w:line="252"/>
            </w:pPr>
            <w:r>
              <w:rPr>
                <w:sz w:val="19"/>
                <w:szCs w:val="19"/>
              </w:rPr>
              <w:t xml:space="preserve">Purchase mandates (PAY‑03)</w:t>
            </w:r>
          </w:p>
        </w:tc>
        <w:tc>
          <w:tcPr>
            <w:tcW w:type="dxa" w:w="4003"/>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MR‑12</w:t>
            </w:r>
          </w:p>
        </w:tc>
        <w:tc>
          <w:tcPr>
            <w:tcW w:type="dxa" w:w="3903"/>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03"/>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MR‑17</w:t>
            </w:r>
          </w:p>
        </w:tc>
        <w:tc>
          <w:tcPr>
            <w:tcW w:type="dxa" w:w="3903"/>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03"/>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MR‑24</w:t>
            </w:r>
          </w:p>
        </w:tc>
        <w:tc>
          <w:tcPr>
            <w:tcW w:type="dxa" w:w="3903"/>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03"/>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MR‑25</w:t>
            </w:r>
          </w:p>
        </w:tc>
        <w:tc>
          <w:tcPr>
            <w:tcW w:type="dxa" w:w="3903"/>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03"/>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only at high sender confidence,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until then the beta approves every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(ASG‑16);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a change within the mandate's bounds (e.g., at most 10% of the current value); and no screening positive or hidden-text citation. Otherwise the item waits for a click. </w:t>
      </w: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4"/>
        <w:gridCol w:w="3276"/>
        <w:gridCol w:w="3970"/>
      </w:tblGrid>
      <w:tr>
        <w:trPr>
          <w:tblHeader/>
        </w:trPr>
        <w:tc>
          <w:tcPr>
            <w:tcW w:type="dxa" w:w="2114"/>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7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70"/>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7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70"/>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Rule-override request</w:t>
            </w:r>
          </w:p>
        </w:tc>
        <w:tc>
          <w:tcPr>
            <w:tcW w:type="dxa" w:w="327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70"/>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7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70"/>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7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70"/>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Tool-description poisoning</w:t>
            </w:r>
          </w:p>
        </w:tc>
        <w:tc>
          <w:tcPr>
            <w:tcW w:type="dxa" w:w="327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70"/>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Persistent injection</w:t>
            </w:r>
          </w:p>
        </w:tc>
        <w:tc>
          <w:tcPr>
            <w:tcW w:type="dxa" w:w="327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70"/>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7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70"/>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7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70"/>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Best-of-N probing</w:t>
            </w:r>
          </w:p>
        </w:tc>
        <w:tc>
          <w:tcPr>
            <w:tcW w:type="dxa" w:w="327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70"/>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(ASG‑16); injection screening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Mandate abuse</w:t>
            </w:r>
          </w:p>
        </w:tc>
        <w:tc>
          <w:tcPr>
            <w:tcW w:type="dxa" w:w="327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70"/>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shared assignment</w:t>
            </w:r>
          </w:p>
        </w:tc>
        <w:tc>
          <w:tcPr>
            <w:tcW w:type="dxa" w:w="327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70"/>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7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70"/>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Approver without authority</w:t>
            </w:r>
          </w:p>
        </w:tc>
        <w:tc>
          <w:tcPr>
            <w:tcW w:type="dxa" w:w="327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70"/>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Token theft</w:t>
            </w:r>
          </w:p>
        </w:tc>
        <w:tc>
          <w:tcPr>
            <w:tcW w:type="dxa" w:w="327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70"/>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Agent impersonation</w:t>
            </w:r>
          </w:p>
        </w:tc>
        <w:tc>
          <w:tcPr>
            <w:tcW w:type="dxa" w:w="327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70"/>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Signing-key theft</w:t>
            </w:r>
          </w:p>
        </w:tc>
        <w:tc>
          <w:tcPr>
            <w:tcW w:type="dxa" w:w="327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70"/>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7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70"/>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Cross-tenant leakage</w:t>
            </w:r>
          </w:p>
        </w:tc>
        <w:tc>
          <w:tcPr>
            <w:tcW w:type="dxa" w:w="327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70"/>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custom connector</w:t>
            </w:r>
          </w:p>
        </w:tc>
        <w:tc>
          <w:tcPr>
            <w:tcW w:type="dxa" w:w="3276"/>
            <w:tcMar>
              <w:top w:type="dxa" w:w="60"/>
              <w:left w:type="dxa" w:w="100"/>
              <w:bottom w:type="dxa" w:w="60"/>
              <w:right w:type="dxa" w:w="100"/>
            </w:tcMar>
          </w:tcPr>
          <w:p>
            <w:pPr>
              <w:spacing w:after="0" w:before="0" w:line="252"/>
            </w:pPr>
            <w:r>
              <w:rPr>
                <w:sz w:val="19"/>
                <w:szCs w:val="19"/>
              </w:rPr>
              <w:t xml:space="preserve">A connector exfiltrates data</w:t>
            </w:r>
          </w:p>
        </w:tc>
        <w:tc>
          <w:tcPr>
            <w:tcW w:type="dxa" w:w="3970"/>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Runaway cost</w:t>
            </w:r>
          </w:p>
        </w:tc>
        <w:tc>
          <w:tcPr>
            <w:tcW w:type="dxa" w:w="3276"/>
            <w:tcMar>
              <w:top w:type="dxa" w:w="60"/>
              <w:left w:type="dxa" w:w="100"/>
              <w:bottom w:type="dxa" w:w="60"/>
              <w:right w:type="dxa" w:w="100"/>
            </w:tcMar>
          </w:tcPr>
          <w:p>
            <w:pPr>
              <w:spacing w:after="0" w:before="0" w:line="252"/>
            </w:pPr>
            <w:r>
              <w:rPr>
                <w:sz w:val="19"/>
                <w:szCs w:val="19"/>
              </w:rPr>
              <w:t xml:space="preserve">A loop burns through tokens</w:t>
            </w:r>
          </w:p>
        </w:tc>
        <w:tc>
          <w:tcPr>
            <w:tcW w:type="dxa" w:w="3970"/>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Spoofed requester</w:t>
            </w:r>
          </w:p>
        </w:tc>
        <w:tc>
          <w:tcPr>
            <w:tcW w:type="dxa" w:w="3276"/>
            <w:tcMar>
              <w:top w:type="dxa" w:w="60"/>
              <w:left w:type="dxa" w:w="100"/>
              <w:bottom w:type="dxa" w:w="60"/>
              <w:right w:type="dxa" w:w="100"/>
            </w:tcMar>
          </w:tcPr>
          <w:p>
            <w:pPr>
              <w:spacing w:after="0" w:before="0" w:line="252"/>
            </w:pPr>
            <w:r>
              <w:rPr>
                <w:sz w:val="19"/>
                <w:szCs w:val="19"/>
              </w:rPr>
              <w:t xml:space="preserve">A fake email from "the boss"</w:t>
            </w:r>
          </w:p>
        </w:tc>
        <w:tc>
          <w:tcPr>
            <w:tcW w:type="dxa" w:w="3970"/>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Unsafe physical action</w:t>
            </w:r>
          </w:p>
        </w:tc>
        <w:tc>
          <w:tcPr>
            <w:tcW w:type="dxa" w:w="327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70"/>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entirely under the v0.7 wording.</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9"/>
        <w:gridCol w:w="2446"/>
        <w:gridCol w:w="2226"/>
        <w:gridCol w:w="1746"/>
        <w:gridCol w:w="1363"/>
      </w:tblGrid>
      <w:tr>
        <w:trPr>
          <w:tblHeader/>
        </w:trPr>
        <w:tc>
          <w:tcPr>
            <w:tcW w:type="dxa" w:w="1579"/>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46"/>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6"/>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6"/>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Platforms (§5)</w:t>
            </w:r>
          </w:p>
        </w:tc>
        <w:tc>
          <w:tcPr>
            <w:tcW w:type="dxa" w:w="2446"/>
            <w:tcMar>
              <w:top w:type="dxa" w:w="60"/>
              <w:left w:type="dxa" w:w="100"/>
              <w:bottom w:type="dxa" w:w="60"/>
              <w:right w:type="dxa" w:w="100"/>
            </w:tcMar>
          </w:tcPr>
          <w:p>
            <w:pPr>
              <w:spacing w:after="0" w:before="0" w:line="252"/>
            </w:pPr>
            <w:r>
              <w:rPr>
                <w:sz w:val="19"/>
                <w:szCs w:val="19"/>
              </w:rPr>
              <w:t xml:space="preserve">PLT‑01 web only; PLT‑06</w:t>
            </w:r>
          </w:p>
        </w:tc>
        <w:tc>
          <w:tcPr>
            <w:tcW w:type="dxa" w:w="2226"/>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6"/>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Connectors (§6)</w:t>
            </w:r>
          </w:p>
        </w:tc>
        <w:tc>
          <w:tcPr>
            <w:tcW w:type="dxa" w:w="2446"/>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6"/>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6"/>
            <w:tcMar>
              <w:top w:type="dxa" w:w="60"/>
              <w:left w:type="dxa" w:w="100"/>
              <w:bottom w:type="dxa" w:w="60"/>
              <w:right w:type="dxa" w:w="100"/>
            </w:tcMar>
          </w:tcPr>
          <w:p>
            <w:pPr>
              <w:spacing w:after="0" w:before="0" w:line="252"/>
            </w:pPr>
            <w:r>
              <w:rPr>
                <w:sz w:val="19"/>
                <w:szCs w:val="19"/>
              </w:rPr>
              <w:t xml:space="preserve">Consumer catalog</w:t>
            </w:r>
          </w:p>
        </w:tc>
        <w:tc>
          <w:tcPr>
            <w:tcW w:type="dxa" w:w="1363"/>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Tasks and runtime (§7)</w:t>
            </w:r>
          </w:p>
        </w:tc>
        <w:tc>
          <w:tcPr>
            <w:tcW w:type="dxa" w:w="2446"/>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w:t>
            </w:r>
          </w:p>
        </w:tc>
        <w:tc>
          <w:tcPr>
            <w:tcW w:type="dxa" w:w="2226"/>
            <w:tcMar>
              <w:top w:type="dxa" w:w="60"/>
              <w:left w:type="dxa" w:w="100"/>
              <w:bottom w:type="dxa" w:w="60"/>
              <w:right w:type="dxa" w:w="100"/>
            </w:tcMar>
          </w:tcPr>
          <w:p>
            <w:pPr>
              <w:spacing w:after="0" w:before="0" w:line="252"/>
            </w:pPr>
            <w:r>
              <w:rPr>
                <w:sz w:val="19"/>
                <w:szCs w:val="19"/>
              </w:rPr>
              <w:t xml:space="preserve">ASG‑03, 07, 08, 18–23; ASG‑16, 24 and RUN‑04 and RUN‑06 as amended (pending MR review)</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Budgets (§8)</w:t>
            </w:r>
          </w:p>
        </w:tc>
        <w:tc>
          <w:tcPr>
            <w:tcW w:type="dxa" w:w="2446"/>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6"/>
            <w:tcMar>
              <w:top w:type="dxa" w:w="60"/>
              <w:left w:type="dxa" w:w="100"/>
              <w:bottom w:type="dxa" w:w="60"/>
              <w:right w:type="dxa" w:w="100"/>
            </w:tcMar>
          </w:tcPr>
          <w:p>
            <w:pPr>
              <w:spacing w:after="0" w:before="0" w:line="252"/>
            </w:pPr>
            <w:r>
              <w:rPr>
                <w:sz w:val="19"/>
                <w:szCs w:val="19"/>
              </w:rPr>
              <w:t xml:space="preserve">BUD‑06 groups; BUD‑07, 09</w:t>
            </w:r>
          </w:p>
        </w:tc>
        <w:tc>
          <w:tcPr>
            <w:tcW w:type="dxa" w:w="1746"/>
            <w:tcMar>
              <w:top w:type="dxa" w:w="60"/>
              <w:left w:type="dxa" w:w="100"/>
              <w:bottom w:type="dxa" w:w="60"/>
              <w:right w:type="dxa" w:w="100"/>
            </w:tcMar>
          </w:tcPr>
          <w:p>
            <w:pPr>
              <w:spacing w:after="0" w:before="0" w:line="252"/>
            </w:pPr>
            <w:r>
              <w:rPr>
                <w:sz w:val="19"/>
                <w:szCs w:val="19"/>
              </w:rPr>
              <w:t xml:space="preserve">Account cap</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Router, supervisor, inventory (§9)</w:t>
            </w:r>
          </w:p>
        </w:tc>
        <w:tc>
          <w:tcPr>
            <w:tcW w:type="dxa" w:w="2446"/>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6"/>
            <w:tcMar>
              <w:top w:type="dxa" w:w="60"/>
              <w:left w:type="dxa" w:w="100"/>
              <w:bottom w:type="dxa" w:w="60"/>
              <w:right w:type="dxa" w:w="100"/>
            </w:tcMar>
          </w:tcPr>
          <w:p>
            <w:pPr>
              <w:spacing w:after="0" w:before="0" w:line="252"/>
            </w:pPr>
            <w:r>
              <w:rPr>
                <w:sz w:val="19"/>
                <w:szCs w:val="19"/>
              </w:rPr>
              <w:t xml:space="preserve">RTR‑06; SUP‑05; INV‑04</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Templates (§10)</w:t>
            </w:r>
          </w:p>
        </w:tc>
        <w:tc>
          <w:tcPr>
            <w:tcW w:type="dxa" w:w="2446"/>
            <w:tcMar>
              <w:top w:type="dxa" w:w="60"/>
              <w:left w:type="dxa" w:w="100"/>
              <w:bottom w:type="dxa" w:w="60"/>
              <w:right w:type="dxa" w:w="100"/>
            </w:tcMar>
          </w:tcPr>
          <w:p>
            <w:pPr>
              <w:spacing w:after="0" w:before="0" w:line="252"/>
            </w:pPr>
            <w:r>
              <w:rPr>
                <w:sz w:val="19"/>
                <w:szCs w:val="19"/>
              </w:rPr>
              <w:t xml:space="preserve">—</w:t>
            </w:r>
          </w:p>
        </w:tc>
        <w:tc>
          <w:tcPr>
            <w:tcW w:type="dxa" w:w="2226"/>
            <w:tcMar>
              <w:top w:type="dxa" w:w="60"/>
              <w:left w:type="dxa" w:w="100"/>
              <w:bottom w:type="dxa" w:w="60"/>
              <w:right w:type="dxa" w:w="100"/>
            </w:tcMar>
          </w:tcPr>
          <w:p>
            <w:pPr>
              <w:spacing w:after="0" w:before="0" w:line="252"/>
            </w:pPr>
            <w:r>
              <w:rPr>
                <w:sz w:val="19"/>
                <w:szCs w:val="19"/>
              </w:rPr>
              <w:t xml:space="preserve">TPL‑01–07</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Scheduling and triggers (§11)</w:t>
            </w:r>
          </w:p>
        </w:tc>
        <w:tc>
          <w:tcPr>
            <w:tcW w:type="dxa" w:w="2446"/>
            <w:tcMar>
              <w:top w:type="dxa" w:w="60"/>
              <w:left w:type="dxa" w:w="100"/>
              <w:bottom w:type="dxa" w:w="60"/>
              <w:right w:type="dxa" w:w="100"/>
            </w:tcMar>
          </w:tcPr>
          <w:p>
            <w:pPr>
              <w:spacing w:after="0" w:before="0" w:line="252"/>
            </w:pPr>
            <w:r>
              <w:rPr>
                <w:sz w:val="19"/>
                <w:szCs w:val="19"/>
              </w:rPr>
              <w:t xml:space="preserve">SCH‑03 mail events</w:t>
            </w:r>
          </w:p>
        </w:tc>
        <w:tc>
          <w:tcPr>
            <w:tcW w:type="dxa" w:w="2226"/>
            <w:tcMar>
              <w:top w:type="dxa" w:w="60"/>
              <w:left w:type="dxa" w:w="100"/>
              <w:bottom w:type="dxa" w:w="60"/>
              <w:right w:type="dxa" w:w="100"/>
            </w:tcMar>
          </w:tcPr>
          <w:p>
            <w:pPr>
              <w:spacing w:after="0" w:before="0" w:line="252"/>
            </w:pPr>
            <w:r>
              <w:rPr>
                <w:sz w:val="19"/>
                <w:szCs w:val="19"/>
              </w:rPr>
              <w:t xml:space="preserve">SCH‑01, 02, 07, 08</w:t>
            </w:r>
          </w:p>
        </w:tc>
        <w:tc>
          <w:tcPr>
            <w:tcW w:type="dxa" w:w="1746"/>
            <w:tcMar>
              <w:top w:type="dxa" w:w="60"/>
              <w:left w:type="dxa" w:w="100"/>
              <w:bottom w:type="dxa" w:w="60"/>
              <w:right w:type="dxa" w:w="100"/>
            </w:tcMar>
          </w:tcPr>
          <w:p>
            <w:pPr>
              <w:spacing w:after="0" w:before="0" w:line="252"/>
            </w:pPr>
            <w:r>
              <w:rPr>
                <w:sz w:val="19"/>
                <w:szCs w:val="19"/>
              </w:rPr>
              <w:t xml:space="preserve">SCH‑04–06</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Q&amp;A and chat (§12)</w:t>
            </w:r>
          </w:p>
        </w:tc>
        <w:tc>
          <w:tcPr>
            <w:tcW w:type="dxa" w:w="2446"/>
            <w:tcMar>
              <w:top w:type="dxa" w:w="60"/>
              <w:left w:type="dxa" w:w="100"/>
              <w:bottom w:type="dxa" w:w="60"/>
              <w:right w:type="dxa" w:w="100"/>
            </w:tcMar>
          </w:tcPr>
          <w:p>
            <w:pPr>
              <w:spacing w:after="0" w:before="0" w:line="252"/>
            </w:pPr>
            <w:r>
              <w:rPr>
                <w:sz w:val="19"/>
                <w:szCs w:val="19"/>
              </w:rPr>
              <w:t xml:space="preserve">QA‑01–03</w:t>
            </w:r>
          </w:p>
        </w:tc>
        <w:tc>
          <w:tcPr>
            <w:tcW w:type="dxa" w:w="2226"/>
            <w:tcMar>
              <w:top w:type="dxa" w:w="60"/>
              <w:left w:type="dxa" w:w="100"/>
              <w:bottom w:type="dxa" w:w="60"/>
              <w:right w:type="dxa" w:w="100"/>
            </w:tcMar>
          </w:tcPr>
          <w:p>
            <w:pPr>
              <w:spacing w:after="0" w:before="0" w:line="252"/>
            </w:pPr>
            <w:r>
              <w:rPr>
                <w:sz w:val="19"/>
                <w:szCs w:val="19"/>
              </w:rPr>
              <w:t xml:space="preserve">QA‑04–06</w:t>
            </w:r>
          </w:p>
        </w:tc>
        <w:tc>
          <w:tcPr>
            <w:tcW w:type="dxa" w:w="1746"/>
            <w:tcMar>
              <w:top w:type="dxa" w:w="60"/>
              <w:left w:type="dxa" w:w="100"/>
              <w:bottom w:type="dxa" w:w="60"/>
              <w:right w:type="dxa" w:w="100"/>
            </w:tcMar>
          </w:tcPr>
          <w:p>
            <w:pPr>
              <w:spacing w:after="0" w:before="0" w:line="252"/>
            </w:pPr>
            <w:r>
              <w:rPr>
                <w:sz w:val="19"/>
                <w:szCs w:val="19"/>
              </w:rPr>
              <w:t xml:space="preserve">QA‑07</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Admin and providers (§13)</w:t>
            </w:r>
          </w:p>
        </w:tc>
        <w:tc>
          <w:tcPr>
            <w:tcW w:type="dxa" w:w="2446"/>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6"/>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6"/>
            <w:tcMar>
              <w:top w:type="dxa" w:w="60"/>
              <w:left w:type="dxa" w:w="100"/>
              <w:bottom w:type="dxa" w:w="60"/>
              <w:right w:type="dxa" w:w="100"/>
            </w:tcMar>
          </w:tcPr>
          <w:p>
            <w:pPr>
              <w:spacing w:after="0" w:before="0" w:line="252"/>
            </w:pPr>
            <w:r>
              <w:rPr>
                <w:sz w:val="19"/>
                <w:szCs w:val="19"/>
              </w:rPr>
              <w:t xml:space="preserve">Consumer sign-in</w:t>
            </w:r>
          </w:p>
        </w:tc>
        <w:tc>
          <w:tcPr>
            <w:tcW w:type="dxa" w:w="1363"/>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Payments (§14)</w:t>
            </w:r>
          </w:p>
        </w:tc>
        <w:tc>
          <w:tcPr>
            <w:tcW w:type="dxa" w:w="2446"/>
            <w:tcMar>
              <w:top w:type="dxa" w:w="60"/>
              <w:left w:type="dxa" w:w="100"/>
              <w:bottom w:type="dxa" w:w="60"/>
              <w:right w:type="dxa" w:w="100"/>
            </w:tcMar>
          </w:tcPr>
          <w:p>
            <w:pPr>
              <w:spacing w:after="0" w:before="0" w:line="252"/>
            </w:pPr>
            <w:r>
              <w:rPr>
                <w:sz w:val="19"/>
                <w:szCs w:val="19"/>
              </w:rPr>
              <w:t xml:space="preserve">—</w:t>
            </w:r>
          </w:p>
        </w:tc>
        <w:tc>
          <w:tcPr>
            <w:tcW w:type="dxa" w:w="2226"/>
            <w:tcMar>
              <w:top w:type="dxa" w:w="60"/>
              <w:left w:type="dxa" w:w="100"/>
              <w:bottom w:type="dxa" w:w="60"/>
              <w:right w:type="dxa" w:w="100"/>
            </w:tcMar>
          </w:tcPr>
          <w:p>
            <w:pPr>
              <w:spacing w:after="0" w:before="0" w:line="252"/>
            </w:pPr>
            <w:r>
              <w:rPr>
                <w:sz w:val="19"/>
                <w:szCs w:val="19"/>
              </w:rPr>
              <w:t xml:space="preserve">—</w:t>
            </w:r>
          </w:p>
        </w:tc>
        <w:tc>
          <w:tcPr>
            <w:tcW w:type="dxa" w:w="1746"/>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3"/>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Security and privacy (§15)</w:t>
            </w:r>
          </w:p>
        </w:tc>
        <w:tc>
          <w:tcPr>
            <w:tcW w:type="dxa" w:w="2446"/>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6"/>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6"/>
            <w:tcMar>
              <w:top w:type="dxa" w:w="60"/>
              <w:left w:type="dxa" w:w="100"/>
              <w:bottom w:type="dxa" w:w="60"/>
              <w:right w:type="dxa" w:w="100"/>
            </w:tcMar>
          </w:tcPr>
          <w:p>
            <w:pPr>
              <w:spacing w:after="0" w:before="0" w:line="252"/>
            </w:pPr>
            <w:r>
              <w:rPr>
                <w:sz w:val="19"/>
                <w:szCs w:val="19"/>
              </w:rPr>
              <w:t xml:space="preserve">SEC‑06</w:t>
            </w:r>
          </w:p>
        </w:tc>
        <w:tc>
          <w:tcPr>
            <w:tcW w:type="dxa" w:w="1363"/>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Non-functional (§17)</w:t>
            </w:r>
          </w:p>
        </w:tc>
        <w:tc>
          <w:tcPr>
            <w:tcW w:type="dxa" w:w="2446"/>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6"/>
            <w:tcMar>
              <w:top w:type="dxa" w:w="60"/>
              <w:left w:type="dxa" w:w="100"/>
              <w:bottom w:type="dxa" w:w="60"/>
              <w:right w:type="dxa" w:w="100"/>
            </w:tcMar>
          </w:tcPr>
          <w:p>
            <w:pPr>
              <w:spacing w:after="0" w:before="0" w:line="252"/>
            </w:pPr>
            <w:r>
              <w:rPr>
                <w:sz w:val="19"/>
                <w:szCs w:val="19"/>
              </w:rPr>
              <w:t xml:space="preserve">All rows</w:t>
            </w:r>
          </w:p>
        </w:tc>
        <w:tc>
          <w:tcPr>
            <w:tcW w:type="dxa" w:w="1746"/>
            <w:tcMar>
              <w:top w:type="dxa" w:w="60"/>
              <w:left w:type="dxa" w:w="100"/>
              <w:bottom w:type="dxa" w:w="60"/>
              <w:right w:type="dxa" w:w="100"/>
            </w:tcMar>
          </w:tcPr>
          <w:p>
            <w:pPr>
              <w:spacing w:after="0" w:before="0" w:line="252"/>
            </w:pPr>
            <w:r>
              <w:rPr>
                <w:sz w:val="19"/>
                <w:szCs w:val="19"/>
              </w:rPr>
              <w:t xml:space="preserve">Home scale</w:t>
            </w:r>
          </w:p>
        </w:tc>
        <w:tc>
          <w:tcPr>
            <w:tcW w:type="dxa" w:w="136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entirely under the master rules' v0.7 wording (§1): every action, compensations included, is approved in a live session, and the beta has no mandates, service accounts, model-written code or queries, or security changes.</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mandates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1333"/>
        <w:gridCol w:w="1991"/>
        <w:gridCol w:w="2894"/>
      </w:tblGrid>
      <w:tr>
        <w:trPr>
          <w:tblHeader/>
        </w:trPr>
        <w:tc>
          <w:tcPr>
            <w:tcW w:type="dxa" w:w="314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3"/>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94"/>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35%</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60%</w:t>
            </w:r>
          </w:p>
        </w:tc>
        <w:tc>
          <w:tcPr>
            <w:tcW w:type="dxa" w:w="2894"/>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94"/>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upper 95% bound ≤15%</w:t>
            </w:r>
          </w:p>
        </w:tc>
        <w:tc>
          <w:tcPr>
            <w:tcW w:type="dxa" w:w="2894"/>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&lt;2%</w:t>
            </w:r>
          </w:p>
        </w:tc>
        <w:tc>
          <w:tcPr>
            <w:tcW w:type="dxa" w:w="2894"/>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≥90%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of interventions</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Supervision cost share</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≤15% of run cost</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94"/>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50%</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60% of licensed</w:t>
            </w:r>
          </w:p>
        </w:tc>
        <w:tc>
          <w:tcPr>
            <w:tcW w:type="dxa" w:w="2894"/>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Master-rule violations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24"/>
        <w:gridCol w:w="4067"/>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24"/>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67"/>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24"/>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67"/>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24"/>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67"/>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24"/>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67"/>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24"/>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67"/>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24"/>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67"/>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24"/>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67"/>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24"/>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67"/>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24"/>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67"/>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24"/>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67"/>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24"/>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67"/>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24"/>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w:t>
            </w:r>
          </w:p>
        </w:tc>
        <w:tc>
          <w:tcPr>
            <w:tcW w:type="dxa" w:w="4067"/>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24"/>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67"/>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24"/>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67"/>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24"/>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67"/>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24"/>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67"/>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24"/>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67"/>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24"/>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67"/>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24"/>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67"/>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24"/>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67"/>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24"/>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67"/>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24"/>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67"/>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24"/>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67"/>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24"/>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67"/>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24"/>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67"/>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24"/>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67"/>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24"/>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67"/>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663"/>
        <w:gridCol w:w="4249"/>
      </w:tblGrid>
      <w:tr>
        <w:trPr>
          <w:tblHeader/>
        </w:trPr>
        <w:tc>
          <w:tcPr>
            <w:tcW w:type="dxa" w:w="2448"/>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63"/>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63"/>
            <w:tcMar>
              <w:top w:type="dxa" w:w="60"/>
              <w:left w:type="dxa" w:w="100"/>
              <w:bottom w:type="dxa" w:w="60"/>
              <w:right w:type="dxa" w:w="100"/>
            </w:tcMar>
          </w:tcPr>
          <w:p>
            <w:pPr>
              <w:spacing w:after="0" w:before="0" w:line="252"/>
            </w:pPr>
            <w:r>
              <w:rPr>
                <w:sz w:val="19"/>
                <w:szCs w:val="19"/>
              </w:rPr>
              <w:t xml:space="preserve">Slow launch, thin quality</w:t>
            </w:r>
          </w:p>
        </w:tc>
        <w:tc>
          <w:tcPr>
            <w:tcW w:type="dxa" w:w="4249"/>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63"/>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49"/>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63"/>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49"/>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63"/>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49"/>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Sparse routing data early on</w:t>
            </w:r>
          </w:p>
        </w:tc>
        <w:tc>
          <w:tcPr>
            <w:tcW w:type="dxa" w:w="2663"/>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49"/>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Model and price churn</w:t>
            </w:r>
          </w:p>
        </w:tc>
        <w:tc>
          <w:tcPr>
            <w:tcW w:type="dxa" w:w="2663"/>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49"/>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63"/>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49"/>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Supervisor overhead</w:t>
            </w:r>
          </w:p>
        </w:tc>
        <w:tc>
          <w:tcPr>
            <w:tcW w:type="dxa" w:w="2663"/>
            <w:tcMar>
              <w:top w:type="dxa" w:w="60"/>
              <w:left w:type="dxa" w:w="100"/>
              <w:bottom w:type="dxa" w:w="60"/>
              <w:right w:type="dxa" w:w="100"/>
            </w:tcMar>
          </w:tcPr>
          <w:p>
            <w:pPr>
              <w:spacing w:after="0" w:before="0" w:line="252"/>
            </w:pPr>
            <w:r>
              <w:rPr>
                <w:sz w:val="19"/>
                <w:szCs w:val="19"/>
              </w:rPr>
              <w:t xml:space="preserve">Erodes cost savings</w:t>
            </w:r>
          </w:p>
        </w:tc>
        <w:tc>
          <w:tcPr>
            <w:tcW w:type="dxa" w:w="4249"/>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63"/>
            <w:tcMar>
              <w:top w:type="dxa" w:w="60"/>
              <w:left w:type="dxa" w:w="100"/>
              <w:bottom w:type="dxa" w:w="60"/>
              <w:right w:type="dxa" w:w="100"/>
            </w:tcMar>
          </w:tcPr>
          <w:p>
            <w:pPr>
              <w:spacing w:after="0" w:before="0" w:line="252"/>
            </w:pPr>
            <w:r>
              <w:rPr>
                <w:sz w:val="19"/>
                <w:szCs w:val="19"/>
              </w:rPr>
              <w:t xml:space="preserve">Launch delay</w:t>
            </w:r>
          </w:p>
        </w:tc>
        <w:tc>
          <w:tcPr>
            <w:tcW w:type="dxa" w:w="4249"/>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63"/>
            <w:tcMar>
              <w:top w:type="dxa" w:w="60"/>
              <w:left w:type="dxa" w:w="100"/>
              <w:bottom w:type="dxa" w:w="60"/>
              <w:right w:type="dxa" w:w="100"/>
            </w:tcMar>
          </w:tcPr>
          <w:p>
            <w:pPr>
              <w:spacing w:after="0" w:before="0" w:line="252"/>
            </w:pPr>
            <w:r>
              <w:rPr>
                <w:sz w:val="19"/>
                <w:szCs w:val="19"/>
              </w:rPr>
              <w:t xml:space="preserve">Refunds, disputes</w:t>
            </w:r>
          </w:p>
        </w:tc>
        <w:tc>
          <w:tcPr>
            <w:tcW w:type="dxa" w:w="4249"/>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63"/>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49"/>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63"/>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49"/>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seven amendments and the MR‑12 reading, now an amendment.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0"/>
        <w:gridCol w:w="1739"/>
        <w:gridCol w:w="2235"/>
        <w:gridCol w:w="2446"/>
      </w:tblGrid>
      <w:tr>
        <w:trPr>
          <w:tblHeader/>
        </w:trPr>
        <w:tc>
          <w:tcPr>
            <w:tcW w:type="dxa" w:w="294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39"/>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35"/>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46"/>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46"/>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39"/>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35"/>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46"/>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for phasing</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39"/>
            <w:tcMar>
              <w:top w:type="dxa" w:w="60"/>
              <w:left w:type="dxa" w:w="100"/>
              <w:bottom w:type="dxa" w:w="60"/>
              <w:right w:type="dxa" w:w="100"/>
            </w:tcMar>
          </w:tcPr>
          <w:p>
            <w:pPr>
              <w:spacing w:after="0" w:before="0" w:line="252"/>
            </w:pPr>
            <w:r>
              <w:rPr>
                <w:sz w:val="19"/>
                <w:szCs w:val="19"/>
              </w:rPr>
              <w:t xml:space="preserve">Engineering, product</w:t>
            </w:r>
          </w:p>
        </w:tc>
        <w:tc>
          <w:tcPr>
            <w:tcW w:type="dxa" w:w="2235"/>
            <w:tcMar>
              <w:top w:type="dxa" w:w="60"/>
              <w:left w:type="dxa" w:w="100"/>
              <w:bottom w:type="dxa" w:w="60"/>
              <w:right w:type="dxa" w:w="100"/>
            </w:tcMar>
          </w:tcPr>
          <w:p>
            <w:pPr>
              <w:spacing w:after="0" w:before="0" w:line="252"/>
            </w:pPr>
            <w:r>
              <w:rPr>
                <w:sz w:val="19"/>
                <w:szCs w:val="19"/>
              </w:rPr>
              <w:t xml:space="preserve">Before orchestrator build</w:t>
            </w:r>
          </w:p>
        </w:tc>
        <w:tc>
          <w:tcPr>
            <w:tcW w:type="dxa" w:w="2446"/>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39"/>
            <w:tcMar>
              <w:top w:type="dxa" w:w="60"/>
              <w:left w:type="dxa" w:w="100"/>
              <w:bottom w:type="dxa" w:w="60"/>
              <w:right w:type="dxa" w:w="100"/>
            </w:tcMar>
          </w:tcPr>
          <w:p>
            <w:pPr>
              <w:spacing w:after="0" w:before="0" w:line="252"/>
            </w:pPr>
            <w:r>
              <w:rPr>
                <w:sz w:val="19"/>
                <w:szCs w:val="19"/>
              </w:rPr>
              <w:t xml:space="preserve">Product, data</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Before budget build</w:t>
            </w:r>
          </w:p>
        </w:tc>
        <w:tc>
          <w:tcPr>
            <w:tcW w:type="dxa" w:w="2446"/>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39"/>
            <w:tcMar>
              <w:top w:type="dxa" w:w="60"/>
              <w:left w:type="dxa" w:w="100"/>
              <w:bottom w:type="dxa" w:w="60"/>
              <w:right w:type="dxa" w:w="100"/>
            </w:tcMar>
          </w:tcPr>
          <w:p>
            <w:pPr>
              <w:spacing w:after="0" w:before="0" w:line="252"/>
            </w:pPr>
            <w:r>
              <w:rPr>
                <w:sz w:val="19"/>
                <w:szCs w:val="19"/>
              </w:rPr>
              <w:t xml:space="preserve">Sales, legal</w:t>
            </w:r>
          </w:p>
        </w:tc>
        <w:tc>
          <w:tcPr>
            <w:tcW w:type="dxa" w:w="2235"/>
            <w:tcMar>
              <w:top w:type="dxa" w:w="60"/>
              <w:left w:type="dxa" w:w="100"/>
              <w:bottom w:type="dxa" w:w="60"/>
              <w:right w:type="dxa" w:w="100"/>
            </w:tcMar>
          </w:tcPr>
          <w:p>
            <w:pPr>
              <w:spacing w:after="0" w:before="0" w:line="252"/>
            </w:pPr>
            <w:r>
              <w:rPr>
                <w:sz w:val="19"/>
                <w:szCs w:val="19"/>
              </w:rPr>
              <w:t xml:space="preserve">Before Enterprise GA</w:t>
            </w:r>
          </w:p>
        </w:tc>
        <w:tc>
          <w:tcPr>
            <w:tcW w:type="dxa" w:w="2446"/>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39"/>
            <w:tcMar>
              <w:top w:type="dxa" w:w="60"/>
              <w:left w:type="dxa" w:w="100"/>
              <w:bottom w:type="dxa" w:w="60"/>
              <w:right w:type="dxa" w:w="100"/>
            </w:tcMar>
          </w:tcPr>
          <w:p>
            <w:pPr>
              <w:spacing w:after="0" w:before="0" w:line="252"/>
            </w:pPr>
            <w:r>
              <w:rPr>
                <w:sz w:val="19"/>
                <w:szCs w:val="19"/>
              </w:rPr>
              <w:t xml:space="preserve">Business development</w:t>
            </w:r>
          </w:p>
        </w:tc>
        <w:tc>
          <w:tcPr>
            <w:tcW w:type="dxa" w:w="2235"/>
            <w:tcMar>
              <w:top w:type="dxa" w:w="60"/>
              <w:left w:type="dxa" w:w="100"/>
              <w:bottom w:type="dxa" w:w="60"/>
              <w:right w:type="dxa" w:w="100"/>
            </w:tcMar>
          </w:tcPr>
          <w:p>
            <w:pPr>
              <w:spacing w:after="0" w:before="0" w:line="252"/>
            </w:pPr>
            <w:r>
              <w:rPr>
                <w:sz w:val="19"/>
                <w:szCs w:val="19"/>
              </w:rPr>
              <w:t xml:space="preserve">Before Home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before the GA build; the beta runs under the v0.7 wording (§1)</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39"/>
            <w:tcMar>
              <w:top w:type="dxa" w:w="60"/>
              <w:left w:type="dxa" w:w="100"/>
              <w:bottom w:type="dxa" w:w="60"/>
              <w:right w:type="dxa" w:w="100"/>
            </w:tcMar>
          </w:tcPr>
          <w:p>
            <w:pPr>
              <w:spacing w:after="0" w:before="0" w:line="252"/>
            </w:pPr>
            <w:r>
              <w:rPr>
                <w:sz w:val="19"/>
                <w:szCs w:val="19"/>
              </w:rPr>
              <w:t xml:space="preserve">Engineering</w:t>
            </w:r>
          </w:p>
        </w:tc>
        <w:tc>
          <w:tcPr>
            <w:tcW w:type="dxa" w:w="2235"/>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46"/>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39"/>
            <w:tcMar>
              <w:top w:type="dxa" w:w="60"/>
              <w:left w:type="dxa" w:w="100"/>
              <w:bottom w:type="dxa" w:w="60"/>
              <w:right w:type="dxa" w:w="100"/>
            </w:tcMar>
          </w:tcPr>
          <w:p>
            <w:pPr>
              <w:spacing w:after="0" w:before="0" w:line="252"/>
            </w:pPr>
            <w:r>
              <w:rPr>
                <w:sz w:val="19"/>
                <w:szCs w:val="19"/>
              </w:rPr>
              <w:t xml:space="preserve">Product, legal</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Home minimum age?</w:t>
            </w:r>
          </w:p>
        </w:tc>
        <w:tc>
          <w:tcPr>
            <w:tcW w:type="dxa" w:w="1739"/>
            <w:tcMar>
              <w:top w:type="dxa" w:w="60"/>
              <w:left w:type="dxa" w:w="100"/>
              <w:bottom w:type="dxa" w:w="60"/>
              <w:right w:type="dxa" w:w="100"/>
            </w:tcMar>
          </w:tcPr>
          <w:p>
            <w:pPr>
              <w:spacing w:after="0" w:before="0" w:line="252"/>
            </w:pPr>
            <w:r>
              <w:rPr>
                <w:sz w:val="19"/>
                <w:szCs w:val="19"/>
              </w:rPr>
              <w:t xml:space="preserve">Legal</w:t>
            </w:r>
          </w:p>
        </w:tc>
        <w:tc>
          <w:tcPr>
            <w:tcW w:type="dxa" w:w="2235"/>
            <w:tcMar>
              <w:top w:type="dxa" w:w="60"/>
              <w:left w:type="dxa" w:w="100"/>
              <w:bottom w:type="dxa" w:w="60"/>
              <w:right w:type="dxa" w:w="100"/>
            </w:tcMar>
          </w:tcPr>
          <w:p>
            <w:pPr>
              <w:spacing w:after="0" w:before="0" w:line="252"/>
            </w:pPr>
            <w:r>
              <w:rPr>
                <w:sz w:val="19"/>
                <w:szCs w:val="19"/>
              </w:rPr>
              <w:t xml:space="preserve">Before Home launch</w:t>
            </w:r>
          </w:p>
        </w:tc>
        <w:tc>
          <w:tcPr>
            <w:tcW w:type="dxa" w:w="2446"/>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beta signing</w:t>
            </w:r>
          </w:p>
        </w:tc>
        <w:tc>
          <w:tcPr>
            <w:tcW w:type="dxa" w:w="2446"/>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39"/>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35"/>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46"/>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8330"/>
      </w:tblGrid>
      <w:tr>
        <w:trPr>
          <w:tblHeader/>
        </w:trPr>
        <w:tc>
          <w:tcPr>
            <w:tcW w:type="dxa" w:w="103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0"/>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MR‑10</w:t>
            </w:r>
          </w:p>
        </w:tc>
        <w:tc>
          <w:tcPr>
            <w:tcW w:type="dxa" w:w="8330"/>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MR‑15</w:t>
            </w:r>
          </w:p>
        </w:tc>
        <w:tc>
          <w:tcPr>
            <w:tcW w:type="dxa" w:w="8330"/>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MR‑22</w:t>
            </w:r>
          </w:p>
        </w:tc>
        <w:tc>
          <w:tcPr>
            <w:tcW w:type="dxa" w:w="8330"/>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MR‑23</w:t>
            </w:r>
          </w:p>
        </w:tc>
        <w:tc>
          <w:tcPr>
            <w:tcW w:type="dxa" w:w="8330"/>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MR‑24</w:t>
            </w:r>
          </w:p>
        </w:tc>
        <w:tc>
          <w:tcPr>
            <w:tcW w:type="dxa" w:w="8330"/>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MR‑26</w:t>
            </w:r>
          </w:p>
        </w:tc>
        <w:tc>
          <w:tcPr>
            <w:tcW w:type="dxa" w:w="8330"/>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0"/>
        <w:gridCol w:w="1115"/>
        <w:gridCol w:w="7005"/>
      </w:tblGrid>
      <w:tr>
        <w:trPr>
          <w:tblHeader/>
        </w:trPr>
        <w:tc>
          <w:tcPr>
            <w:tcW w:type="dxa" w:w="1240"/>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5"/>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5"/>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v0.11</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v0.10</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v0.9</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v0.8</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v0.7</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v0.6</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5"/>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v0.5</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5"/>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v0.4</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5"/>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v0.3</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5"/>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v0.2</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5"/>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5"/>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xls-x1vyexzxy14wlvwvy">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8v48qem9r-sfcucgm8blj">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alww-zs_zb2pea-ggspxv">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sfjtdsrrlcm67va3xeq_p">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gdloop085rewzdehmfzrk">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xvtuq5hothrtu3puotev3">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fcfzhmxvguqvrptv5y5ic">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refd1wwx_3mra2gply6g3">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tbsrpc1zxkokjh551-4v3">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ajopxpgsztj_bkxvm83we">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i2i3fsj7zab5848akee3d">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ls-x1vyexzxy14wlvwvy" Type="http://schemas.openxmlformats.org/officeDocument/2006/relationships/hyperlink" Target="https://docs.temporal.io/activity-definition#idempotency" TargetMode="External"/><Relationship Id="rId8v48qem9r-sfcucgm8blj" Type="http://schemas.openxmlformats.org/officeDocument/2006/relationships/hyperlink" Target="https://learn.microsoft.com/en-us/entra/identity-platform/configurable-token-lifetimes" TargetMode="External"/><Relationship Id="rIdalww-zs_zb2pea-ggspxv" Type="http://schemas.openxmlformats.org/officeDocument/2006/relationships/hyperlink" Target="https://cheatsheetseries.owasp.org/cheatsheets/LLM_Prompt_Injection_Prevention_Cheat_Sheet.html" TargetMode="External"/><Relationship Id="rIdsfjtdsrrlcm67va3xeq_p" Type="http://schemas.openxmlformats.org/officeDocument/2006/relationships/hyperlink" Target="https://learn.microsoft.com/en-us/entra/identity/app-provisioning/use-scim-to-provision-users-and-groups" TargetMode="External"/><Relationship Id="rIdgdloop085rewzdehmfzrk" Type="http://schemas.openxmlformats.org/officeDocument/2006/relationships/hyperlink" Target="https://learn.microsoft.com/en-us/entra/identity/conditional-access/concept-continuous-access-evaluation" TargetMode="External"/><Relationship Id="rIdxvtuq5hothrtu3puotev3" Type="http://schemas.openxmlformats.org/officeDocument/2006/relationships/hyperlink" Target="https://www.unicode.org/reports/tr39/" TargetMode="External"/><Relationship Id="rIdfcfzhmxvguqvrptv5y5ic" Type="http://schemas.openxmlformats.org/officeDocument/2006/relationships/hyperlink" Target="https://datatracker.ietf.org/doc/draft-ietf-webbotauth-httpsig-protocol/" TargetMode="External"/><Relationship Id="rIdrefd1wwx_3mra2gply6g3" Type="http://schemas.openxmlformats.org/officeDocument/2006/relationships/hyperlink" Target="https://developers.cloudflare.com/bots/reference/bot-verification/web-bot-auth/" TargetMode="External"/><Relationship Id="rIdtbsrpc1zxkokjh551-4v3" Type="http://schemas.openxmlformats.org/officeDocument/2006/relationships/hyperlink" Target="https://aws.amazon.com/about-aws/whats-new/2025/11/aws-waf-web-bot-auth-support" TargetMode="External"/><Relationship Id="rIdajopxpgsztj_bkxvm83we" Type="http://schemas.openxmlformats.org/officeDocument/2006/relationships/hyperlink" Target="https://blog.cloudflare.com/secure-agentic-commerce/" TargetMode="External"/><Relationship Id="rIdi2i3fsj7zab5848akee3d"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v0.11)</dc:title>
  <dc:creator>Collicity</dc:creator>
  <cp:lastModifiedBy>Un-named</cp:lastModifiedBy>
  <cp:revision>1</cp:revision>
  <dcterms:created xsi:type="dcterms:W3CDTF">2026-10-10T12:47:28.498Z</dcterms:created>
  <dcterms:modified xsi:type="dcterms:W3CDTF">2026-10-10T12:47:28.499Z</dcterms:modified>
</cp:coreProperties>
</file>

<file path=docProps/custom.xml><?xml version="1.0" encoding="utf-8"?>
<Properties xmlns="http://schemas.openxmlformats.org/officeDocument/2006/custom-properties" xmlns:vt="http://schemas.openxmlformats.org/officeDocument/2006/docPropsVTypes"/>
</file>