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v0.10)</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seven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has one person, so these reviews aren't independent. Each decision was recorded with its reasoning and confirmed again after a 48-hour wait.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entirely under the v0.7 wording, so no review blocks gate 0; every review is due before the GA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1"/>
        <w:gridCol w:w="3901"/>
        <w:gridCol w:w="3998"/>
      </w:tblGrid>
      <w:tr>
        <w:trPr>
          <w:tblHeader/>
        </w:trPr>
        <w:tc>
          <w:tcPr>
            <w:tcW w:type="dxa" w:w="1461"/>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901"/>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399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throughout the beta</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MR‑02</w:t>
            </w:r>
          </w:p>
        </w:tc>
        <w:tc>
          <w:tcPr>
            <w:tcW w:type="dxa" w:w="3901"/>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399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MR‑09, MR‑11</w:t>
            </w:r>
          </w:p>
        </w:tc>
        <w:tc>
          <w:tcPr>
            <w:tcW w:type="dxa" w:w="3901"/>
            <w:tcMar>
              <w:top w:type="dxa" w:w="60"/>
              <w:left w:type="dxa" w:w="100"/>
              <w:bottom w:type="dxa" w:w="60"/>
              <w:right w:type="dxa" w:w="100"/>
            </w:tcMar>
          </w:tcPr>
          <w:p>
            <w:pPr>
              <w:spacing w:after="0" w:before="0" w:line="252"/>
            </w:pPr>
            <w:r>
              <w:rPr>
                <w:sz w:val="19"/>
                <w:szCs w:val="19"/>
              </w:rPr>
              <w:t xml:space="preserve">Mandates (ASG‑24, ASG‑16, ASG‑19, PAY‑03, PAY‑08, §11); 24-hour validity and device-signed approvals (RUN‑04, PLT‑03); compensations and rollback under the original authorization (RUN‑06, ASG‑13)</w:t>
            </w:r>
          </w:p>
        </w:tc>
        <w:tc>
          <w:tcPr>
            <w:tcW w:type="dxa" w:w="399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MR‑10</w:t>
            </w:r>
          </w:p>
        </w:tc>
        <w:tc>
          <w:tcPr>
            <w:tcW w:type="dxa" w:w="3901"/>
            <w:tcMar>
              <w:top w:type="dxa" w:w="60"/>
              <w:left w:type="dxa" w:w="100"/>
              <w:bottom w:type="dxa" w:w="60"/>
              <w:right w:type="dxa" w:w="100"/>
            </w:tcMar>
          </w:tcPr>
          <w:p>
            <w:pPr>
              <w:spacing w:after="0" w:before="0" w:line="252"/>
            </w:pPr>
            <w:r>
              <w:rPr>
                <w:sz w:val="19"/>
                <w:szCs w:val="19"/>
              </w:rPr>
              <w:t xml:space="preserve">Purchase mandates (PAY‑03)</w:t>
            </w:r>
          </w:p>
        </w:tc>
        <w:tc>
          <w:tcPr>
            <w:tcW w:type="dxa" w:w="399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MR‑12</w:t>
            </w:r>
          </w:p>
        </w:tc>
        <w:tc>
          <w:tcPr>
            <w:tcW w:type="dxa" w:w="3901"/>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399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MR‑17</w:t>
            </w:r>
          </w:p>
        </w:tc>
        <w:tc>
          <w:tcPr>
            <w:tcW w:type="dxa" w:w="3901"/>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399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MR‑24</w:t>
            </w:r>
          </w:p>
        </w:tc>
        <w:tc>
          <w:tcPr>
            <w:tcW w:type="dxa" w:w="3901"/>
            <w:tcMar>
              <w:top w:type="dxa" w:w="60"/>
              <w:left w:type="dxa" w:w="100"/>
              <w:bottom w:type="dxa" w:w="60"/>
              <w:right w:type="dxa" w:w="100"/>
            </w:tcMar>
          </w:tcPr>
          <w:p>
            <w:pPr>
              <w:spacing w:after="0" w:before="0" w:line="252"/>
            </w:pPr>
            <w:r>
              <w:rPr>
                <w:sz w:val="19"/>
                <w:szCs w:val="19"/>
              </w:rPr>
              <w:t xml:space="preserve">Sandboxed code, browser automation and model-written queries (SEC‑15)</w:t>
            </w:r>
          </w:p>
        </w:tc>
        <w:tc>
          <w:tcPr>
            <w:tcW w:type="dxa" w:w="3998"/>
            <w:tcMar>
              <w:top w:type="dxa" w:w="60"/>
              <w:left w:type="dxa" w:w="100"/>
              <w:bottom w:type="dxa" w:w="60"/>
              <w:right w:type="dxa" w:w="100"/>
            </w:tcMar>
          </w:tcPr>
          <w:p>
            <w:pPr>
              <w:spacing w:after="0" w:before="0" w:line="252"/>
            </w:pPr>
            <w:r>
              <w:rPr>
                <w:sz w:val="19"/>
                <w:szCs w:val="19"/>
              </w:rPr>
              <w:t xml:space="preserve">No model-written code or queries run; lookups use typed parameters</w:t>
            </w:r>
          </w:p>
        </w:tc>
      </w:tr>
      <w:tr>
        <w:trPr>
          <w:tblHeader w:val="off"/>
        </w:trPr>
        <w:tc>
          <w:tcPr>
            <w:tcW w:type="dxa" w:w="1461"/>
            <w:tcMar>
              <w:top w:type="dxa" w:w="60"/>
              <w:left w:type="dxa" w:w="100"/>
              <w:bottom w:type="dxa" w:w="60"/>
              <w:right w:type="dxa" w:w="100"/>
            </w:tcMar>
          </w:tcPr>
          <w:p>
            <w:pPr>
              <w:spacing w:after="0" w:before="0" w:line="252"/>
            </w:pPr>
            <w:r>
              <w:rPr>
                <w:sz w:val="19"/>
                <w:szCs w:val="19"/>
              </w:rPr>
              <w:t xml:space="preserve">MR‑25</w:t>
            </w:r>
          </w:p>
        </w:tc>
        <w:tc>
          <w:tcPr>
            <w:tcW w:type="dxa" w:w="3901"/>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399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6"/>
        <w:gridCol w:w="789"/>
        <w:gridCol w:w="2607"/>
        <w:gridCol w:w="3428"/>
      </w:tblGrid>
      <w:tr>
        <w:trPr>
          <w:tblHeader/>
        </w:trPr>
        <w:tc>
          <w:tcPr>
            <w:tcW w:type="dxa" w:w="2536"/>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89"/>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607"/>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428"/>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89"/>
            <w:tcMar>
              <w:top w:type="dxa" w:w="60"/>
              <w:left w:type="dxa" w:w="100"/>
              <w:bottom w:type="dxa" w:w="60"/>
              <w:right w:type="dxa" w:w="100"/>
            </w:tcMar>
          </w:tcPr>
          <w:p>
            <w:pPr>
              <w:spacing w:after="0" w:before="0" w:line="252"/>
            </w:pPr>
            <w:r>
              <w:rPr>
                <w:sz w:val="19"/>
                <w:szCs w:val="19"/>
              </w:rPr>
              <w:t xml:space="preserve">Full</w:t>
            </w:r>
          </w:p>
        </w:tc>
        <w:tc>
          <w:tcPr>
            <w:tcW w:type="dxa" w:w="2607"/>
            <w:tcMar>
              <w:top w:type="dxa" w:w="60"/>
              <w:left w:type="dxa" w:w="100"/>
              <w:bottom w:type="dxa" w:w="60"/>
              <w:right w:type="dxa" w:w="100"/>
            </w:tcMar>
          </w:tcPr>
          <w:p>
            <w:pPr>
              <w:spacing w:after="0" w:before="0" w:line="252"/>
            </w:pPr>
            <w:r>
              <w:rPr>
                <w:sz w:val="19"/>
                <w:szCs w:val="19"/>
              </w:rPr>
              <w:t xml:space="preserve">Full</w:t>
            </w:r>
          </w:p>
        </w:tc>
        <w:tc>
          <w:tcPr>
            <w:tcW w:type="dxa" w:w="3428"/>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Chat and ask-anything Q&amp;A</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Approvals and human steps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 with OS notifications</w:t>
            </w:r>
          </w:p>
        </w:tc>
        <w:tc>
          <w:tcPr>
            <w:tcW w:type="dxa" w:w="3428"/>
            <w:tcMar>
              <w:top w:type="dxa" w:w="60"/>
              <w:left w:type="dxa" w:w="100"/>
              <w:bottom w:type="dxa" w:w="60"/>
              <w:right w:type="dxa" w:w="100"/>
            </w:tcMar>
          </w:tcPr>
          <w:p>
            <w:pPr>
              <w:spacing w:after="0" w:before="0" w:line="252"/>
            </w:pPr>
            <w:r>
              <w:rPr>
                <w:sz w:val="19"/>
                <w:szCs w:val="19"/>
              </w:rPr>
              <w:t xml:space="preserve">Yes, actionable push showing the full action, with the device unlocked; biometric confirm for payments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Run monitoring and budgets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Proximity (geofence) triggers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w:t>
            </w:r>
          </w:p>
        </w:tc>
        <w:tc>
          <w:tcPr>
            <w:tcW w:type="dxa" w:w="3428"/>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Local connectors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428"/>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Enterprise admin console</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Offline</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428"/>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approving needs the device unlocked, and the approval is signed with the device's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only at high sender confidence,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a merchant the mandate hasn't yet ordered from counts as a new target (PAY‑03).</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until then the beta approves every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(ASG‑16);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a change within the mandate's bounds (e.g., at most 10% of the current value); and no screening positive or hidden-text citation. Otherwise the item waits for a click. </w:t>
      </w: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or destructive (RUN‑06), publishes or sends anything, is a purchase above the account's high-impact threshold (default $100), changes more than 10 records in one execution, or is a security or access change (SEC‑16). Every other action is low-impact.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24-hour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Price-change guard.</w:t>
      </w:r>
      <w:r>
        <w:t xml:space="preserve"> An approval or mandate covers a ceiling: this cart, at most a stated total, with a stated substitution policy (MR‑12). If the final total exceeds the ceiling or breaks any cap, stop and ask again.</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4"/>
        <w:gridCol w:w="3276"/>
        <w:gridCol w:w="3970"/>
      </w:tblGrid>
      <w:tr>
        <w:trPr>
          <w:tblHeader/>
        </w:trPr>
        <w:tc>
          <w:tcPr>
            <w:tcW w:type="dxa" w:w="2114"/>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76"/>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70"/>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76"/>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70"/>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Rule-override request</w:t>
            </w:r>
          </w:p>
        </w:tc>
        <w:tc>
          <w:tcPr>
            <w:tcW w:type="dxa" w:w="3276"/>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70"/>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76"/>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70"/>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76"/>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70"/>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Tool-description poisoning</w:t>
            </w:r>
          </w:p>
        </w:tc>
        <w:tc>
          <w:tcPr>
            <w:tcW w:type="dxa" w:w="3276"/>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70"/>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Persistent injection</w:t>
            </w:r>
          </w:p>
        </w:tc>
        <w:tc>
          <w:tcPr>
            <w:tcW w:type="dxa" w:w="3276"/>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70"/>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76"/>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70"/>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76"/>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70"/>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Best-of-N probing</w:t>
            </w:r>
          </w:p>
        </w:tc>
        <w:tc>
          <w:tcPr>
            <w:tcW w:type="dxa" w:w="3276"/>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70"/>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(ASG‑16); injection screening (SEC‑13)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Mandate abuse</w:t>
            </w:r>
          </w:p>
        </w:tc>
        <w:tc>
          <w:tcPr>
            <w:tcW w:type="dxa" w:w="3276"/>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70"/>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shared assignment</w:t>
            </w:r>
          </w:p>
        </w:tc>
        <w:tc>
          <w:tcPr>
            <w:tcW w:type="dxa" w:w="3276"/>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70"/>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76"/>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70"/>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Approver without authority</w:t>
            </w:r>
          </w:p>
        </w:tc>
        <w:tc>
          <w:tcPr>
            <w:tcW w:type="dxa" w:w="3276"/>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70"/>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Token theft</w:t>
            </w:r>
          </w:p>
        </w:tc>
        <w:tc>
          <w:tcPr>
            <w:tcW w:type="dxa" w:w="3276"/>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70"/>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Agent impersonation</w:t>
            </w:r>
          </w:p>
        </w:tc>
        <w:tc>
          <w:tcPr>
            <w:tcW w:type="dxa" w:w="3276"/>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70"/>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Signing-key theft</w:t>
            </w:r>
          </w:p>
        </w:tc>
        <w:tc>
          <w:tcPr>
            <w:tcW w:type="dxa" w:w="3276"/>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70"/>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76"/>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70"/>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Cross-tenant leakage</w:t>
            </w:r>
          </w:p>
        </w:tc>
        <w:tc>
          <w:tcPr>
            <w:tcW w:type="dxa" w:w="3276"/>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70"/>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Malicious custom connector</w:t>
            </w:r>
          </w:p>
        </w:tc>
        <w:tc>
          <w:tcPr>
            <w:tcW w:type="dxa" w:w="3276"/>
            <w:tcMar>
              <w:top w:type="dxa" w:w="60"/>
              <w:left w:type="dxa" w:w="100"/>
              <w:bottom w:type="dxa" w:w="60"/>
              <w:right w:type="dxa" w:w="100"/>
            </w:tcMar>
          </w:tcPr>
          <w:p>
            <w:pPr>
              <w:spacing w:after="0" w:before="0" w:line="252"/>
            </w:pPr>
            <w:r>
              <w:rPr>
                <w:sz w:val="19"/>
                <w:szCs w:val="19"/>
              </w:rPr>
              <w:t xml:space="preserve">A connector exfiltrates data</w:t>
            </w:r>
          </w:p>
        </w:tc>
        <w:tc>
          <w:tcPr>
            <w:tcW w:type="dxa" w:w="3970"/>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Runaway cost</w:t>
            </w:r>
          </w:p>
        </w:tc>
        <w:tc>
          <w:tcPr>
            <w:tcW w:type="dxa" w:w="3276"/>
            <w:tcMar>
              <w:top w:type="dxa" w:w="60"/>
              <w:left w:type="dxa" w:w="100"/>
              <w:bottom w:type="dxa" w:w="60"/>
              <w:right w:type="dxa" w:w="100"/>
            </w:tcMar>
          </w:tcPr>
          <w:p>
            <w:pPr>
              <w:spacing w:after="0" w:before="0" w:line="252"/>
            </w:pPr>
            <w:r>
              <w:rPr>
                <w:sz w:val="19"/>
                <w:szCs w:val="19"/>
              </w:rPr>
              <w:t xml:space="preserve">A loop burns through tokens</w:t>
            </w:r>
          </w:p>
        </w:tc>
        <w:tc>
          <w:tcPr>
            <w:tcW w:type="dxa" w:w="3970"/>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Spoofed requester</w:t>
            </w:r>
          </w:p>
        </w:tc>
        <w:tc>
          <w:tcPr>
            <w:tcW w:type="dxa" w:w="3276"/>
            <w:tcMar>
              <w:top w:type="dxa" w:w="60"/>
              <w:left w:type="dxa" w:w="100"/>
              <w:bottom w:type="dxa" w:w="60"/>
              <w:right w:type="dxa" w:w="100"/>
            </w:tcMar>
          </w:tcPr>
          <w:p>
            <w:pPr>
              <w:spacing w:after="0" w:before="0" w:line="252"/>
            </w:pPr>
            <w:r>
              <w:rPr>
                <w:sz w:val="19"/>
                <w:szCs w:val="19"/>
              </w:rPr>
              <w:t xml:space="preserve">A fake email from "the boss"</w:t>
            </w:r>
          </w:p>
        </w:tc>
        <w:tc>
          <w:tcPr>
            <w:tcW w:type="dxa" w:w="3970"/>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14"/>
            <w:tcMar>
              <w:top w:type="dxa" w:w="60"/>
              <w:left w:type="dxa" w:w="100"/>
              <w:bottom w:type="dxa" w:w="60"/>
              <w:right w:type="dxa" w:w="100"/>
            </w:tcMar>
          </w:tcPr>
          <w:p>
            <w:pPr>
              <w:spacing w:after="0" w:before="0" w:line="252"/>
            </w:pPr>
            <w:r>
              <w:rPr>
                <w:sz w:val="19"/>
                <w:szCs w:val="19"/>
              </w:rPr>
              <w:t xml:space="preserve">Unsafe physical action</w:t>
            </w:r>
          </w:p>
        </w:tc>
        <w:tc>
          <w:tcPr>
            <w:tcW w:type="dxa" w:w="3276"/>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70"/>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entirely under the v0.7 wording.</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4"/>
        <w:gridCol w:w="2502"/>
        <w:gridCol w:w="2280"/>
        <w:gridCol w:w="1615"/>
        <w:gridCol w:w="1369"/>
      </w:tblGrid>
      <w:tr>
        <w:trPr>
          <w:tblHeader/>
        </w:trPr>
        <w:tc>
          <w:tcPr>
            <w:tcW w:type="dxa" w:w="1594"/>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502"/>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80"/>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15"/>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9"/>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Platforms (§5)</w:t>
            </w:r>
          </w:p>
        </w:tc>
        <w:tc>
          <w:tcPr>
            <w:tcW w:type="dxa" w:w="2502"/>
            <w:tcMar>
              <w:top w:type="dxa" w:w="60"/>
              <w:left w:type="dxa" w:w="100"/>
              <w:bottom w:type="dxa" w:w="60"/>
              <w:right w:type="dxa" w:w="100"/>
            </w:tcMar>
          </w:tcPr>
          <w:p>
            <w:pPr>
              <w:spacing w:after="0" w:before="0" w:line="252"/>
            </w:pPr>
            <w:r>
              <w:rPr>
                <w:sz w:val="19"/>
                <w:szCs w:val="19"/>
              </w:rPr>
              <w:t xml:space="preserve">PLT‑01 web only; PLT‑06</w:t>
            </w:r>
          </w:p>
        </w:tc>
        <w:tc>
          <w:tcPr>
            <w:tcW w:type="dxa" w:w="2280"/>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615"/>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Connectors (§6)</w:t>
            </w:r>
          </w:p>
        </w:tc>
        <w:tc>
          <w:tcPr>
            <w:tcW w:type="dxa" w:w="2502"/>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80"/>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615"/>
            <w:tcMar>
              <w:top w:type="dxa" w:w="60"/>
              <w:left w:type="dxa" w:w="100"/>
              <w:bottom w:type="dxa" w:w="60"/>
              <w:right w:type="dxa" w:w="100"/>
            </w:tcMar>
          </w:tcPr>
          <w:p>
            <w:pPr>
              <w:spacing w:after="0" w:before="0" w:line="252"/>
            </w:pPr>
            <w:r>
              <w:rPr>
                <w:sz w:val="19"/>
                <w:szCs w:val="19"/>
              </w:rPr>
              <w:t xml:space="preserve">Consumer catalog</w:t>
            </w:r>
          </w:p>
        </w:tc>
        <w:tc>
          <w:tcPr>
            <w:tcW w:type="dxa" w:w="1369"/>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Tasks and runtime (§7)</w:t>
            </w:r>
          </w:p>
        </w:tc>
        <w:tc>
          <w:tcPr>
            <w:tcW w:type="dxa" w:w="2502"/>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w:t>
            </w:r>
          </w:p>
        </w:tc>
        <w:tc>
          <w:tcPr>
            <w:tcW w:type="dxa" w:w="2280"/>
            <w:tcMar>
              <w:top w:type="dxa" w:w="60"/>
              <w:left w:type="dxa" w:w="100"/>
              <w:bottom w:type="dxa" w:w="60"/>
              <w:right w:type="dxa" w:w="100"/>
            </w:tcMar>
          </w:tcPr>
          <w:p>
            <w:pPr>
              <w:spacing w:after="0" w:before="0" w:line="252"/>
            </w:pPr>
            <w:r>
              <w:rPr>
                <w:sz w:val="19"/>
                <w:szCs w:val="19"/>
              </w:rPr>
              <w:t xml:space="preserve">ASG‑03, 07, 08, 18–23; ASG‑16, 24 and RUN‑04 and RUN‑06 as amended (pending MR review)</w:t>
            </w:r>
          </w:p>
        </w:tc>
        <w:tc>
          <w:tcPr>
            <w:tcW w:type="dxa" w:w="1615"/>
            <w:tcMar>
              <w:top w:type="dxa" w:w="60"/>
              <w:left w:type="dxa" w:w="100"/>
              <w:bottom w:type="dxa" w:w="60"/>
              <w:right w:type="dxa" w:w="100"/>
            </w:tcMar>
          </w:tcPr>
          <w:p>
            <w:pPr>
              <w:spacing w:after="0" w:before="0" w:line="252"/>
            </w:pPr>
            <w:r>
              <w:rPr>
                <w:sz w:val="19"/>
                <w:szCs w:val="19"/>
              </w:rPr>
              <w:t xml:space="preserve">—</w:t>
            </w:r>
          </w:p>
        </w:tc>
        <w:tc>
          <w:tcPr>
            <w:tcW w:type="dxa" w:w="136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Budgets (§8)</w:t>
            </w:r>
          </w:p>
        </w:tc>
        <w:tc>
          <w:tcPr>
            <w:tcW w:type="dxa" w:w="2502"/>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80"/>
            <w:tcMar>
              <w:top w:type="dxa" w:w="60"/>
              <w:left w:type="dxa" w:w="100"/>
              <w:bottom w:type="dxa" w:w="60"/>
              <w:right w:type="dxa" w:w="100"/>
            </w:tcMar>
          </w:tcPr>
          <w:p>
            <w:pPr>
              <w:spacing w:after="0" w:before="0" w:line="252"/>
            </w:pPr>
            <w:r>
              <w:rPr>
                <w:sz w:val="19"/>
                <w:szCs w:val="19"/>
              </w:rPr>
              <w:t xml:space="preserve">BUD‑06 groups; BUD‑07, 09</w:t>
            </w:r>
          </w:p>
        </w:tc>
        <w:tc>
          <w:tcPr>
            <w:tcW w:type="dxa" w:w="1615"/>
            <w:tcMar>
              <w:top w:type="dxa" w:w="60"/>
              <w:left w:type="dxa" w:w="100"/>
              <w:bottom w:type="dxa" w:w="60"/>
              <w:right w:type="dxa" w:w="100"/>
            </w:tcMar>
          </w:tcPr>
          <w:p>
            <w:pPr>
              <w:spacing w:after="0" w:before="0" w:line="252"/>
            </w:pPr>
            <w:r>
              <w:rPr>
                <w:sz w:val="19"/>
                <w:szCs w:val="19"/>
              </w:rPr>
              <w:t xml:space="preserve">Account cap</w:t>
            </w:r>
          </w:p>
        </w:tc>
        <w:tc>
          <w:tcPr>
            <w:tcW w:type="dxa" w:w="136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Router, supervisor, inventory (§9)</w:t>
            </w:r>
          </w:p>
        </w:tc>
        <w:tc>
          <w:tcPr>
            <w:tcW w:type="dxa" w:w="2502"/>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80"/>
            <w:tcMar>
              <w:top w:type="dxa" w:w="60"/>
              <w:left w:type="dxa" w:w="100"/>
              <w:bottom w:type="dxa" w:w="60"/>
              <w:right w:type="dxa" w:w="100"/>
            </w:tcMar>
          </w:tcPr>
          <w:p>
            <w:pPr>
              <w:spacing w:after="0" w:before="0" w:line="252"/>
            </w:pPr>
            <w:r>
              <w:rPr>
                <w:sz w:val="19"/>
                <w:szCs w:val="19"/>
              </w:rPr>
              <w:t xml:space="preserve">RTR‑06; SUP‑05; INV‑04</w:t>
            </w:r>
          </w:p>
        </w:tc>
        <w:tc>
          <w:tcPr>
            <w:tcW w:type="dxa" w:w="1615"/>
            <w:tcMar>
              <w:top w:type="dxa" w:w="60"/>
              <w:left w:type="dxa" w:w="100"/>
              <w:bottom w:type="dxa" w:w="60"/>
              <w:right w:type="dxa" w:w="100"/>
            </w:tcMar>
          </w:tcPr>
          <w:p>
            <w:pPr>
              <w:spacing w:after="0" w:before="0" w:line="252"/>
            </w:pPr>
            <w:r>
              <w:rPr>
                <w:sz w:val="19"/>
                <w:szCs w:val="19"/>
              </w:rPr>
              <w:t xml:space="preserve">—</w:t>
            </w:r>
          </w:p>
        </w:tc>
        <w:tc>
          <w:tcPr>
            <w:tcW w:type="dxa" w:w="1369"/>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Templates (§10)</w:t>
            </w:r>
          </w:p>
        </w:tc>
        <w:tc>
          <w:tcPr>
            <w:tcW w:type="dxa" w:w="2502"/>
            <w:tcMar>
              <w:top w:type="dxa" w:w="60"/>
              <w:left w:type="dxa" w:w="100"/>
              <w:bottom w:type="dxa" w:w="60"/>
              <w:right w:type="dxa" w:w="100"/>
            </w:tcMar>
          </w:tcPr>
          <w:p>
            <w:pPr>
              <w:spacing w:after="0" w:before="0" w:line="252"/>
            </w:pPr>
            <w:r>
              <w:rPr>
                <w:sz w:val="19"/>
                <w:szCs w:val="19"/>
              </w:rPr>
              <w:t xml:space="preserve">—</w:t>
            </w:r>
          </w:p>
        </w:tc>
        <w:tc>
          <w:tcPr>
            <w:tcW w:type="dxa" w:w="2280"/>
            <w:tcMar>
              <w:top w:type="dxa" w:w="60"/>
              <w:left w:type="dxa" w:w="100"/>
              <w:bottom w:type="dxa" w:w="60"/>
              <w:right w:type="dxa" w:w="100"/>
            </w:tcMar>
          </w:tcPr>
          <w:p>
            <w:pPr>
              <w:spacing w:after="0" w:before="0" w:line="252"/>
            </w:pPr>
            <w:r>
              <w:rPr>
                <w:sz w:val="19"/>
                <w:szCs w:val="19"/>
              </w:rPr>
              <w:t xml:space="preserve">TPL‑01–07</w:t>
            </w:r>
          </w:p>
        </w:tc>
        <w:tc>
          <w:tcPr>
            <w:tcW w:type="dxa" w:w="1615"/>
            <w:tcMar>
              <w:top w:type="dxa" w:w="60"/>
              <w:left w:type="dxa" w:w="100"/>
              <w:bottom w:type="dxa" w:w="60"/>
              <w:right w:type="dxa" w:w="100"/>
            </w:tcMar>
          </w:tcPr>
          <w:p>
            <w:pPr>
              <w:spacing w:after="0" w:before="0" w:line="252"/>
            </w:pPr>
            <w:r>
              <w:rPr>
                <w:sz w:val="19"/>
                <w:szCs w:val="19"/>
              </w:rPr>
              <w:t xml:space="preserve">—</w:t>
            </w:r>
          </w:p>
        </w:tc>
        <w:tc>
          <w:tcPr>
            <w:tcW w:type="dxa" w:w="1369"/>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Scheduling and triggers (§11)</w:t>
            </w:r>
          </w:p>
        </w:tc>
        <w:tc>
          <w:tcPr>
            <w:tcW w:type="dxa" w:w="2502"/>
            <w:tcMar>
              <w:top w:type="dxa" w:w="60"/>
              <w:left w:type="dxa" w:w="100"/>
              <w:bottom w:type="dxa" w:w="60"/>
              <w:right w:type="dxa" w:w="100"/>
            </w:tcMar>
          </w:tcPr>
          <w:p>
            <w:pPr>
              <w:spacing w:after="0" w:before="0" w:line="252"/>
            </w:pPr>
            <w:r>
              <w:rPr>
                <w:sz w:val="19"/>
                <w:szCs w:val="19"/>
              </w:rPr>
              <w:t xml:space="preserve">SCH‑03 mail events</w:t>
            </w:r>
          </w:p>
        </w:tc>
        <w:tc>
          <w:tcPr>
            <w:tcW w:type="dxa" w:w="2280"/>
            <w:tcMar>
              <w:top w:type="dxa" w:w="60"/>
              <w:left w:type="dxa" w:w="100"/>
              <w:bottom w:type="dxa" w:w="60"/>
              <w:right w:type="dxa" w:w="100"/>
            </w:tcMar>
          </w:tcPr>
          <w:p>
            <w:pPr>
              <w:spacing w:after="0" w:before="0" w:line="252"/>
            </w:pPr>
            <w:r>
              <w:rPr>
                <w:sz w:val="19"/>
                <w:szCs w:val="19"/>
              </w:rPr>
              <w:t xml:space="preserve">SCH‑01, 02, 07, 08</w:t>
            </w:r>
          </w:p>
        </w:tc>
        <w:tc>
          <w:tcPr>
            <w:tcW w:type="dxa" w:w="1615"/>
            <w:tcMar>
              <w:top w:type="dxa" w:w="60"/>
              <w:left w:type="dxa" w:w="100"/>
              <w:bottom w:type="dxa" w:w="60"/>
              <w:right w:type="dxa" w:w="100"/>
            </w:tcMar>
          </w:tcPr>
          <w:p>
            <w:pPr>
              <w:spacing w:after="0" w:before="0" w:line="252"/>
            </w:pPr>
            <w:r>
              <w:rPr>
                <w:sz w:val="19"/>
                <w:szCs w:val="19"/>
              </w:rPr>
              <w:t xml:space="preserve">SCH‑04–06</w:t>
            </w:r>
          </w:p>
        </w:tc>
        <w:tc>
          <w:tcPr>
            <w:tcW w:type="dxa" w:w="136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Q&amp;A and chat (§12)</w:t>
            </w:r>
          </w:p>
        </w:tc>
        <w:tc>
          <w:tcPr>
            <w:tcW w:type="dxa" w:w="2502"/>
            <w:tcMar>
              <w:top w:type="dxa" w:w="60"/>
              <w:left w:type="dxa" w:w="100"/>
              <w:bottom w:type="dxa" w:w="60"/>
              <w:right w:type="dxa" w:w="100"/>
            </w:tcMar>
          </w:tcPr>
          <w:p>
            <w:pPr>
              <w:spacing w:after="0" w:before="0" w:line="252"/>
            </w:pPr>
            <w:r>
              <w:rPr>
                <w:sz w:val="19"/>
                <w:szCs w:val="19"/>
              </w:rPr>
              <w:t xml:space="preserve">QA‑01–03</w:t>
            </w:r>
          </w:p>
        </w:tc>
        <w:tc>
          <w:tcPr>
            <w:tcW w:type="dxa" w:w="2280"/>
            <w:tcMar>
              <w:top w:type="dxa" w:w="60"/>
              <w:left w:type="dxa" w:w="100"/>
              <w:bottom w:type="dxa" w:w="60"/>
              <w:right w:type="dxa" w:w="100"/>
            </w:tcMar>
          </w:tcPr>
          <w:p>
            <w:pPr>
              <w:spacing w:after="0" w:before="0" w:line="252"/>
            </w:pPr>
            <w:r>
              <w:rPr>
                <w:sz w:val="19"/>
                <w:szCs w:val="19"/>
              </w:rPr>
              <w:t xml:space="preserve">QA‑04–06</w:t>
            </w:r>
          </w:p>
        </w:tc>
        <w:tc>
          <w:tcPr>
            <w:tcW w:type="dxa" w:w="1615"/>
            <w:tcMar>
              <w:top w:type="dxa" w:w="60"/>
              <w:left w:type="dxa" w:w="100"/>
              <w:bottom w:type="dxa" w:w="60"/>
              <w:right w:type="dxa" w:w="100"/>
            </w:tcMar>
          </w:tcPr>
          <w:p>
            <w:pPr>
              <w:spacing w:after="0" w:before="0" w:line="252"/>
            </w:pPr>
            <w:r>
              <w:rPr>
                <w:sz w:val="19"/>
                <w:szCs w:val="19"/>
              </w:rPr>
              <w:t xml:space="preserve">QA‑07</w:t>
            </w:r>
          </w:p>
        </w:tc>
        <w:tc>
          <w:tcPr>
            <w:tcW w:type="dxa" w:w="136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Admin and providers (§13)</w:t>
            </w:r>
          </w:p>
        </w:tc>
        <w:tc>
          <w:tcPr>
            <w:tcW w:type="dxa" w:w="2502"/>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80"/>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15"/>
            <w:tcMar>
              <w:top w:type="dxa" w:w="60"/>
              <w:left w:type="dxa" w:w="100"/>
              <w:bottom w:type="dxa" w:w="60"/>
              <w:right w:type="dxa" w:w="100"/>
            </w:tcMar>
          </w:tcPr>
          <w:p>
            <w:pPr>
              <w:spacing w:after="0" w:before="0" w:line="252"/>
            </w:pPr>
            <w:r>
              <w:rPr>
                <w:sz w:val="19"/>
                <w:szCs w:val="19"/>
              </w:rPr>
              <w:t xml:space="preserve">Consumer sign-in</w:t>
            </w:r>
          </w:p>
        </w:tc>
        <w:tc>
          <w:tcPr>
            <w:tcW w:type="dxa" w:w="1369"/>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Payments (§14)</w:t>
            </w:r>
          </w:p>
        </w:tc>
        <w:tc>
          <w:tcPr>
            <w:tcW w:type="dxa" w:w="2502"/>
            <w:tcMar>
              <w:top w:type="dxa" w:w="60"/>
              <w:left w:type="dxa" w:w="100"/>
              <w:bottom w:type="dxa" w:w="60"/>
              <w:right w:type="dxa" w:w="100"/>
            </w:tcMar>
          </w:tcPr>
          <w:p>
            <w:pPr>
              <w:spacing w:after="0" w:before="0" w:line="252"/>
            </w:pPr>
            <w:r>
              <w:rPr>
                <w:sz w:val="19"/>
                <w:szCs w:val="19"/>
              </w:rPr>
              <w:t xml:space="preserve">—</w:t>
            </w:r>
          </w:p>
        </w:tc>
        <w:tc>
          <w:tcPr>
            <w:tcW w:type="dxa" w:w="2280"/>
            <w:tcMar>
              <w:top w:type="dxa" w:w="60"/>
              <w:left w:type="dxa" w:w="100"/>
              <w:bottom w:type="dxa" w:w="60"/>
              <w:right w:type="dxa" w:w="100"/>
            </w:tcMar>
          </w:tcPr>
          <w:p>
            <w:pPr>
              <w:spacing w:after="0" w:before="0" w:line="252"/>
            </w:pPr>
            <w:r>
              <w:rPr>
                <w:sz w:val="19"/>
                <w:szCs w:val="19"/>
              </w:rPr>
              <w:t xml:space="preserve">—</w:t>
            </w:r>
          </w:p>
        </w:tc>
        <w:tc>
          <w:tcPr>
            <w:tcW w:type="dxa" w:w="1615"/>
            <w:tcMar>
              <w:top w:type="dxa" w:w="60"/>
              <w:left w:type="dxa" w:w="100"/>
              <w:bottom w:type="dxa" w:w="60"/>
              <w:right w:type="dxa" w:w="100"/>
            </w:tcMar>
          </w:tcPr>
          <w:p>
            <w:pPr>
              <w:spacing w:after="0" w:before="0" w:line="252"/>
            </w:pPr>
            <w:r>
              <w:rPr>
                <w:sz w:val="19"/>
                <w:szCs w:val="19"/>
              </w:rPr>
              <w:t xml:space="preserve">PAY‑01, 02, 04–07; PAY‑03, 08 (pending MR review)</w:t>
            </w:r>
          </w:p>
        </w:tc>
        <w:tc>
          <w:tcPr>
            <w:tcW w:type="dxa" w:w="1369"/>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Security and privacy (§15)</w:t>
            </w:r>
          </w:p>
        </w:tc>
        <w:tc>
          <w:tcPr>
            <w:tcW w:type="dxa" w:w="2502"/>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80"/>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615"/>
            <w:tcMar>
              <w:top w:type="dxa" w:w="60"/>
              <w:left w:type="dxa" w:w="100"/>
              <w:bottom w:type="dxa" w:w="60"/>
              <w:right w:type="dxa" w:w="100"/>
            </w:tcMar>
          </w:tcPr>
          <w:p>
            <w:pPr>
              <w:spacing w:after="0" w:before="0" w:line="252"/>
            </w:pPr>
            <w:r>
              <w:rPr>
                <w:sz w:val="19"/>
                <w:szCs w:val="19"/>
              </w:rPr>
              <w:t xml:space="preserve">SEC‑06</w:t>
            </w:r>
          </w:p>
        </w:tc>
        <w:tc>
          <w:tcPr>
            <w:tcW w:type="dxa" w:w="1369"/>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94"/>
            <w:tcMar>
              <w:top w:type="dxa" w:w="60"/>
              <w:left w:type="dxa" w:w="100"/>
              <w:bottom w:type="dxa" w:w="60"/>
              <w:right w:type="dxa" w:w="100"/>
            </w:tcMar>
          </w:tcPr>
          <w:p>
            <w:pPr>
              <w:spacing w:after="0" w:before="0" w:line="252"/>
            </w:pPr>
            <w:r>
              <w:rPr>
                <w:sz w:val="19"/>
                <w:szCs w:val="19"/>
              </w:rPr>
              <w:t xml:space="preserve">Non-functional (§17)</w:t>
            </w:r>
          </w:p>
        </w:tc>
        <w:tc>
          <w:tcPr>
            <w:tcW w:type="dxa" w:w="2502"/>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80"/>
            <w:tcMar>
              <w:top w:type="dxa" w:w="60"/>
              <w:left w:type="dxa" w:w="100"/>
              <w:bottom w:type="dxa" w:w="60"/>
              <w:right w:type="dxa" w:w="100"/>
            </w:tcMar>
          </w:tcPr>
          <w:p>
            <w:pPr>
              <w:spacing w:after="0" w:before="0" w:line="252"/>
            </w:pPr>
            <w:r>
              <w:rPr>
                <w:sz w:val="19"/>
                <w:szCs w:val="19"/>
              </w:rPr>
              <w:t xml:space="preserve">All rows</w:t>
            </w:r>
          </w:p>
        </w:tc>
        <w:tc>
          <w:tcPr>
            <w:tcW w:type="dxa" w:w="1615"/>
            <w:tcMar>
              <w:top w:type="dxa" w:w="60"/>
              <w:left w:type="dxa" w:w="100"/>
              <w:bottom w:type="dxa" w:w="60"/>
              <w:right w:type="dxa" w:w="100"/>
            </w:tcMar>
          </w:tcPr>
          <w:p>
            <w:pPr>
              <w:spacing w:after="0" w:before="0" w:line="252"/>
            </w:pPr>
            <w:r>
              <w:rPr>
                <w:sz w:val="19"/>
                <w:szCs w:val="19"/>
              </w:rPr>
              <w:t xml:space="preserve">Home scale</w:t>
            </w:r>
          </w:p>
        </w:tc>
        <w:tc>
          <w:tcPr>
            <w:tcW w:type="dxa" w:w="1369"/>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entirely under the master rules' v0.7 wording (§1): every action, compensations included, is approved in a live session, and the beta has no mandates, service accounts, model-written code or queries, or security changes.</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mandates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1333"/>
        <w:gridCol w:w="1991"/>
        <w:gridCol w:w="2894"/>
      </w:tblGrid>
      <w:tr>
        <w:trPr>
          <w:tblHeader/>
        </w:trPr>
        <w:tc>
          <w:tcPr>
            <w:tcW w:type="dxa" w:w="314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3"/>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94"/>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35%</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60%</w:t>
            </w:r>
          </w:p>
        </w:tc>
        <w:tc>
          <w:tcPr>
            <w:tcW w:type="dxa" w:w="2894"/>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94"/>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upper 95% bound ≤15%</w:t>
            </w:r>
          </w:p>
        </w:tc>
        <w:tc>
          <w:tcPr>
            <w:tcW w:type="dxa" w:w="2894"/>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&lt;2%</w:t>
            </w:r>
          </w:p>
        </w:tc>
        <w:tc>
          <w:tcPr>
            <w:tcW w:type="dxa" w:w="2894"/>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≥90%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of interventions</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Supervision cost share</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≤15% of run cost</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94"/>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50%</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60% of licensed</w:t>
            </w:r>
          </w:p>
        </w:tc>
        <w:tc>
          <w:tcPr>
            <w:tcW w:type="dxa" w:w="2894"/>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Master-rule violations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4430"/>
        <w:gridCol w:w="4059"/>
      </w:tblGrid>
      <w:tr>
        <w:trPr>
          <w:tblHeader/>
        </w:trPr>
        <w:tc>
          <w:tcPr>
            <w:tcW w:type="dxa" w:w="87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30"/>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59"/>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MR‑01</w:t>
            </w:r>
          </w:p>
        </w:tc>
        <w:tc>
          <w:tcPr>
            <w:tcW w:type="dxa" w:w="4430"/>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59"/>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MR‑02</w:t>
            </w:r>
          </w:p>
        </w:tc>
        <w:tc>
          <w:tcPr>
            <w:tcW w:type="dxa" w:w="4430"/>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59"/>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MR‑03</w:t>
            </w:r>
          </w:p>
        </w:tc>
        <w:tc>
          <w:tcPr>
            <w:tcW w:type="dxa" w:w="4430"/>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59"/>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MR‑04</w:t>
            </w:r>
          </w:p>
        </w:tc>
        <w:tc>
          <w:tcPr>
            <w:tcW w:type="dxa" w:w="4430"/>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59"/>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MR‑05</w:t>
            </w:r>
          </w:p>
        </w:tc>
        <w:tc>
          <w:tcPr>
            <w:tcW w:type="dxa" w:w="4430"/>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59"/>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MR‑06</w:t>
            </w:r>
          </w:p>
        </w:tc>
        <w:tc>
          <w:tcPr>
            <w:tcW w:type="dxa" w:w="4430"/>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59"/>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MR‑07</w:t>
            </w:r>
          </w:p>
        </w:tc>
        <w:tc>
          <w:tcPr>
            <w:tcW w:type="dxa" w:w="4430"/>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59"/>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MR‑08</w:t>
            </w:r>
          </w:p>
        </w:tc>
        <w:tc>
          <w:tcPr>
            <w:tcW w:type="dxa" w:w="4430"/>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59"/>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MR‑09</w:t>
            </w:r>
          </w:p>
        </w:tc>
        <w:tc>
          <w:tcPr>
            <w:tcW w:type="dxa" w:w="4430"/>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59"/>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MR‑10</w:t>
            </w:r>
          </w:p>
        </w:tc>
        <w:tc>
          <w:tcPr>
            <w:tcW w:type="dxa" w:w="4430"/>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w:t>
            </w:r>
          </w:p>
        </w:tc>
        <w:tc>
          <w:tcPr>
            <w:tcW w:type="dxa" w:w="4059"/>
            <w:tcMar>
              <w:top w:type="dxa" w:w="60"/>
              <w:left w:type="dxa" w:w="100"/>
              <w:bottom w:type="dxa" w:w="60"/>
              <w:right w:type="dxa" w:w="100"/>
            </w:tcMar>
          </w:tcPr>
          <w:p>
            <w:pPr>
              <w:spacing w:after="0" w:before="0" w:line="252"/>
            </w:pPr>
            <w:r>
              <w:rPr>
                <w:sz w:val="19"/>
                <w:szCs w:val="19"/>
              </w:rPr>
              <w:t xml:space="preserve">Payment records with no matching authorization, or outside caps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MR‑11</w:t>
            </w:r>
          </w:p>
        </w:tc>
        <w:tc>
          <w:tcPr>
            <w:tcW w:type="dxa" w:w="4430"/>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w:t>
            </w:r>
          </w:p>
        </w:tc>
        <w:tc>
          <w:tcPr>
            <w:tcW w:type="dxa" w:w="4059"/>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MR‑12</w:t>
            </w:r>
          </w:p>
        </w:tc>
        <w:tc>
          <w:tcPr>
            <w:tcW w:type="dxa" w:w="4430"/>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59"/>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MR‑13</w:t>
            </w:r>
          </w:p>
        </w:tc>
        <w:tc>
          <w:tcPr>
            <w:tcW w:type="dxa" w:w="4430"/>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59"/>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MR‑14</w:t>
            </w:r>
          </w:p>
        </w:tc>
        <w:tc>
          <w:tcPr>
            <w:tcW w:type="dxa" w:w="4430"/>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59"/>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MR‑15</w:t>
            </w:r>
          </w:p>
        </w:tc>
        <w:tc>
          <w:tcPr>
            <w:tcW w:type="dxa" w:w="4430"/>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59"/>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MR‑16</w:t>
            </w:r>
          </w:p>
        </w:tc>
        <w:tc>
          <w:tcPr>
            <w:tcW w:type="dxa" w:w="4430"/>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59"/>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MR‑17</w:t>
            </w:r>
          </w:p>
        </w:tc>
        <w:tc>
          <w:tcPr>
            <w:tcW w:type="dxa" w:w="4430"/>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59"/>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MR‑18</w:t>
            </w:r>
          </w:p>
        </w:tc>
        <w:tc>
          <w:tcPr>
            <w:tcW w:type="dxa" w:w="4430"/>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59"/>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MR‑19</w:t>
            </w:r>
          </w:p>
        </w:tc>
        <w:tc>
          <w:tcPr>
            <w:tcW w:type="dxa" w:w="4430"/>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59"/>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MR‑20</w:t>
            </w:r>
          </w:p>
        </w:tc>
        <w:tc>
          <w:tcPr>
            <w:tcW w:type="dxa" w:w="4430"/>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59"/>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MR‑21</w:t>
            </w:r>
          </w:p>
        </w:tc>
        <w:tc>
          <w:tcPr>
            <w:tcW w:type="dxa" w:w="4430"/>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59"/>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MR‑22</w:t>
            </w:r>
          </w:p>
        </w:tc>
        <w:tc>
          <w:tcPr>
            <w:tcW w:type="dxa" w:w="4430"/>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59"/>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MR‑23</w:t>
            </w:r>
          </w:p>
        </w:tc>
        <w:tc>
          <w:tcPr>
            <w:tcW w:type="dxa" w:w="4430"/>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59"/>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MR‑24</w:t>
            </w:r>
          </w:p>
        </w:tc>
        <w:tc>
          <w:tcPr>
            <w:tcW w:type="dxa" w:w="4430"/>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59"/>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MR‑25</w:t>
            </w:r>
          </w:p>
        </w:tc>
        <w:tc>
          <w:tcPr>
            <w:tcW w:type="dxa" w:w="4430"/>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59"/>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71"/>
            <w:tcMar>
              <w:top w:type="dxa" w:w="60"/>
              <w:left w:type="dxa" w:w="100"/>
              <w:bottom w:type="dxa" w:w="60"/>
              <w:right w:type="dxa" w:w="100"/>
            </w:tcMar>
          </w:tcPr>
          <w:p>
            <w:pPr>
              <w:spacing w:after="0" w:before="0" w:line="252"/>
            </w:pPr>
            <w:r>
              <w:rPr>
                <w:sz w:val="19"/>
                <w:szCs w:val="19"/>
              </w:rPr>
              <w:t xml:space="preserve">MR‑26</w:t>
            </w:r>
          </w:p>
        </w:tc>
        <w:tc>
          <w:tcPr>
            <w:tcW w:type="dxa" w:w="4430"/>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59"/>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663"/>
        <w:gridCol w:w="4249"/>
      </w:tblGrid>
      <w:tr>
        <w:trPr>
          <w:tblHeader/>
        </w:trPr>
        <w:tc>
          <w:tcPr>
            <w:tcW w:type="dxa" w:w="2448"/>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63"/>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63"/>
            <w:tcMar>
              <w:top w:type="dxa" w:w="60"/>
              <w:left w:type="dxa" w:w="100"/>
              <w:bottom w:type="dxa" w:w="60"/>
              <w:right w:type="dxa" w:w="100"/>
            </w:tcMar>
          </w:tcPr>
          <w:p>
            <w:pPr>
              <w:spacing w:after="0" w:before="0" w:line="252"/>
            </w:pPr>
            <w:r>
              <w:rPr>
                <w:sz w:val="19"/>
                <w:szCs w:val="19"/>
              </w:rPr>
              <w:t xml:space="preserve">Slow launch, thin quality</w:t>
            </w:r>
          </w:p>
        </w:tc>
        <w:tc>
          <w:tcPr>
            <w:tcW w:type="dxa" w:w="4249"/>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63"/>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49"/>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63"/>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49"/>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63"/>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49"/>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Sparse routing data early on</w:t>
            </w:r>
          </w:p>
        </w:tc>
        <w:tc>
          <w:tcPr>
            <w:tcW w:type="dxa" w:w="2663"/>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49"/>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Model and price churn</w:t>
            </w:r>
          </w:p>
        </w:tc>
        <w:tc>
          <w:tcPr>
            <w:tcW w:type="dxa" w:w="2663"/>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49"/>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63"/>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49"/>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Supervisor overhead</w:t>
            </w:r>
          </w:p>
        </w:tc>
        <w:tc>
          <w:tcPr>
            <w:tcW w:type="dxa" w:w="2663"/>
            <w:tcMar>
              <w:top w:type="dxa" w:w="60"/>
              <w:left w:type="dxa" w:w="100"/>
              <w:bottom w:type="dxa" w:w="60"/>
              <w:right w:type="dxa" w:w="100"/>
            </w:tcMar>
          </w:tcPr>
          <w:p>
            <w:pPr>
              <w:spacing w:after="0" w:before="0" w:line="252"/>
            </w:pPr>
            <w:r>
              <w:rPr>
                <w:sz w:val="19"/>
                <w:szCs w:val="19"/>
              </w:rPr>
              <w:t xml:space="preserve">Erodes cost savings</w:t>
            </w:r>
          </w:p>
        </w:tc>
        <w:tc>
          <w:tcPr>
            <w:tcW w:type="dxa" w:w="4249"/>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63"/>
            <w:tcMar>
              <w:top w:type="dxa" w:w="60"/>
              <w:left w:type="dxa" w:w="100"/>
              <w:bottom w:type="dxa" w:w="60"/>
              <w:right w:type="dxa" w:w="100"/>
            </w:tcMar>
          </w:tcPr>
          <w:p>
            <w:pPr>
              <w:spacing w:after="0" w:before="0" w:line="252"/>
            </w:pPr>
            <w:r>
              <w:rPr>
                <w:sz w:val="19"/>
                <w:szCs w:val="19"/>
              </w:rPr>
              <w:t xml:space="preserve">Launch delay</w:t>
            </w:r>
          </w:p>
        </w:tc>
        <w:tc>
          <w:tcPr>
            <w:tcW w:type="dxa" w:w="4249"/>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63"/>
            <w:tcMar>
              <w:top w:type="dxa" w:w="60"/>
              <w:left w:type="dxa" w:w="100"/>
              <w:bottom w:type="dxa" w:w="60"/>
              <w:right w:type="dxa" w:w="100"/>
            </w:tcMar>
          </w:tcPr>
          <w:p>
            <w:pPr>
              <w:spacing w:after="0" w:before="0" w:line="252"/>
            </w:pPr>
            <w:r>
              <w:rPr>
                <w:sz w:val="19"/>
                <w:szCs w:val="19"/>
              </w:rPr>
              <w:t xml:space="preserve">Refunds, disputes</w:t>
            </w:r>
          </w:p>
        </w:tc>
        <w:tc>
          <w:tcPr>
            <w:tcW w:type="dxa" w:w="4249"/>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63"/>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49"/>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63"/>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49"/>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seven amendments and the MR‑12 reading, now an amendment.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has one person, so these are self-reviews; an outside reviewer re-confirms them before the GA build (§1).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0"/>
        <w:gridCol w:w="1739"/>
        <w:gridCol w:w="2235"/>
        <w:gridCol w:w="2446"/>
      </w:tblGrid>
      <w:tr>
        <w:trPr>
          <w:tblHeader/>
        </w:trPr>
        <w:tc>
          <w:tcPr>
            <w:tcW w:type="dxa" w:w="294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39"/>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35"/>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46"/>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46"/>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39"/>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35"/>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46"/>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for phasing</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39"/>
            <w:tcMar>
              <w:top w:type="dxa" w:w="60"/>
              <w:left w:type="dxa" w:w="100"/>
              <w:bottom w:type="dxa" w:w="60"/>
              <w:right w:type="dxa" w:w="100"/>
            </w:tcMar>
          </w:tcPr>
          <w:p>
            <w:pPr>
              <w:spacing w:after="0" w:before="0" w:line="252"/>
            </w:pPr>
            <w:r>
              <w:rPr>
                <w:sz w:val="19"/>
                <w:szCs w:val="19"/>
              </w:rPr>
              <w:t xml:space="preserve">Engineering, product</w:t>
            </w:r>
          </w:p>
        </w:tc>
        <w:tc>
          <w:tcPr>
            <w:tcW w:type="dxa" w:w="2235"/>
            <w:tcMar>
              <w:top w:type="dxa" w:w="60"/>
              <w:left w:type="dxa" w:w="100"/>
              <w:bottom w:type="dxa" w:w="60"/>
              <w:right w:type="dxa" w:w="100"/>
            </w:tcMar>
          </w:tcPr>
          <w:p>
            <w:pPr>
              <w:spacing w:after="0" w:before="0" w:line="252"/>
            </w:pPr>
            <w:r>
              <w:rPr>
                <w:sz w:val="19"/>
                <w:szCs w:val="19"/>
              </w:rPr>
              <w:t xml:space="preserve">Before orchestrator build</w:t>
            </w:r>
          </w:p>
        </w:tc>
        <w:tc>
          <w:tcPr>
            <w:tcW w:type="dxa" w:w="2446"/>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39"/>
            <w:tcMar>
              <w:top w:type="dxa" w:w="60"/>
              <w:left w:type="dxa" w:w="100"/>
              <w:bottom w:type="dxa" w:w="60"/>
              <w:right w:type="dxa" w:w="100"/>
            </w:tcMar>
          </w:tcPr>
          <w:p>
            <w:pPr>
              <w:spacing w:after="0" w:before="0" w:line="252"/>
            </w:pPr>
            <w:r>
              <w:rPr>
                <w:sz w:val="19"/>
                <w:szCs w:val="19"/>
              </w:rPr>
              <w:t xml:space="preserve">Product, data</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Before budget build</w:t>
            </w:r>
          </w:p>
        </w:tc>
        <w:tc>
          <w:tcPr>
            <w:tcW w:type="dxa" w:w="2446"/>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Before beta</w:t>
            </w:r>
          </w:p>
        </w:tc>
        <w:tc>
          <w:tcPr>
            <w:tcW w:type="dxa" w:w="2446"/>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39"/>
            <w:tcMar>
              <w:top w:type="dxa" w:w="60"/>
              <w:left w:type="dxa" w:w="100"/>
              <w:bottom w:type="dxa" w:w="60"/>
              <w:right w:type="dxa" w:w="100"/>
            </w:tcMar>
          </w:tcPr>
          <w:p>
            <w:pPr>
              <w:spacing w:after="0" w:before="0" w:line="252"/>
            </w:pPr>
            <w:r>
              <w:rPr>
                <w:sz w:val="19"/>
                <w:szCs w:val="19"/>
              </w:rPr>
              <w:t xml:space="preserve">Sales, legal</w:t>
            </w:r>
          </w:p>
        </w:tc>
        <w:tc>
          <w:tcPr>
            <w:tcW w:type="dxa" w:w="2235"/>
            <w:tcMar>
              <w:top w:type="dxa" w:w="60"/>
              <w:left w:type="dxa" w:w="100"/>
              <w:bottom w:type="dxa" w:w="60"/>
              <w:right w:type="dxa" w:w="100"/>
            </w:tcMar>
          </w:tcPr>
          <w:p>
            <w:pPr>
              <w:spacing w:after="0" w:before="0" w:line="252"/>
            </w:pPr>
            <w:r>
              <w:rPr>
                <w:sz w:val="19"/>
                <w:szCs w:val="19"/>
              </w:rPr>
              <w:t xml:space="preserve">Before Enterprise GA</w:t>
            </w:r>
          </w:p>
        </w:tc>
        <w:tc>
          <w:tcPr>
            <w:tcW w:type="dxa" w:w="2446"/>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39"/>
            <w:tcMar>
              <w:top w:type="dxa" w:w="60"/>
              <w:left w:type="dxa" w:w="100"/>
              <w:bottom w:type="dxa" w:w="60"/>
              <w:right w:type="dxa" w:w="100"/>
            </w:tcMar>
          </w:tcPr>
          <w:p>
            <w:pPr>
              <w:spacing w:after="0" w:before="0" w:line="252"/>
            </w:pPr>
            <w:r>
              <w:rPr>
                <w:sz w:val="19"/>
                <w:szCs w:val="19"/>
              </w:rPr>
              <w:t xml:space="preserve">Business development</w:t>
            </w:r>
          </w:p>
        </w:tc>
        <w:tc>
          <w:tcPr>
            <w:tcW w:type="dxa" w:w="2235"/>
            <w:tcMar>
              <w:top w:type="dxa" w:w="60"/>
              <w:left w:type="dxa" w:w="100"/>
              <w:bottom w:type="dxa" w:w="60"/>
              <w:right w:type="dxa" w:w="100"/>
            </w:tcMar>
          </w:tcPr>
          <w:p>
            <w:pPr>
              <w:spacing w:after="0" w:before="0" w:line="252"/>
            </w:pPr>
            <w:r>
              <w:rPr>
                <w:sz w:val="19"/>
                <w:szCs w:val="19"/>
              </w:rPr>
              <w:t xml:space="preserve">Before Home</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Yes, before the GA build; the beta runs under the v0.7 wording (§1)</w:t>
            </w:r>
          </w:p>
        </w:tc>
        <w:tc>
          <w:tcPr>
            <w:tcW w:type="dxa" w:w="244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39"/>
            <w:tcMar>
              <w:top w:type="dxa" w:w="60"/>
              <w:left w:type="dxa" w:w="100"/>
              <w:bottom w:type="dxa" w:w="60"/>
              <w:right w:type="dxa" w:w="100"/>
            </w:tcMar>
          </w:tcPr>
          <w:p>
            <w:pPr>
              <w:spacing w:after="0" w:before="0" w:line="252"/>
            </w:pPr>
            <w:r>
              <w:rPr>
                <w:sz w:val="19"/>
                <w:szCs w:val="19"/>
              </w:rPr>
              <w:t xml:space="preserve">Engineering</w:t>
            </w:r>
          </w:p>
        </w:tc>
        <w:tc>
          <w:tcPr>
            <w:tcW w:type="dxa" w:w="2235"/>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46"/>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39"/>
            <w:tcMar>
              <w:top w:type="dxa" w:w="60"/>
              <w:left w:type="dxa" w:w="100"/>
              <w:bottom w:type="dxa" w:w="60"/>
              <w:right w:type="dxa" w:w="100"/>
            </w:tcMar>
          </w:tcPr>
          <w:p>
            <w:pPr>
              <w:spacing w:after="0" w:before="0" w:line="252"/>
            </w:pPr>
            <w:r>
              <w:rPr>
                <w:sz w:val="19"/>
                <w:szCs w:val="19"/>
              </w:rPr>
              <w:t xml:space="preserve">Product</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39"/>
            <w:tcMar>
              <w:top w:type="dxa" w:w="60"/>
              <w:left w:type="dxa" w:w="100"/>
              <w:bottom w:type="dxa" w:w="60"/>
              <w:right w:type="dxa" w:w="100"/>
            </w:tcMar>
          </w:tcPr>
          <w:p>
            <w:pPr>
              <w:spacing w:after="0" w:before="0" w:line="252"/>
            </w:pPr>
            <w:r>
              <w:rPr>
                <w:sz w:val="19"/>
                <w:szCs w:val="19"/>
              </w:rPr>
              <w:t xml:space="preserve">Business</w:t>
            </w:r>
          </w:p>
        </w:tc>
        <w:tc>
          <w:tcPr>
            <w:tcW w:type="dxa" w:w="2235"/>
            <w:tcMar>
              <w:top w:type="dxa" w:w="60"/>
              <w:left w:type="dxa" w:w="100"/>
              <w:bottom w:type="dxa" w:w="60"/>
              <w:right w:type="dxa" w:w="100"/>
            </w:tcMar>
          </w:tcPr>
          <w:p>
            <w:pPr>
              <w:spacing w:after="0" w:before="0" w:line="252"/>
            </w:pPr>
            <w:r>
              <w:rPr>
                <w:sz w:val="19"/>
                <w:szCs w:val="19"/>
              </w:rPr>
              <w:t xml:space="preserve">No (P2)</w:t>
            </w:r>
          </w:p>
        </w:tc>
        <w:tc>
          <w:tcPr>
            <w:tcW w:type="dxa" w:w="2446"/>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39"/>
            <w:tcMar>
              <w:top w:type="dxa" w:w="60"/>
              <w:left w:type="dxa" w:w="100"/>
              <w:bottom w:type="dxa" w:w="60"/>
              <w:right w:type="dxa" w:w="100"/>
            </w:tcMar>
          </w:tcPr>
          <w:p>
            <w:pPr>
              <w:spacing w:after="0" w:before="0" w:line="252"/>
            </w:pPr>
            <w:r>
              <w:rPr>
                <w:sz w:val="19"/>
                <w:szCs w:val="19"/>
              </w:rPr>
              <w:t xml:space="preserve">Product, legal</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Home minimum age?</w:t>
            </w:r>
          </w:p>
        </w:tc>
        <w:tc>
          <w:tcPr>
            <w:tcW w:type="dxa" w:w="1739"/>
            <w:tcMar>
              <w:top w:type="dxa" w:w="60"/>
              <w:left w:type="dxa" w:w="100"/>
              <w:bottom w:type="dxa" w:w="60"/>
              <w:right w:type="dxa" w:w="100"/>
            </w:tcMar>
          </w:tcPr>
          <w:p>
            <w:pPr>
              <w:spacing w:after="0" w:before="0" w:line="252"/>
            </w:pPr>
            <w:r>
              <w:rPr>
                <w:sz w:val="19"/>
                <w:szCs w:val="19"/>
              </w:rPr>
              <w:t xml:space="preserve">Legal</w:t>
            </w:r>
          </w:p>
        </w:tc>
        <w:tc>
          <w:tcPr>
            <w:tcW w:type="dxa" w:w="2235"/>
            <w:tcMar>
              <w:top w:type="dxa" w:w="60"/>
              <w:left w:type="dxa" w:w="100"/>
              <w:bottom w:type="dxa" w:w="60"/>
              <w:right w:type="dxa" w:w="100"/>
            </w:tcMar>
          </w:tcPr>
          <w:p>
            <w:pPr>
              <w:spacing w:after="0" w:before="0" w:line="252"/>
            </w:pPr>
            <w:r>
              <w:rPr>
                <w:sz w:val="19"/>
                <w:szCs w:val="19"/>
              </w:rPr>
              <w:t xml:space="preserve">Before Home launch</w:t>
            </w:r>
          </w:p>
        </w:tc>
        <w:tc>
          <w:tcPr>
            <w:tcW w:type="dxa" w:w="2446"/>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39"/>
            <w:tcMar>
              <w:top w:type="dxa" w:w="60"/>
              <w:left w:type="dxa" w:w="100"/>
              <w:bottom w:type="dxa" w:w="60"/>
              <w:right w:type="dxa" w:w="100"/>
            </w:tcMar>
          </w:tcPr>
          <w:p>
            <w:pPr>
              <w:spacing w:after="0" w:before="0" w:line="252"/>
            </w:pPr>
            <w:r>
              <w:rPr>
                <w:sz w:val="19"/>
                <w:szCs w:val="19"/>
              </w:rPr>
              <w:t xml:space="preserve">Product owner</w:t>
            </w:r>
          </w:p>
        </w:tc>
        <w:tc>
          <w:tcPr>
            <w:tcW w:type="dxa" w:w="2235"/>
            <w:tcMar>
              <w:top w:type="dxa" w:w="60"/>
              <w:left w:type="dxa" w:w="100"/>
              <w:bottom w:type="dxa" w:w="60"/>
              <w:right w:type="dxa" w:w="100"/>
            </w:tcMar>
          </w:tcPr>
          <w:p>
            <w:pPr>
              <w:spacing w:after="0" w:before="0" w:line="252"/>
            </w:pPr>
            <w:r>
              <w:rPr>
                <w:sz w:val="19"/>
                <w:szCs w:val="19"/>
              </w:rPr>
              <w:t xml:space="preserve">Before beta signing</w:t>
            </w:r>
          </w:p>
        </w:tc>
        <w:tc>
          <w:tcPr>
            <w:tcW w:type="dxa" w:w="2446"/>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39"/>
            <w:tcMar>
              <w:top w:type="dxa" w:w="60"/>
              <w:left w:type="dxa" w:w="100"/>
              <w:bottom w:type="dxa" w:w="60"/>
              <w:right w:type="dxa" w:w="100"/>
            </w:tcMar>
          </w:tcPr>
          <w:p>
            <w:pPr>
              <w:spacing w:after="0" w:before="0" w:line="252"/>
            </w:pPr>
            <w:r>
              <w:rPr>
                <w:sz w:val="19"/>
                <w:szCs w:val="19"/>
              </w:rPr>
              <w:t xml:space="preserve">Product, security</w:t>
            </w:r>
          </w:p>
        </w:tc>
        <w:tc>
          <w:tcPr>
            <w:tcW w:type="dxa" w:w="2235"/>
            <w:tcMar>
              <w:top w:type="dxa" w:w="60"/>
              <w:left w:type="dxa" w:w="100"/>
              <w:bottom w:type="dxa" w:w="60"/>
              <w:right w:type="dxa" w:w="100"/>
            </w:tcMar>
          </w:tcPr>
          <w:p>
            <w:pPr>
              <w:spacing w:after="0" w:before="0" w:line="252"/>
            </w:pPr>
            <w:r>
              <w:rPr>
                <w:sz w:val="19"/>
                <w:szCs w:val="19"/>
              </w:rPr>
              <w:t xml:space="preserve">No</w:t>
            </w:r>
          </w:p>
        </w:tc>
        <w:tc>
          <w:tcPr>
            <w:tcW w:type="dxa" w:w="2446"/>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40"/>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39"/>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35"/>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46"/>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8330"/>
      </w:tblGrid>
      <w:tr>
        <w:trPr>
          <w:tblHeader/>
        </w:trPr>
        <w:tc>
          <w:tcPr>
            <w:tcW w:type="dxa" w:w="103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0"/>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MR‑10</w:t>
            </w:r>
          </w:p>
        </w:tc>
        <w:tc>
          <w:tcPr>
            <w:tcW w:type="dxa" w:w="8330"/>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MR‑15</w:t>
            </w:r>
          </w:p>
        </w:tc>
        <w:tc>
          <w:tcPr>
            <w:tcW w:type="dxa" w:w="8330"/>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MR‑22</w:t>
            </w:r>
          </w:p>
        </w:tc>
        <w:tc>
          <w:tcPr>
            <w:tcW w:type="dxa" w:w="8330"/>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MR‑23</w:t>
            </w:r>
          </w:p>
        </w:tc>
        <w:tc>
          <w:tcPr>
            <w:tcW w:type="dxa" w:w="8330"/>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MR‑24</w:t>
            </w:r>
          </w:p>
        </w:tc>
        <w:tc>
          <w:tcPr>
            <w:tcW w:type="dxa" w:w="8330"/>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30"/>
            <w:tcMar>
              <w:top w:type="dxa" w:w="60"/>
              <w:left w:type="dxa" w:w="100"/>
              <w:bottom w:type="dxa" w:w="60"/>
              <w:right w:type="dxa" w:w="100"/>
            </w:tcMar>
          </w:tcPr>
          <w:p>
            <w:pPr>
              <w:spacing w:after="0" w:before="0" w:line="252"/>
            </w:pPr>
            <w:r>
              <w:rPr>
                <w:sz w:val="19"/>
                <w:szCs w:val="19"/>
              </w:rPr>
              <w:t xml:space="preserve">MR‑26</w:t>
            </w:r>
          </w:p>
        </w:tc>
        <w:tc>
          <w:tcPr>
            <w:tcW w:type="dxa" w:w="8330"/>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1"/>
        <w:gridCol w:w="1117"/>
        <w:gridCol w:w="7002"/>
      </w:tblGrid>
      <w:tr>
        <w:trPr>
          <w:tblHeader/>
        </w:trPr>
        <w:tc>
          <w:tcPr>
            <w:tcW w:type="dxa" w:w="1241"/>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7"/>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2"/>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v0.10</w:t>
            </w:r>
          </w:p>
        </w:tc>
        <w:tc>
          <w:tcPr>
            <w:tcW w:type="dxa" w:w="1117"/>
            <w:tcMar>
              <w:top w:type="dxa" w:w="60"/>
              <w:left w:type="dxa" w:w="100"/>
              <w:bottom w:type="dxa" w:w="60"/>
              <w:right w:type="dxa" w:w="100"/>
            </w:tcMar>
          </w:tcPr>
          <w:p>
            <w:pPr>
              <w:spacing w:after="0" w:before="0" w:line="252"/>
            </w:pPr>
            <w:r>
              <w:rPr>
                <w:sz w:val="19"/>
                <w:szCs w:val="19"/>
              </w:rPr>
              <w:t xml:space="preserve">2026-10-10</w:t>
            </w:r>
          </w:p>
        </w:tc>
        <w:tc>
          <w:tcPr>
            <w:tcW w:type="dxa" w:w="7002"/>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v0.9</w:t>
            </w:r>
          </w:p>
        </w:tc>
        <w:tc>
          <w:tcPr>
            <w:tcW w:type="dxa" w:w="1117"/>
            <w:tcMar>
              <w:top w:type="dxa" w:w="60"/>
              <w:left w:type="dxa" w:w="100"/>
              <w:bottom w:type="dxa" w:w="60"/>
              <w:right w:type="dxa" w:w="100"/>
            </w:tcMar>
          </w:tcPr>
          <w:p>
            <w:pPr>
              <w:spacing w:after="0" w:before="0" w:line="252"/>
            </w:pPr>
            <w:r>
              <w:rPr>
                <w:sz w:val="19"/>
                <w:szCs w:val="19"/>
              </w:rPr>
              <w:t xml:space="preserve">2026-10-10</w:t>
            </w:r>
          </w:p>
        </w:tc>
        <w:tc>
          <w:tcPr>
            <w:tcW w:type="dxa" w:w="7002"/>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v0.8</w:t>
            </w:r>
          </w:p>
        </w:tc>
        <w:tc>
          <w:tcPr>
            <w:tcW w:type="dxa" w:w="1117"/>
            <w:tcMar>
              <w:top w:type="dxa" w:w="60"/>
              <w:left w:type="dxa" w:w="100"/>
              <w:bottom w:type="dxa" w:w="60"/>
              <w:right w:type="dxa" w:w="100"/>
            </w:tcMar>
          </w:tcPr>
          <w:p>
            <w:pPr>
              <w:spacing w:after="0" w:before="0" w:line="252"/>
            </w:pPr>
            <w:r>
              <w:rPr>
                <w:sz w:val="19"/>
                <w:szCs w:val="19"/>
              </w:rPr>
              <w:t xml:space="preserve">2026-10-10</w:t>
            </w:r>
          </w:p>
        </w:tc>
        <w:tc>
          <w:tcPr>
            <w:tcW w:type="dxa" w:w="7002"/>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v0.7</w:t>
            </w:r>
          </w:p>
        </w:tc>
        <w:tc>
          <w:tcPr>
            <w:tcW w:type="dxa" w:w="1117"/>
            <w:tcMar>
              <w:top w:type="dxa" w:w="60"/>
              <w:left w:type="dxa" w:w="100"/>
              <w:bottom w:type="dxa" w:w="60"/>
              <w:right w:type="dxa" w:w="100"/>
            </w:tcMar>
          </w:tcPr>
          <w:p>
            <w:pPr>
              <w:spacing w:after="0" w:before="0" w:line="252"/>
            </w:pPr>
            <w:r>
              <w:rPr>
                <w:sz w:val="19"/>
                <w:szCs w:val="19"/>
              </w:rPr>
              <w:t xml:space="preserve">2026-10-10</w:t>
            </w:r>
          </w:p>
        </w:tc>
        <w:tc>
          <w:tcPr>
            <w:tcW w:type="dxa" w:w="7002"/>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v0.6</w:t>
            </w:r>
          </w:p>
        </w:tc>
        <w:tc>
          <w:tcPr>
            <w:tcW w:type="dxa" w:w="1117"/>
            <w:tcMar>
              <w:top w:type="dxa" w:w="60"/>
              <w:left w:type="dxa" w:w="100"/>
              <w:bottom w:type="dxa" w:w="60"/>
              <w:right w:type="dxa" w:w="100"/>
            </w:tcMar>
          </w:tcPr>
          <w:p>
            <w:pPr>
              <w:spacing w:after="0" w:before="0" w:line="252"/>
            </w:pPr>
            <w:r>
              <w:rPr>
                <w:sz w:val="19"/>
                <w:szCs w:val="19"/>
              </w:rPr>
              <w:t xml:space="preserve">2026-10-10</w:t>
            </w:r>
          </w:p>
        </w:tc>
        <w:tc>
          <w:tcPr>
            <w:tcW w:type="dxa" w:w="7002"/>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v0.5</w:t>
            </w:r>
          </w:p>
        </w:tc>
        <w:tc>
          <w:tcPr>
            <w:tcW w:type="dxa" w:w="1117"/>
            <w:tcMar>
              <w:top w:type="dxa" w:w="60"/>
              <w:left w:type="dxa" w:w="100"/>
              <w:bottom w:type="dxa" w:w="60"/>
              <w:right w:type="dxa" w:w="100"/>
            </w:tcMar>
          </w:tcPr>
          <w:p>
            <w:pPr>
              <w:spacing w:after="0" w:before="0" w:line="252"/>
            </w:pPr>
            <w:r>
              <w:rPr>
                <w:sz w:val="19"/>
                <w:szCs w:val="19"/>
              </w:rPr>
              <w:t xml:space="preserve">2026-10-05</w:t>
            </w:r>
          </w:p>
        </w:tc>
        <w:tc>
          <w:tcPr>
            <w:tcW w:type="dxa" w:w="7002"/>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v0.4</w:t>
            </w:r>
          </w:p>
        </w:tc>
        <w:tc>
          <w:tcPr>
            <w:tcW w:type="dxa" w:w="1117"/>
            <w:tcMar>
              <w:top w:type="dxa" w:w="60"/>
              <w:left w:type="dxa" w:w="100"/>
              <w:bottom w:type="dxa" w:w="60"/>
              <w:right w:type="dxa" w:w="100"/>
            </w:tcMar>
          </w:tcPr>
          <w:p>
            <w:pPr>
              <w:spacing w:after="0" w:before="0" w:line="252"/>
            </w:pPr>
            <w:r>
              <w:rPr>
                <w:sz w:val="19"/>
                <w:szCs w:val="19"/>
              </w:rPr>
              <w:t xml:space="preserve">2026-10-05</w:t>
            </w:r>
          </w:p>
        </w:tc>
        <w:tc>
          <w:tcPr>
            <w:tcW w:type="dxa" w:w="7002"/>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v0.3</w:t>
            </w:r>
          </w:p>
        </w:tc>
        <w:tc>
          <w:tcPr>
            <w:tcW w:type="dxa" w:w="1117"/>
            <w:tcMar>
              <w:top w:type="dxa" w:w="60"/>
              <w:left w:type="dxa" w:w="100"/>
              <w:bottom w:type="dxa" w:w="60"/>
              <w:right w:type="dxa" w:w="100"/>
            </w:tcMar>
          </w:tcPr>
          <w:p>
            <w:pPr>
              <w:spacing w:after="0" w:before="0" w:line="252"/>
            </w:pPr>
            <w:r>
              <w:rPr>
                <w:sz w:val="19"/>
                <w:szCs w:val="19"/>
              </w:rPr>
              <w:t xml:space="preserve">2026-10-05</w:t>
            </w:r>
          </w:p>
        </w:tc>
        <w:tc>
          <w:tcPr>
            <w:tcW w:type="dxa" w:w="7002"/>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v0.2</w:t>
            </w:r>
          </w:p>
        </w:tc>
        <w:tc>
          <w:tcPr>
            <w:tcW w:type="dxa" w:w="1117"/>
            <w:tcMar>
              <w:top w:type="dxa" w:w="60"/>
              <w:left w:type="dxa" w:w="100"/>
              <w:bottom w:type="dxa" w:w="60"/>
              <w:right w:type="dxa" w:w="100"/>
            </w:tcMar>
          </w:tcPr>
          <w:p>
            <w:pPr>
              <w:spacing w:after="0" w:before="0" w:line="252"/>
            </w:pPr>
            <w:r>
              <w:rPr>
                <w:sz w:val="19"/>
                <w:szCs w:val="19"/>
              </w:rPr>
              <w:t xml:space="preserve">2026-10-05</w:t>
            </w:r>
          </w:p>
        </w:tc>
        <w:tc>
          <w:tcPr>
            <w:tcW w:type="dxa" w:w="7002"/>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1"/>
            <w:tcMar>
              <w:top w:type="dxa" w:w="60"/>
              <w:left w:type="dxa" w:w="100"/>
              <w:bottom w:type="dxa" w:w="60"/>
              <w:right w:type="dxa" w:w="100"/>
            </w:tcMar>
          </w:tcPr>
          <w:p>
            <w:pPr>
              <w:spacing w:after="0" w:before="0" w:line="252"/>
            </w:pPr>
            <w:r>
              <w:rPr>
                <w:sz w:val="19"/>
                <w:szCs w:val="19"/>
              </w:rPr>
              <w:t xml:space="preserve">v0.1</w:t>
            </w:r>
          </w:p>
        </w:tc>
        <w:tc>
          <w:tcPr>
            <w:tcW w:type="dxa" w:w="1117"/>
            <w:tcMar>
              <w:top w:type="dxa" w:w="60"/>
              <w:left w:type="dxa" w:w="100"/>
              <w:bottom w:type="dxa" w:w="60"/>
              <w:right w:type="dxa" w:w="100"/>
            </w:tcMar>
          </w:tcPr>
          <w:p>
            <w:pPr>
              <w:spacing w:after="0" w:before="0" w:line="252"/>
            </w:pPr>
            <w:r>
              <w:rPr>
                <w:sz w:val="19"/>
                <w:szCs w:val="19"/>
              </w:rPr>
              <w:t xml:space="preserve">2026-10-05</w:t>
            </w:r>
          </w:p>
        </w:tc>
        <w:tc>
          <w:tcPr>
            <w:tcW w:type="dxa" w:w="7002"/>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xqes_5odp2fmt45jzpif6">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nazjsg-kiaprqeqxi5nps">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ef16il3jh2bpa-bdmoon0">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r9nwztro8shxodjb6wsej">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in2hijypecodptqbs5aim">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0cl7glth2xww9lbz7l_-2">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0s3qhngvmxxvgljuyatc0">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r6lzidcwf3ytk48-abpnb">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jwitrgr-dztl_mummzlao">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op43js0h8eyjcfga6kdts">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g0gj8ls-ycwfsfoglj9j7">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qes_5odp2fmt45jzpif6" Type="http://schemas.openxmlformats.org/officeDocument/2006/relationships/hyperlink" Target="https://docs.temporal.io/activity-definition#idempotency" TargetMode="External"/><Relationship Id="rIdnazjsg-kiaprqeqxi5nps" Type="http://schemas.openxmlformats.org/officeDocument/2006/relationships/hyperlink" Target="https://learn.microsoft.com/en-us/entra/identity-platform/configurable-token-lifetimes" TargetMode="External"/><Relationship Id="rIdef16il3jh2bpa-bdmoon0" Type="http://schemas.openxmlformats.org/officeDocument/2006/relationships/hyperlink" Target="https://cheatsheetseries.owasp.org/cheatsheets/LLM_Prompt_Injection_Prevention_Cheat_Sheet.html" TargetMode="External"/><Relationship Id="rIdr9nwztro8shxodjb6wsej" Type="http://schemas.openxmlformats.org/officeDocument/2006/relationships/hyperlink" Target="https://learn.microsoft.com/en-us/entra/identity/app-provisioning/use-scim-to-provision-users-and-groups" TargetMode="External"/><Relationship Id="rIdin2hijypecodptqbs5aim" Type="http://schemas.openxmlformats.org/officeDocument/2006/relationships/hyperlink" Target="https://learn.microsoft.com/en-us/entra/identity/conditional-access/concept-continuous-access-evaluation" TargetMode="External"/><Relationship Id="rId0cl7glth2xww9lbz7l_-2" Type="http://schemas.openxmlformats.org/officeDocument/2006/relationships/hyperlink" Target="https://www.unicode.org/reports/tr39/" TargetMode="External"/><Relationship Id="rId0s3qhngvmxxvgljuyatc0" Type="http://schemas.openxmlformats.org/officeDocument/2006/relationships/hyperlink" Target="https://datatracker.ietf.org/doc/draft-ietf-webbotauth-httpsig-protocol/" TargetMode="External"/><Relationship Id="rIdr6lzidcwf3ytk48-abpnb" Type="http://schemas.openxmlformats.org/officeDocument/2006/relationships/hyperlink" Target="https://developers.cloudflare.com/bots/reference/bot-verification/web-bot-auth/" TargetMode="External"/><Relationship Id="rIdjwitrgr-dztl_mummzlao" Type="http://schemas.openxmlformats.org/officeDocument/2006/relationships/hyperlink" Target="https://aws.amazon.com/about-aws/whats-new/2025/11/aws-waf-web-bot-auth-support" TargetMode="External"/><Relationship Id="rIdop43js0h8eyjcfga6kdts" Type="http://schemas.openxmlformats.org/officeDocument/2006/relationships/hyperlink" Target="https://blog.cloudflare.com/secure-agentic-commerce/" TargetMode="External"/><Relationship Id="rIdg0gj8ls-ycwfsfoglj9j7"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v0.10)</dc:title>
  <dc:creator>Collicity</dc:creator>
  <cp:lastModifiedBy>Un-named</cp:lastModifiedBy>
  <cp:revision>1</cp:revision>
  <dcterms:created xsi:type="dcterms:W3CDTF">2026-10-10T12:42:51.677Z</dcterms:created>
  <dcterms:modified xsi:type="dcterms:W3CDTF">2026-10-10T12:42:51.679Z</dcterms:modified>
</cp:coreProperties>
</file>

<file path=docProps/custom.xml><?xml version="1.0" encoding="utf-8"?>
<Properties xmlns="http://schemas.openxmlformats.org/officeDocument/2006/custom-properties" xmlns:vt="http://schemas.openxmlformats.org/officeDocument/2006/docPropsVTypes"/>
</file>