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Technical Design (Draft v0.1)</w:t>
      </w:r>
    </w:p>
    <w:p>
      <w:pPr>
        <w:spacing w:after="240"/>
      </w:pPr>
      <w:r>
        <w:rPr>
          <w:color w:val="595959"/>
        </w:rPr>
        <w:t xml:space="preserve">Oct 5, 2026 · Draft for engineering review · Companion to </w:t>
      </w:r>
      <w:r>
        <w:rPr>
          <w:i/>
          <w:iCs/>
          <w:color w:val="595959"/>
        </w:rPr>
        <w:t xml:space="preserve">Collicity — Product Specification (Draft v0.4)</w:t>
      </w:r>
    </w:p>
    <w:p>
      <w:pPr>
        <w:pStyle w:val="Heading1"/>
        <w:keepNext/>
      </w:pPr>
      <w:r>
        <w:t xml:space="preserve">1. Overview</w:t>
      </w:r>
    </w:p>
    <w:p>
      <w:r>
        <w:t xml:space="preserve">This document turns the product specification (v0.4) into a system that can be built. It sets out:</w:t>
      </w:r>
    </w:p>
    <w:p>
      <w:pPr>
        <w:pStyle w:val="ListParagraph"/>
        <w:numPr>
          <w:ilvl w:val="0"/>
          <w:numId w:val="2"/>
        </w:numPr>
        <w:spacing w:after="60" w:before="0"/>
      </w:pPr>
      <w:r>
        <w:t xml:space="preserve">the stack;</w:t>
      </w:r>
    </w:p>
    <w:p>
      <w:pPr>
        <w:pStyle w:val="ListParagraph"/>
        <w:numPr>
          <w:ilvl w:val="0"/>
          <w:numId w:val="2"/>
        </w:numPr>
        <w:spacing w:after="60" w:before="0"/>
      </w:pPr>
      <w:r>
        <w:t xml:space="preserve">the architecture;</w:t>
      </w:r>
    </w:p>
    <w:p>
      <w:pPr>
        <w:pStyle w:val="ListParagraph"/>
        <w:numPr>
          <w:ilvl w:val="0"/>
          <w:numId w:val="2"/>
        </w:numPr>
        <w:spacing w:after="60" w:before="0"/>
      </w:pPr>
      <w:r>
        <w:t xml:space="preserve">the designs that keep the five product invariants true by construction;</w:t>
      </w:r>
    </w:p>
    <w:p>
      <w:pPr>
        <w:pStyle w:val="ListParagraph"/>
        <w:numPr>
          <w:ilvl w:val="0"/>
          <w:numId w:val="2"/>
        </w:numPr>
        <w:spacing w:after="60" w:before="0"/>
      </w:pPr>
      <w:r>
        <w:t xml:space="preserve">a work-package plan through the Enterprise beta (gates 0 and 1).</w:t>
      </w:r>
    </w:p>
    <w:p>
      <w:pPr>
        <w:spacing w:after="0"/>
      </w:pPr>
    </w:p>
    <w:p>
      <w:r>
        <w:t xml:space="preserve">GA and Home are outlined at coarser grain. Requirement IDs refer to the specification.</w:t>
      </w:r>
    </w:p>
    <w:p>
      <w:r>
        <w:rPr>
          <w:b/>
          <w:bCs/>
        </w:rPr>
        <w:t xml:space="preserve">Decisions this document assumes</w:t>
      </w:r>
      <w:r>
        <w:t xml:space="preserve"> (2026-10-05)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588"/>
        <w:gridCol w:w="4386"/>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3588"/>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4386"/>
            <w:shd w:fill="F2F2F2" w:color="auto" w:val="clear"/>
            <w:tcMar>
              <w:top w:type="dxa" w:w="60"/>
              <w:left w:type="dxa" w:w="100"/>
              <w:bottom w:type="dxa" w:w="60"/>
              <w:right w:type="dxa" w:w="100"/>
            </w:tcMar>
          </w:tcPr>
          <w:p>
            <w:pPr>
              <w:spacing w:after="0" w:before="0" w:line="252"/>
            </w:pPr>
            <w:r>
              <w:rPr>
                <w:b/>
                <w:bCs/>
                <w:sz w:val="19"/>
                <w:szCs w:val="19"/>
              </w:rPr>
              <w:t xml:space="preserve">Consequence</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Cloud</w:t>
            </w:r>
          </w:p>
        </w:tc>
        <w:tc>
          <w:tcPr>
            <w:tcW w:type="dxa" w:w="3588"/>
            <w:tcMar>
              <w:top w:type="dxa" w:w="60"/>
              <w:left w:type="dxa" w:w="100"/>
              <w:bottom w:type="dxa" w:w="60"/>
              <w:right w:type="dxa" w:w="100"/>
            </w:tcMar>
          </w:tcPr>
          <w:p>
            <w:pPr>
              <w:spacing w:after="0" w:before="0" w:line="252"/>
            </w:pPr>
            <w:r>
              <w:rPr>
                <w:sz w:val="19"/>
                <w:szCs w:val="19"/>
              </w:rPr>
              <w:t xml:space="preserve">AWS; one region for the beta, chosen by where the design partners need their data</w:t>
            </w:r>
          </w:p>
        </w:tc>
        <w:tc>
          <w:tcPr>
            <w:tcW w:type="dxa" w:w="4386"/>
            <w:tcMar>
              <w:top w:type="dxa" w:w="60"/>
              <w:left w:type="dxa" w:w="100"/>
              <w:bottom w:type="dxa" w:w="60"/>
              <w:right w:type="dxa" w:w="100"/>
            </w:tcMar>
          </w:tcPr>
          <w:p>
            <w:pPr>
              <w:spacing w:after="0" w:before="0" w:line="252"/>
            </w:pPr>
            <w:r>
              <w:rPr>
                <w:sz w:val="19"/>
                <w:szCs w:val="19"/>
              </w:rPr>
              <w:t xml:space="preserve">Managed services throughout; US and EU cells at GA</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Team</w:t>
            </w:r>
          </w:p>
        </w:tc>
        <w:tc>
          <w:tcPr>
            <w:tcW w:type="dxa" w:w="3588"/>
            <w:tcMar>
              <w:top w:type="dxa" w:w="60"/>
              <w:left w:type="dxa" w:w="100"/>
              <w:bottom w:type="dxa" w:w="60"/>
              <w:right w:type="dxa" w:w="100"/>
            </w:tcMar>
          </w:tcPr>
          <w:p>
            <w:pPr>
              <w:spacing w:after="0" w:before="0" w:line="252"/>
            </w:pPr>
            <w:r>
              <w:rPr>
                <w:sz w:val="19"/>
                <w:szCs w:val="19"/>
              </w:rPr>
              <w:t xml:space="preserve">1–3 engineers through the beta</w:t>
            </w:r>
          </w:p>
        </w:tc>
        <w:tc>
          <w:tcPr>
            <w:tcW w:type="dxa" w:w="4386"/>
            <w:tcMar>
              <w:top w:type="dxa" w:w="60"/>
              <w:left w:type="dxa" w:w="100"/>
              <w:bottom w:type="dxa" w:w="60"/>
              <w:right w:type="dxa" w:w="100"/>
            </w:tcMar>
          </w:tcPr>
          <w:p>
            <w:pPr>
              <w:spacing w:after="0" w:before="0" w:line="252"/>
            </w:pPr>
            <w:r>
              <w:rPr>
                <w:sz w:val="19"/>
                <w:szCs w:val="19"/>
              </w:rPr>
              <w:t xml:space="preserve">Three services and one sandbox. Buy everything that isn't the product; defer whatever the beta matrix doesn't require</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Scope</w:t>
            </w:r>
          </w:p>
        </w:tc>
        <w:tc>
          <w:tcPr>
            <w:tcW w:type="dxa" w:w="3588"/>
            <w:tcMar>
              <w:top w:type="dxa" w:w="60"/>
              <w:left w:type="dxa" w:w="100"/>
              <w:bottom w:type="dxa" w:w="60"/>
              <w:right w:type="dxa" w:w="100"/>
            </w:tcMar>
          </w:tcPr>
          <w:p>
            <w:pPr>
              <w:spacing w:after="0" w:before="0" w:line="252"/>
            </w:pPr>
            <w:r>
              <w:rPr>
                <w:sz w:val="19"/>
                <w:szCs w:val="19"/>
              </w:rPr>
              <w:t xml:space="preserve">Every requirement in the §18 matrix's Beta column (81 IDs); GA and Home outlined</w:t>
            </w:r>
          </w:p>
        </w:tc>
        <w:tc>
          <w:tcPr>
            <w:tcW w:type="dxa" w:w="4386"/>
            <w:tcMar>
              <w:top w:type="dxa" w:w="60"/>
              <w:left w:type="dxa" w:w="100"/>
              <w:bottom w:type="dxa" w:w="60"/>
              <w:right w:type="dxa" w:w="100"/>
            </w:tcMar>
          </w:tcPr>
          <w:p>
            <w:pPr>
              <w:spacing w:after="0" w:before="0" w:line="252"/>
            </w:pPr>
            <w:r>
              <w:rPr>
                <w:sz w:val="19"/>
                <w:szCs w:val="19"/>
              </w:rPr>
              <w:t xml:space="preserve">Every Beta requirement maps to a work package (§14)</w:t>
            </w:r>
          </w:p>
        </w:tc>
      </w:tr>
    </w:tbl>
    <w:p>
      <w:pPr>
        <w:spacing w:after="60"/>
      </w:pPr>
    </w:p>
    <w:p>
      <w:r>
        <w:rPr>
          <w:b/>
          <w:bCs/>
        </w:rPr>
        <w:t xml:space="preserve">Design principles</w:t>
      </w:r>
    </w:p>
    <w:p>
      <w:pPr>
        <w:pStyle w:val="ListParagraph"/>
        <w:numPr>
          <w:ilvl w:val="0"/>
          <w:numId w:val="3"/>
        </w:numPr>
        <w:spacing w:after="60" w:before="0"/>
      </w:pPr>
      <w:r>
        <w:rPr>
          <w:b/>
          <w:bCs/>
        </w:rPr>
        <w:t xml:space="preserve">Invariants hold by structure, not by care.</w:t>
      </w:r>
      <w:r>
        <w:t xml:space="preserve"> Each invariant is enforced by something a bug in ordinary code can't bypass: an IAM role, a database role, a network tier, or the single code path every call must take.</w:t>
      </w:r>
    </w:p>
    <w:p>
      <w:pPr>
        <w:pStyle w:val="ListParagraph"/>
        <w:numPr>
          <w:ilvl w:val="0"/>
          <w:numId w:val="3"/>
        </w:numPr>
        <w:spacing w:after="60" w:before="0"/>
      </w:pPr>
      <w:r>
        <w:rPr>
          <w:b/>
          <w:bCs/>
        </w:rPr>
        <w:t xml:space="preserve">One enforcement point.</w:t>
      </w:r>
      <w:r>
        <w:t xml:space="preserve"> Every external call leaves through the </w:t>
      </w:r>
      <w:r>
        <w:rPr>
          <w:rStyle w:val="CodeChar"/>
          <w:sz w:val="20"/>
          <w:szCs w:val="20"/>
        </w:rPr>
        <w:t xml:space="preserve">gateway</w:t>
      </w:r>
      <w:r>
        <w:t xml:space="preserve">, which alone holds credentials and alone can reach the internet. That covers target systems, model providers and sandbox compute.</w:t>
      </w:r>
    </w:p>
    <w:p>
      <w:pPr>
        <w:pStyle w:val="ListParagraph"/>
        <w:numPr>
          <w:ilvl w:val="0"/>
          <w:numId w:val="3"/>
        </w:numPr>
        <w:spacing w:after="60" w:before="0"/>
      </w:pPr>
      <w:r>
        <w:rPr>
          <w:b/>
          <w:bCs/>
        </w:rPr>
        <w:t xml:space="preserve">Models propose; code decides.</w:t>
      </w:r>
      <w:r>
        <w:t xml:space="preserve"> Models return structured proposals. Only deterministic code changes state, and a side effect runs only against an approval that matches it exactly.</w:t>
      </w:r>
    </w:p>
    <w:p>
      <w:pPr>
        <w:pStyle w:val="ListParagraph"/>
        <w:numPr>
          <w:ilvl w:val="0"/>
          <w:numId w:val="3"/>
        </w:numPr>
        <w:spacing w:after="60" w:before="0"/>
      </w:pPr>
      <w:r>
        <w:rPr>
          <w:b/>
          <w:bCs/>
        </w:rPr>
        <w:t xml:space="preserve">Postgres is the system of record.</w:t>
      </w:r>
      <w:r>
        <w:t xml:space="preserve"> Run state, approvals, budgets, the audit log and the outbox live in one database. Temporal executes short segments and holds nothing it can't lose.</w:t>
      </w:r>
    </w:p>
    <w:p>
      <w:pPr>
        <w:pStyle w:val="ListParagraph"/>
        <w:numPr>
          <w:ilvl w:val="0"/>
          <w:numId w:val="3"/>
        </w:numPr>
        <w:spacing w:after="60" w:before="0"/>
      </w:pPr>
      <w:r>
        <w:rPr>
          <w:b/>
          <w:bCs/>
        </w:rPr>
        <w:t xml:space="preserve">Buy what isn't the product.</w:t>
      </w:r>
      <w:r>
        <w:t xml:space="preserve"> Identity, durable execution, hosting, observability and compliance tooling are bought. The gateway, run engine, ledger, intake and untrusted-content library are built.</w:t>
      </w:r>
    </w:p>
    <w:p>
      <w:pPr>
        <w:spacing w:after="0"/>
      </w:pPr>
    </w:p>
    <w:p>
      <w:pPr>
        <w:pStyle w:val="Heading1"/>
        <w:keepNext/>
      </w:pPr>
      <w:r>
        <w:t xml:space="preserve">2. Stack</w:t>
      </w:r>
    </w:p>
    <w:p>
      <w:r>
        <w:t xml:space="preserve">The specification's stack defaults (§5, §16) came from the archived compliance-assistant plan v3. Most stay. Several change because something fits a three-person team on AWS better, and several are deferred because the beta doesn't need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1849"/>
        <w:gridCol w:w="3043"/>
        <w:gridCol w:w="2698"/>
      </w:tblGrid>
      <w:tr>
        <w:trPr>
          <w:tblHeader/>
        </w:trPr>
        <w:tc>
          <w:tcPr>
            <w:tcW w:type="dxa" w:w="1770"/>
            <w:shd w:fill="F2F2F2" w:color="auto" w:val="clear"/>
            <w:tcMar>
              <w:top w:type="dxa" w:w="60"/>
              <w:left w:type="dxa" w:w="100"/>
              <w:bottom w:type="dxa" w:w="60"/>
              <w:right w:type="dxa" w:w="100"/>
            </w:tcMar>
          </w:tcPr>
          <w:p>
            <w:pPr>
              <w:spacing w:after="0" w:before="0" w:line="252"/>
            </w:pPr>
            <w:r>
              <w:rPr>
                <w:b/>
                <w:bCs/>
                <w:sz w:val="19"/>
                <w:szCs w:val="19"/>
              </w:rPr>
              <w:t xml:space="preserve">Layer</w:t>
            </w:r>
          </w:p>
        </w:tc>
        <w:tc>
          <w:tcPr>
            <w:tcW w:type="dxa" w:w="1849"/>
            <w:shd w:fill="F2F2F2" w:color="auto" w:val="clear"/>
            <w:tcMar>
              <w:top w:type="dxa" w:w="60"/>
              <w:left w:type="dxa" w:w="100"/>
              <w:bottom w:type="dxa" w:w="60"/>
              <w:right w:type="dxa" w:w="100"/>
            </w:tcMar>
          </w:tcPr>
          <w:p>
            <w:pPr>
              <w:spacing w:after="0" w:before="0" w:line="252"/>
            </w:pPr>
            <w:r>
              <w:rPr>
                <w:b/>
                <w:bCs/>
                <w:sz w:val="19"/>
                <w:szCs w:val="19"/>
              </w:rPr>
              <w:t xml:space="preserve">Spec default</w:t>
            </w:r>
          </w:p>
        </w:tc>
        <w:tc>
          <w:tcPr>
            <w:tcW w:type="dxa" w:w="3043"/>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2698"/>
            <w:shd w:fill="F2F2F2" w:color="auto" w:val="clear"/>
            <w:tcMar>
              <w:top w:type="dxa" w:w="60"/>
              <w:left w:type="dxa" w:w="100"/>
              <w:bottom w:type="dxa" w:w="60"/>
              <w:right w:type="dxa" w:w="100"/>
            </w:tcMar>
          </w:tcPr>
          <w:p>
            <w:pPr>
              <w:spacing w:after="0" w:before="0" w:line="252"/>
            </w:pPr>
            <w:r>
              <w:rPr>
                <w:b/>
                <w:bCs/>
                <w:sz w:val="19"/>
                <w:szCs w:val="19"/>
              </w:rPr>
              <w:t xml:space="preserve">Reason</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Compute</w:t>
            </w:r>
          </w:p>
        </w:tc>
        <w:tc>
          <w:tcPr>
            <w:tcW w:type="dxa" w:w="1849"/>
            <w:tcMar>
              <w:top w:type="dxa" w:w="60"/>
              <w:left w:type="dxa" w:w="100"/>
              <w:bottom w:type="dxa" w:w="60"/>
              <w:right w:type="dxa" w:w="100"/>
            </w:tcMar>
          </w:tcPr>
          <w:p>
            <w:pPr>
              <w:spacing w:after="0" w:before="0" w:line="252"/>
            </w:pPr>
            <w:r>
              <w:rPr>
                <w:sz w:val="19"/>
                <w:szCs w:val="19"/>
              </w:rPr>
              <w:t xml:space="preserve">Kubernetes + Terraform</w:t>
            </w:r>
          </w:p>
        </w:tc>
        <w:tc>
          <w:tcPr>
            <w:tcW w:type="dxa" w:w="3043"/>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ECS on Fargate + Terraform; EKS Auto Mode only if self-hosted delivery is ever needed</w:t>
            </w:r>
          </w:p>
        </w:tc>
        <w:tc>
          <w:tcPr>
            <w:tcW w:type="dxa" w:w="2698"/>
            <w:tcMar>
              <w:top w:type="dxa" w:w="60"/>
              <w:left w:type="dxa" w:w="100"/>
              <w:bottom w:type="dxa" w:w="60"/>
              <w:right w:type="dxa" w:w="100"/>
            </w:tcMar>
          </w:tcPr>
          <w:p>
            <w:pPr>
              <w:spacing w:after="0" w:before="0" w:line="252"/>
            </w:pPr>
            <w:r>
              <w:rPr>
                <w:sz w:val="19"/>
                <w:szCs w:val="19"/>
              </w:rPr>
              <w:t xml:space="preserve">Three services don't justify running a cluster. Per-task IAM roles and security groups are the trust boundaries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Untrusted-code sandbox</w:t>
            </w:r>
          </w:p>
        </w:tc>
        <w:tc>
          <w:tcPr>
            <w:tcW w:type="dxa" w:w="1849"/>
            <w:tcMar>
              <w:top w:type="dxa" w:w="60"/>
              <w:left w:type="dxa" w:w="100"/>
              <w:bottom w:type="dxa" w:w="60"/>
              <w:right w:type="dxa" w:w="100"/>
            </w:tcMar>
          </w:tcPr>
          <w:p>
            <w:pPr>
              <w:spacing w:after="0" w:before="0" w:line="252"/>
            </w:pPr>
            <w:r>
              <w:rPr>
                <w:sz w:val="19"/>
                <w:szCs w:val="19"/>
              </w:rPr>
              <w:t xml:space="preserve">WASM or microVM (CON‑14)</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Firecracker microVMs. Beta: a Lambda with no network access for content extraction. GA: Fargate tasks behind a proxy that injects credentials on the way out, for custom connectors</w:t>
            </w:r>
          </w:p>
        </w:tc>
        <w:tc>
          <w:tcPr>
            <w:tcW w:type="dxa" w:w="2698"/>
            <w:tcMar>
              <w:top w:type="dxa" w:w="60"/>
              <w:left w:type="dxa" w:w="100"/>
              <w:bottom w:type="dxa" w:w="60"/>
              <w:right w:type="dxa" w:w="100"/>
            </w:tcMar>
          </w:tcPr>
          <w:p>
            <w:pPr>
              <w:spacing w:after="0" w:before="0" w:line="252"/>
            </w:pPr>
            <w:r>
              <w:rPr>
                <w:sz w:val="19"/>
                <w:szCs w:val="19"/>
              </w:rPr>
              <w:t xml:space="preserve">Managed isolation without running gVisor. The connector SDKs are TypeScript and Python, which WASM serves poorly</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Backend</w:t>
            </w:r>
          </w:p>
        </w:tc>
        <w:tc>
          <w:tcPr>
            <w:tcW w:type="dxa" w:w="1849"/>
            <w:tcMar>
              <w:top w:type="dxa" w:w="60"/>
              <w:left w:type="dxa" w:w="100"/>
              <w:bottom w:type="dxa" w:w="60"/>
              <w:right w:type="dxa" w:w="100"/>
            </w:tcMar>
          </w:tcPr>
          <w:p>
            <w:pPr>
              <w:spacing w:after="0" w:before="0" w:line="252"/>
            </w:pPr>
            <w:r>
              <w:rPr>
                <w:sz w:val="19"/>
                <w:szCs w:val="19"/>
              </w:rPr>
              <w:t xml:space="preserve">Python 3.12, FastAPI, Pydantic v2</w:t>
            </w:r>
          </w:p>
        </w:tc>
        <w:tc>
          <w:tcPr>
            <w:tcW w:type="dxa" w:w="3043"/>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on Python 3.13 (3.14 during GA), with SQLAlchemy 2, psycopg 3 and Alembic; no PgBouncer in the beta</w:t>
            </w:r>
          </w:p>
        </w:tc>
        <w:tc>
          <w:tcPr>
            <w:tcW w:type="dxa" w:w="2698"/>
            <w:tcMar>
              <w:top w:type="dxa" w:w="60"/>
              <w:left w:type="dxa" w:w="100"/>
              <w:bottom w:type="dxa" w:w="60"/>
              <w:right w:type="dxa" w:w="100"/>
            </w:tcMar>
          </w:tcPr>
          <w:p>
            <w:pPr>
              <w:spacing w:after="0" w:before="0" w:line="252"/>
            </w:pPr>
            <w:r>
              <w:rPr>
                <w:sz w:val="19"/>
                <w:szCs w:val="19"/>
              </w:rPr>
              <w:t xml:space="preserve">Strongest ecosystem for model SDKs, document parsing and statistics. Pydantic models double as structured-output schemas. 3.13 is supported to October 2029</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Orchestrator</w:t>
            </w:r>
          </w:p>
        </w:tc>
        <w:tc>
          <w:tcPr>
            <w:tcW w:type="dxa" w:w="1849"/>
            <w:tcMar>
              <w:top w:type="dxa" w:w="60"/>
              <w:left w:type="dxa" w:w="100"/>
              <w:bottom w:type="dxa" w:w="60"/>
              <w:right w:type="dxa" w:w="100"/>
            </w:tcMar>
          </w:tcPr>
          <w:p>
            <w:pPr>
              <w:spacing w:after="0" w:before="0" w:line="252"/>
            </w:pPr>
            <w:r>
              <w:rPr>
                <w:sz w:val="19"/>
                <w:szCs w:val="19"/>
              </w:rPr>
              <w:t xml:space="preserve">Temporal</w:t>
            </w:r>
          </w:p>
        </w:tc>
        <w:tc>
          <w:tcPr>
            <w:tcW w:type="dxa" w:w="3043"/>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Temporal Cloud over AWS PrivateLink, running short run segments (§4). DBOS is the fallback</w:t>
            </w:r>
          </w:p>
        </w:tc>
        <w:tc>
          <w:tcPr>
            <w:tcW w:type="dxa" w:w="2698"/>
            <w:tcMar>
              <w:top w:type="dxa" w:w="60"/>
              <w:left w:type="dxa" w:w="100"/>
              <w:bottom w:type="dxa" w:w="60"/>
              <w:right w:type="dxa" w:w="100"/>
            </w:tcMar>
          </w:tcPr>
          <w:p>
            <w:pPr>
              <w:spacing w:after="0" w:before="0" w:line="252"/>
            </w:pPr>
            <w:r>
              <w:rPr>
                <w:sz w:val="19"/>
                <w:szCs w:val="19"/>
              </w:rPr>
              <w:t xml:space="preserve">Nothing to operate. Short segments remove workflow-versioning risk and dual writes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Database</w:t>
            </w:r>
          </w:p>
        </w:tc>
        <w:tc>
          <w:tcPr>
            <w:tcW w:type="dxa" w:w="1849"/>
            <w:tcMar>
              <w:top w:type="dxa" w:w="60"/>
              <w:left w:type="dxa" w:w="100"/>
              <w:bottom w:type="dxa" w:w="60"/>
              <w:right w:type="dxa" w:w="100"/>
            </w:tcMar>
          </w:tcPr>
          <w:p>
            <w:pPr>
              <w:spacing w:after="0" w:before="0" w:line="252"/>
            </w:pPr>
            <w:r>
              <w:rPr>
                <w:sz w:val="19"/>
                <w:szCs w:val="19"/>
              </w:rPr>
              <w:t xml:space="preserve">PostgreSQL 16 with RLS</w:t>
            </w:r>
          </w:p>
        </w:tc>
        <w:tc>
          <w:tcPr>
            <w:tcW w:type="dxa" w:w="3043"/>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Aurora PostgreSQL on the newest major version Aurora supports (17; 18 once available), Serverless v2 outside production; RLS as SEC‑09 specifies</w:t>
            </w:r>
          </w:p>
        </w:tc>
        <w:tc>
          <w:tcPr>
            <w:tcW w:type="dxa" w:w="2698"/>
            <w:tcMar>
              <w:top w:type="dxa" w:w="60"/>
              <w:left w:type="dxa" w:w="100"/>
              <w:bottom w:type="dxa" w:w="60"/>
              <w:right w:type="dxa" w:w="100"/>
            </w:tcMar>
          </w:tcPr>
          <w:p>
            <w:pPr>
              <w:spacing w:after="0" w:before="0" w:line="252"/>
            </w:pPr>
            <w:r>
              <w:rPr>
                <w:sz w:val="19"/>
                <w:szCs w:val="19"/>
              </w:rPr>
              <w:t xml:space="preserve">Commits are durable across three Availability Zones, which gives the audit log RPO 0 if a zone fails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Live updates</w:t>
            </w:r>
          </w:p>
        </w:tc>
        <w:tc>
          <w:tcPr>
            <w:tcW w:type="dxa" w:w="1849"/>
            <w:tcMar>
              <w:top w:type="dxa" w:w="60"/>
              <w:left w:type="dxa" w:w="100"/>
              <w:bottom w:type="dxa" w:w="60"/>
              <w:right w:type="dxa" w:w="100"/>
            </w:tcMar>
          </w:tcPr>
          <w:p>
            <w:pPr>
              <w:spacing w:after="0" w:before="0" w:line="252"/>
            </w:pPr>
            <w:r>
              <w:rPr>
                <w:sz w:val="19"/>
                <w:szCs w:val="19"/>
              </w:rPr>
              <w:t xml:space="preserve">Postgres outbox + Redis 7</w:t>
            </w:r>
          </w:p>
        </w:tc>
        <w:tc>
          <w:tcPr>
            <w:tcW w:type="dxa" w:w="3043"/>
            <w:tcMar>
              <w:top w:type="dxa" w:w="60"/>
              <w:left w:type="dxa" w:w="100"/>
              <w:bottom w:type="dxa" w:w="60"/>
              <w:right w:type="dxa" w:w="100"/>
            </w:tcMar>
          </w:tcPr>
          <w:p>
            <w:pPr>
              <w:spacing w:after="0" w:before="0" w:line="252"/>
            </w:pPr>
            <w:r>
              <w:rPr>
                <w:b/>
                <w:bCs/>
                <w:sz w:val="19"/>
                <w:szCs w:val="19"/>
              </w:rPr>
              <w:t xml:space="preserve">Change for the beta:</w:t>
            </w:r>
            <w:r>
              <w:rPr>
                <w:sz w:val="19"/>
                <w:szCs w:val="19"/>
              </w:rPr>
              <w:t xml:space="preserve"> no message broker. The outbox feeds Server-Sent Events, with Postgres LISTEN/NOTIFY as the wake-up. Valkey (ElastiCache Serverless) at GA if load needs it</w:t>
            </w:r>
          </w:p>
        </w:tc>
        <w:tc>
          <w:tcPr>
            <w:tcW w:type="dxa" w:w="2698"/>
            <w:tcMar>
              <w:top w:type="dxa" w:w="60"/>
              <w:left w:type="dxa" w:w="100"/>
              <w:bottom w:type="dxa" w:w="60"/>
              <w:right w:type="dxa" w:w="100"/>
            </w:tcMar>
          </w:tcPr>
          <w:p>
            <w:pPr>
              <w:spacing w:after="0" w:before="0" w:line="252"/>
            </w:pPr>
            <w:r>
              <w:rPr>
                <w:sz w:val="19"/>
                <w:szCs w:val="19"/>
              </w:rPr>
              <w:t xml:space="preserve">One fewer system; SSE's </w:t>
            </w:r>
            <w:r>
              <w:rPr>
                <w:rStyle w:val="CodeChar"/>
                <w:sz w:val="17"/>
                <w:szCs w:val="17"/>
              </w:rPr>
              <w:t xml:space="preserve">Last-Event-ID</w:t>
            </w:r>
            <w:r>
              <w:rPr>
                <w:sz w:val="19"/>
                <w:szCs w:val="19"/>
              </w:rPr>
              <w:t xml:space="preserve"> is the outbox sequence</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Object storage</w:t>
            </w:r>
          </w:p>
        </w:tc>
        <w:tc>
          <w:tcPr>
            <w:tcW w:type="dxa" w:w="1849"/>
            <w:tcMar>
              <w:top w:type="dxa" w:w="60"/>
              <w:left w:type="dxa" w:w="100"/>
              <w:bottom w:type="dxa" w:w="60"/>
              <w:right w:type="dxa" w:w="100"/>
            </w:tcMar>
          </w:tcPr>
          <w:p>
            <w:pPr>
              <w:spacing w:after="0" w:before="0" w:line="252"/>
            </w:pPr>
            <w:r>
              <w:rPr>
                <w:sz w:val="19"/>
                <w:szCs w:val="19"/>
              </w:rPr>
              <w:t xml:space="preserve">S3-compatible</w:t>
            </w:r>
          </w:p>
        </w:tc>
        <w:tc>
          <w:tcPr>
            <w:tcW w:type="dxa" w:w="3043"/>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S3 with SSE-KMS; Object Lock (compliance mode) for audit anchors</w:t>
            </w:r>
          </w:p>
        </w:tc>
        <w:tc>
          <w:tcPr>
            <w:tcW w:type="dxa" w:w="2698"/>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Vector store</w:t>
            </w:r>
          </w:p>
        </w:tc>
        <w:tc>
          <w:tcPr>
            <w:tcW w:type="dxa" w:w="1849"/>
            <w:tcMar>
              <w:top w:type="dxa" w:w="60"/>
              <w:left w:type="dxa" w:w="100"/>
              <w:bottom w:type="dxa" w:w="60"/>
              <w:right w:type="dxa" w:w="100"/>
            </w:tcMar>
          </w:tcPr>
          <w:p>
            <w:pPr>
              <w:spacing w:after="0" w:before="0" w:line="252"/>
            </w:pPr>
            <w:r>
              <w:rPr>
                <w:sz w:val="19"/>
                <w:szCs w:val="19"/>
              </w:rPr>
              <w:t xml:space="preserve">pgvector or dedicated</w:t>
            </w:r>
          </w:p>
        </w:tc>
        <w:tc>
          <w:tcPr>
            <w:tcW w:type="dxa" w:w="3043"/>
            <w:tcMar>
              <w:top w:type="dxa" w:w="60"/>
              <w:left w:type="dxa" w:w="100"/>
              <w:bottom w:type="dxa" w:w="60"/>
              <w:right w:type="dxa" w:w="100"/>
            </w:tcMar>
          </w:tcPr>
          <w:p>
            <w:pPr>
              <w:spacing w:after="0" w:before="0" w:line="252"/>
            </w:pPr>
            <w:r>
              <w:rPr>
                <w:b/>
                <w:bCs/>
                <w:sz w:val="19"/>
                <w:szCs w:val="19"/>
              </w:rPr>
              <w:t xml:space="preserve">Defer</w:t>
            </w:r>
            <w:r>
              <w:rPr>
                <w:sz w:val="19"/>
                <w:szCs w:val="19"/>
              </w:rPr>
              <w:t xml:space="preserve"> to GA (pgvector)</w:t>
            </w:r>
          </w:p>
        </w:tc>
        <w:tc>
          <w:tcPr>
            <w:tcW w:type="dxa" w:w="2698"/>
            <w:tcMar>
              <w:top w:type="dxa" w:w="60"/>
              <w:left w:type="dxa" w:w="100"/>
              <w:bottom w:type="dxa" w:w="60"/>
              <w:right w:type="dxa" w:w="100"/>
            </w:tcMar>
          </w:tcPr>
          <w:p>
            <w:pPr>
              <w:spacing w:after="0" w:before="0" w:line="252"/>
            </w:pPr>
            <w:r>
              <w:rPr>
                <w:sz w:val="19"/>
                <w:szCs w:val="19"/>
              </w:rPr>
              <w:t xml:space="preserve">Beta retrieval is live federated search with the user's token (CON‑09)</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Policy engine</w:t>
            </w:r>
          </w:p>
        </w:tc>
        <w:tc>
          <w:tcPr>
            <w:tcW w:type="dxa" w:w="1849"/>
            <w:tcMar>
              <w:top w:type="dxa" w:w="60"/>
              <w:left w:type="dxa" w:w="100"/>
              <w:bottom w:type="dxa" w:w="60"/>
              <w:right w:type="dxa" w:w="100"/>
            </w:tcMar>
          </w:tcPr>
          <w:p>
            <w:pPr>
              <w:spacing w:after="0" w:before="0" w:line="252"/>
            </w:pPr>
            <w:r>
              <w:rPr>
                <w:sz w:val="19"/>
                <w:szCs w:val="19"/>
              </w:rPr>
              <w:t xml:space="preserve">Cedar or OPA (CON‑02)</w:t>
            </w:r>
          </w:p>
        </w:tc>
        <w:tc>
          <w:tcPr>
            <w:tcW w:type="dxa" w:w="3043"/>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a typed, deterministic grant evaluator in the gateway. Cedar arrives at GA with policies as code (ADM‑08), custom connectors (CON‑15) and the edge executor, tested against the beta evaluator on the same cases</w:t>
            </w:r>
          </w:p>
        </w:tc>
        <w:tc>
          <w:tcPr>
            <w:tcW w:type="dxa" w:w="2698"/>
            <w:tcMar>
              <w:top w:type="dxa" w:w="60"/>
              <w:left w:type="dxa" w:w="100"/>
              <w:bottom w:type="dxa" w:w="60"/>
              <w:right w:type="dxa" w:w="100"/>
            </w:tcMar>
          </w:tcPr>
          <w:p>
            <w:pPr>
              <w:spacing w:after="0" w:before="0" w:line="252"/>
            </w:pPr>
            <w:r>
              <w:rPr>
                <w:sz w:val="19"/>
                <w:szCs w:val="19"/>
              </w:rPr>
              <w:t xml:space="preserve">The beta's grants are a small, closed rule set; property-based tests prove it more directly than policies would</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Secrets vault</w:t>
            </w:r>
          </w:p>
        </w:tc>
        <w:tc>
          <w:tcPr>
            <w:tcW w:type="dxa" w:w="1849"/>
            <w:tcMar>
              <w:top w:type="dxa" w:w="60"/>
              <w:left w:type="dxa" w:w="100"/>
              <w:bottom w:type="dxa" w:w="60"/>
              <w:right w:type="dxa" w:w="100"/>
            </w:tcMar>
          </w:tcPr>
          <w:p>
            <w:pPr>
              <w:spacing w:after="0" w:before="0" w:line="252"/>
            </w:pPr>
            <w:r>
              <w:rPr>
                <w:sz w:val="19"/>
                <w:szCs w:val="19"/>
              </w:rPr>
              <w:t xml:space="preserve">KMS/HSM-backed vault (CON‑04)</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KMS envelope encryption with ciphertexts in a </w:t>
            </w:r>
            <w:r>
              <w:rPr>
                <w:rStyle w:val="CodeChar"/>
                <w:sz w:val="17"/>
                <w:szCs w:val="17"/>
              </w:rPr>
              <w:t xml:space="preserve">vault</w:t>
            </w:r>
            <w:r>
              <w:rPr>
                <w:sz w:val="19"/>
                <w:szCs w:val="19"/>
              </w:rPr>
              <w:t xml:space="preserve"> schema. One key per purpose and region, with the tenant in the encryption context. Secrets Manager for service secrets; XKS or CloudHSM for customer-managed keys at GA</w:t>
            </w:r>
          </w:p>
        </w:tc>
        <w:tc>
          <w:tcPr>
            <w:tcW w:type="dxa" w:w="2698"/>
            <w:tcMar>
              <w:top w:type="dxa" w:w="60"/>
              <w:left w:type="dxa" w:w="100"/>
              <w:bottom w:type="dxa" w:w="60"/>
              <w:right w:type="dxa" w:w="100"/>
            </w:tcMar>
          </w:tcPr>
          <w:p>
            <w:pPr>
              <w:spacing w:after="0" w:before="0" w:line="252"/>
            </w:pPr>
            <w:r>
              <w:rPr>
                <w:sz w:val="19"/>
                <w:szCs w:val="19"/>
              </w:rPr>
              <w:t xml:space="preserve">No Vault cluster to run. Per-person audit keys (SEC‑07) are wrapped data keys, not 100,000 KMS keys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Sign-in</w:t>
            </w:r>
          </w:p>
        </w:tc>
        <w:tc>
          <w:tcPr>
            <w:tcW w:type="dxa" w:w="1849"/>
            <w:tcMar>
              <w:top w:type="dxa" w:w="60"/>
              <w:left w:type="dxa" w:w="100"/>
              <w:bottom w:type="dxa" w:w="60"/>
              <w:right w:type="dxa" w:w="100"/>
            </w:tcMar>
          </w:tcPr>
          <w:p>
            <w:pPr>
              <w:spacing w:after="0" w:before="0" w:line="252"/>
            </w:pPr>
            <w:r>
              <w:rPr>
                <w:sz w:val="19"/>
                <w:szCs w:val="19"/>
              </w:rPr>
              <w:t xml:space="preserve">Hosted OIDC/SAML service</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WorkOS for SSO, Directory Sync (SCIM) and its Admin Portal; AuthKit for consumer sign-in and passkeys in Home</w:t>
            </w:r>
          </w:p>
        </w:tc>
        <w:tc>
          <w:tcPr>
            <w:tcW w:type="dxa" w:w="2698"/>
            <w:tcMar>
              <w:top w:type="dxa" w:w="60"/>
              <w:left w:type="dxa" w:w="100"/>
              <w:bottom w:type="dxa" w:w="60"/>
              <w:right w:type="dxa" w:w="100"/>
            </w:tcMar>
          </w:tcPr>
          <w:p>
            <w:pPr>
              <w:spacing w:after="0" w:before="0" w:line="252"/>
            </w:pPr>
            <w:r>
              <w:rPr>
                <w:sz w:val="19"/>
                <w:szCs w:val="19"/>
              </w:rPr>
              <w:t xml:space="preserve">Enterprise SSO and SCIM are beta-critical and commodity</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Connector authorization</w:t>
            </w:r>
          </w:p>
        </w:tc>
        <w:tc>
          <w:tcPr>
            <w:tcW w:type="dxa" w:w="1849"/>
            <w:tcMar>
              <w:top w:type="dxa" w:w="60"/>
              <w:left w:type="dxa" w:w="100"/>
              <w:bottom w:type="dxa" w:w="60"/>
              <w:right w:type="dxa" w:w="100"/>
            </w:tcMar>
          </w:tcPr>
          <w:p>
            <w:pPr>
              <w:spacing w:after="0" w:before="0" w:line="252"/>
            </w:pPr>
            <w:r>
              <w:rPr>
                <w:sz w:val="19"/>
                <w:szCs w:val="19"/>
              </w:rPr>
              <w:t xml:space="preserve">—</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the token broker runs its own OAuth 2.1 consent per connector (authorization code with PKCE). The Entra application authenticates with client assertions signed by a KMS key that can't be exported. MSAL is configured for continuous access evaluation (CAE)</w:t>
            </w:r>
          </w:p>
        </w:tc>
        <w:tc>
          <w:tcPr>
            <w:tcW w:type="dxa" w:w="2698"/>
            <w:tcMar>
              <w:top w:type="dxa" w:w="60"/>
              <w:left w:type="dxa" w:w="100"/>
              <w:bottom w:type="dxa" w:w="60"/>
              <w:right w:type="dxa" w:w="100"/>
            </w:tcMar>
          </w:tcPr>
          <w:p>
            <w:pPr>
              <w:spacing w:after="0" w:before="0" w:line="252"/>
            </w:pPr>
            <w:r>
              <w:rPr>
                <w:sz w:val="19"/>
                <w:szCs w:val="19"/>
              </w:rPr>
              <w:t xml:space="preserve">Sign-in tokens can't be exchanged for on-behalf-of tokens. Collicity's own application credential never leaves the HSM</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Model providers</w:t>
            </w:r>
          </w:p>
        </w:tc>
        <w:tc>
          <w:tcPr>
            <w:tcW w:type="dxa" w:w="1849"/>
            <w:tcMar>
              <w:top w:type="dxa" w:w="60"/>
              <w:left w:type="dxa" w:w="100"/>
              <w:bottom w:type="dxa" w:w="60"/>
              <w:right w:type="dxa" w:w="100"/>
            </w:tcMar>
          </w:tcPr>
          <w:p>
            <w:pPr>
              <w:spacing w:after="0" w:before="0" w:line="252"/>
            </w:pPr>
            <w:r>
              <w:rPr>
                <w:sz w:val="19"/>
                <w:szCs w:val="19"/>
              </w:rPr>
              <w:t xml:space="preserve">One hosted provider + bring-your-own</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Claude through Claude Platform on AWS, signed with SigV4 from the gateway's task role, so no static key exists; token counting, Batches and </w:t>
            </w:r>
            <w:r>
              <w:rPr>
                <w:rStyle w:val="CodeChar"/>
                <w:sz w:val="17"/>
                <w:szCs w:val="17"/>
              </w:rPr>
              <w:t xml:space="preserve">inference_geo</w:t>
            </w:r>
            <w:r>
              <w:rPr>
                <w:sz w:val="19"/>
                <w:szCs w:val="19"/>
              </w:rPr>
              <w:t xml:space="preserve"> are available. A second model family on Bedrock judges across families, chosen by evaluation</w:t>
            </w:r>
          </w:p>
        </w:tc>
        <w:tc>
          <w:tcPr>
            <w:tcW w:type="dxa" w:w="2698"/>
            <w:tcMar>
              <w:top w:type="dxa" w:w="60"/>
              <w:left w:type="dxa" w:w="100"/>
              <w:bottom w:type="dxa" w:w="60"/>
              <w:right w:type="dxa" w:w="100"/>
            </w:tcMar>
          </w:tcPr>
          <w:p>
            <w:pPr>
              <w:spacing w:after="0" w:before="0" w:line="252"/>
            </w:pPr>
            <w:r>
              <w:rPr>
                <w:sz w:val="19"/>
                <w:szCs w:val="19"/>
              </w:rPr>
              <w:t xml:space="preserve">Invariant 3 holds for the default provider by construction, with full Claude API parity inside AWS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LLM interface</w:t>
            </w:r>
          </w:p>
        </w:tc>
        <w:tc>
          <w:tcPr>
            <w:tcW w:type="dxa" w:w="1849"/>
            <w:tcMar>
              <w:top w:type="dxa" w:w="60"/>
              <w:left w:type="dxa" w:w="100"/>
              <w:bottom w:type="dxa" w:w="60"/>
              <w:right w:type="dxa" w:w="100"/>
            </w:tcMar>
          </w:tcPr>
          <w:p>
            <w:pPr>
              <w:spacing w:after="0" w:before="0" w:line="252"/>
            </w:pPr>
            <w:r>
              <w:rPr>
                <w:sz w:val="19"/>
                <w:szCs w:val="19"/>
              </w:rPr>
              <w:t xml:space="preserve">—</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a thin in-house interface over the official SDKs</w:t>
            </w:r>
          </w:p>
        </w:tc>
        <w:tc>
          <w:tcPr>
            <w:tcW w:type="dxa" w:w="2698"/>
            <w:tcMar>
              <w:top w:type="dxa" w:w="60"/>
              <w:left w:type="dxa" w:w="100"/>
              <w:bottom w:type="dxa" w:w="60"/>
              <w:right w:type="dxa" w:w="100"/>
            </w:tcMar>
          </w:tcPr>
          <w:p>
            <w:pPr>
              <w:spacing w:after="0" w:before="0" w:line="252"/>
            </w:pPr>
            <w:r>
              <w:rPr>
                <w:sz w:val="19"/>
                <w:szCs w:val="19"/>
              </w:rPr>
              <w:t xml:space="preserve">Per-call reservations (BUD‑03), decision records (RTR‑04) and cache salting need control of every call</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Internal connector protocol</w:t>
            </w:r>
          </w:p>
        </w:tc>
        <w:tc>
          <w:tcPr>
            <w:tcW w:type="dxa" w:w="1849"/>
            <w:tcMar>
              <w:top w:type="dxa" w:w="60"/>
              <w:left w:type="dxa" w:w="100"/>
              <w:bottom w:type="dxa" w:w="60"/>
              <w:right w:type="dxa" w:w="100"/>
            </w:tcMar>
          </w:tcPr>
          <w:p>
            <w:pPr>
              <w:spacing w:after="0" w:before="0" w:line="252"/>
            </w:pPr>
            <w:r>
              <w:rPr>
                <w:sz w:val="19"/>
                <w:szCs w:val="19"/>
              </w:rPr>
              <w:t xml:space="preserve">Exposed internally as MCP (§6.1)</w:t>
            </w:r>
          </w:p>
        </w:tc>
        <w:tc>
          <w:tcPr>
            <w:tcW w:type="dxa" w:w="3043"/>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connectors are in-process adapters with MCP-shaped tool schemas. The MCP transport arrives at GA with remote and custom connectors and the desktop</w:t>
            </w:r>
          </w:p>
        </w:tc>
        <w:tc>
          <w:tcPr>
            <w:tcW w:type="dxa" w:w="2698"/>
            <w:tcMar>
              <w:top w:type="dxa" w:w="60"/>
              <w:left w:type="dxa" w:w="100"/>
              <w:bottom w:type="dxa" w:w="60"/>
              <w:right w:type="dxa" w:w="100"/>
            </w:tcMar>
          </w:tcPr>
          <w:p>
            <w:pPr>
              <w:spacing w:after="0" w:before="0" w:line="252"/>
            </w:pPr>
            <w:r>
              <w:rPr>
                <w:sz w:val="19"/>
                <w:szCs w:val="19"/>
              </w:rPr>
              <w:t xml:space="preserve">One fewer network hop for first-party code. Grants, approvals and idempotency keys need first-class fields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Web</w:t>
            </w:r>
          </w:p>
        </w:tc>
        <w:tc>
          <w:tcPr>
            <w:tcW w:type="dxa" w:w="1849"/>
            <w:tcMar>
              <w:top w:type="dxa" w:w="60"/>
              <w:left w:type="dxa" w:w="100"/>
              <w:bottom w:type="dxa" w:w="60"/>
              <w:right w:type="dxa" w:w="100"/>
            </w:tcMar>
          </w:tcPr>
          <w:p>
            <w:pPr>
              <w:spacing w:after="0" w:before="0" w:line="252"/>
            </w:pPr>
            <w:r>
              <w:rPr>
                <w:sz w:val="19"/>
                <w:szCs w:val="19"/>
              </w:rPr>
              <w:t xml:space="preserve">React + TypeScript</w:t>
            </w:r>
          </w:p>
        </w:tc>
        <w:tc>
          <w:tcPr>
            <w:tcW w:type="dxa" w:w="3043"/>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React 19 as a Vite single-page app on CloudFront, with TanStack Router and Query and React Aria Components. The manual builder is an </w:t>
            </w:r>
            <w:r>
              <w:rPr>
                <w:b/>
                <w:bCs/>
                <w:sz w:val="19"/>
                <w:szCs w:val="19"/>
              </w:rPr>
              <w:t xml:space="preserve">outline editor</w:t>
            </w:r>
            <w:r>
              <w:rPr>
                <w:sz w:val="19"/>
                <w:szCs w:val="19"/>
              </w:rPr>
              <w:t xml:space="preserve">, not a canvas</w:t>
            </w:r>
          </w:p>
        </w:tc>
        <w:tc>
          <w:tcPr>
            <w:tcW w:type="dxa" w:w="2698"/>
            <w:tcMar>
              <w:top w:type="dxa" w:w="60"/>
              <w:left w:type="dxa" w:w="100"/>
              <w:bottom w:type="dxa" w:w="60"/>
              <w:right w:type="dxa" w:w="100"/>
            </w:tcMar>
          </w:tcPr>
          <w:p>
            <w:pPr>
              <w:spacing w:after="0" w:before="0" w:line="252"/>
            </w:pPr>
            <w:r>
              <w:rPr>
                <w:sz w:val="19"/>
                <w:szCs w:val="19"/>
              </w:rPr>
              <w:t xml:space="preserve">Accessible by default (PLT‑06). A canvas costs weeks and is hard to make work with a keyboard or screen reader</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Desktop</w:t>
            </w:r>
          </w:p>
        </w:tc>
        <w:tc>
          <w:tcPr>
            <w:tcW w:type="dxa" w:w="1849"/>
            <w:tcMar>
              <w:top w:type="dxa" w:w="60"/>
              <w:left w:type="dxa" w:w="100"/>
              <w:bottom w:type="dxa" w:w="60"/>
              <w:right w:type="dxa" w:w="100"/>
            </w:tcMar>
          </w:tcPr>
          <w:p>
            <w:pPr>
              <w:spacing w:after="0" w:before="0" w:line="252"/>
            </w:pPr>
            <w:r>
              <w:rPr>
                <w:sz w:val="19"/>
                <w:szCs w:val="19"/>
              </w:rPr>
              <w:t xml:space="preserve">Tauri 2</w:t>
            </w:r>
          </w:p>
        </w:tc>
        <w:tc>
          <w:tcPr>
            <w:tcW w:type="dxa" w:w="3043"/>
            <w:tcMar>
              <w:top w:type="dxa" w:w="60"/>
              <w:left w:type="dxa" w:w="100"/>
              <w:bottom w:type="dxa" w:w="60"/>
              <w:right w:type="dxa" w:w="100"/>
            </w:tcMar>
          </w:tcPr>
          <w:p>
            <w:pPr>
              <w:spacing w:after="0" w:before="0" w:line="252"/>
            </w:pPr>
            <w:r>
              <w:rPr>
                <w:b/>
                <w:bCs/>
                <w:sz w:val="19"/>
                <w:szCs w:val="19"/>
              </w:rPr>
              <w:t xml:space="preserve">Keep, decide at Phase 2</w:t>
            </w:r>
            <w:r>
              <w:rPr>
                <w:sz w:val="19"/>
                <w:szCs w:val="19"/>
              </w:rPr>
              <w:t xml:space="preserve"> after a one-week spike on WebKitGTK and screen readers; Electron is the fallback</w:t>
            </w:r>
          </w:p>
        </w:tc>
        <w:tc>
          <w:tcPr>
            <w:tcW w:type="dxa" w:w="2698"/>
            <w:tcMar>
              <w:top w:type="dxa" w:w="60"/>
              <w:left w:type="dxa" w:w="100"/>
              <w:bottom w:type="dxa" w:w="60"/>
              <w:right w:type="dxa" w:w="100"/>
            </w:tcMar>
          </w:tcPr>
          <w:p>
            <w:pPr>
              <w:spacing w:after="0" w:before="0" w:line="252"/>
            </w:pPr>
            <w:r>
              <w:rPr>
                <w:sz w:val="19"/>
                <w:szCs w:val="19"/>
              </w:rPr>
              <w:t xml:space="preserve">The local-connector sandbox is a Rust sidecar under either shell</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Mobile</w:t>
            </w:r>
          </w:p>
        </w:tc>
        <w:tc>
          <w:tcPr>
            <w:tcW w:type="dxa" w:w="1849"/>
            <w:tcMar>
              <w:top w:type="dxa" w:w="60"/>
              <w:left w:type="dxa" w:w="100"/>
              <w:bottom w:type="dxa" w:w="60"/>
              <w:right w:type="dxa" w:w="100"/>
            </w:tcMar>
          </w:tcPr>
          <w:p>
            <w:pPr>
              <w:spacing w:after="0" w:before="0" w:line="252"/>
            </w:pPr>
            <w:r>
              <w:rPr>
                <w:sz w:val="19"/>
                <w:szCs w:val="19"/>
              </w:rPr>
              <w:t xml:space="preserve">React Native / Expo (open, §21)</w:t>
            </w:r>
          </w:p>
        </w:tc>
        <w:tc>
          <w:tcPr>
            <w:tcW w:type="dxa" w:w="3043"/>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Expo, with custom native modules for HomeKit, App Intents and approvals signed with a device key</w:t>
            </w:r>
          </w:p>
        </w:tc>
        <w:tc>
          <w:tcPr>
            <w:tcW w:type="dxa" w:w="2698"/>
            <w:tcMar>
              <w:top w:type="dxa" w:w="60"/>
              <w:left w:type="dxa" w:w="100"/>
              <w:bottom w:type="dxa" w:w="60"/>
              <w:right w:type="dxa" w:w="100"/>
            </w:tcMar>
          </w:tcPr>
          <w:p>
            <w:pPr>
              <w:spacing w:after="0" w:before="0" w:line="252"/>
            </w:pPr>
            <w:r>
              <w:rPr>
                <w:sz w:val="19"/>
                <w:szCs w:val="19"/>
              </w:rPr>
              <w:t xml:space="preserve">Mature background geofencing, actionable push and biometrics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Observability</w:t>
            </w:r>
          </w:p>
        </w:tc>
        <w:tc>
          <w:tcPr>
            <w:tcW w:type="dxa" w:w="1849"/>
            <w:tcMar>
              <w:top w:type="dxa" w:w="60"/>
              <w:left w:type="dxa" w:w="100"/>
              <w:bottom w:type="dxa" w:w="60"/>
              <w:right w:type="dxa" w:w="100"/>
            </w:tcMar>
          </w:tcPr>
          <w:p>
            <w:pPr>
              <w:spacing w:after="0" w:before="0" w:line="252"/>
            </w:pPr>
            <w:r>
              <w:rPr>
                <w:sz w:val="19"/>
                <w:szCs w:val="19"/>
              </w:rPr>
              <w:t xml:space="preserve">OpenTelemetry</w:t>
            </w:r>
          </w:p>
        </w:tc>
        <w:tc>
          <w:tcPr>
            <w:tcW w:type="dxa" w:w="3043"/>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OpenTelemetry through the AWS Distro for OpenTelemetry (ADOT) to CloudWatch and X-Ray over VPC endpoints. GenAI spans carry no prompt or response content. Sentry in the browser only; PostHog with identifiers only</w:t>
            </w:r>
          </w:p>
        </w:tc>
        <w:tc>
          <w:tcPr>
            <w:tcW w:type="dxa" w:w="2698"/>
            <w:tcMar>
              <w:top w:type="dxa" w:w="60"/>
              <w:left w:type="dxa" w:w="100"/>
              <w:bottom w:type="dxa" w:w="60"/>
              <w:right w:type="dxa" w:w="100"/>
            </w:tcMar>
          </w:tcPr>
          <w:p>
            <w:pPr>
              <w:spacing w:after="0" w:before="0" w:line="252"/>
            </w:pPr>
            <w:r>
              <w:rPr>
                <w:sz w:val="19"/>
                <w:szCs w:val="19"/>
              </w:rPr>
              <w:t xml:space="preserve">Works from the worker's no-internet tier, with the fewest vendors</w:t>
            </w:r>
          </w:p>
        </w:tc>
      </w:tr>
      <w:tr>
        <w:trPr>
          <w:tblHeader w:val="off"/>
        </w:trPr>
        <w:tc>
          <w:tcPr>
            <w:tcW w:type="dxa" w:w="1770"/>
            <w:tcMar>
              <w:top w:type="dxa" w:w="60"/>
              <w:left w:type="dxa" w:w="100"/>
              <w:bottom w:type="dxa" w:w="60"/>
              <w:right w:type="dxa" w:w="100"/>
            </w:tcMar>
          </w:tcPr>
          <w:p>
            <w:pPr>
              <w:spacing w:after="0" w:before="0" w:line="252"/>
            </w:pPr>
            <w:r>
              <w:rPr>
                <w:sz w:val="19"/>
                <w:szCs w:val="19"/>
              </w:rPr>
              <w:t xml:space="preserve">Tooling</w:t>
            </w:r>
          </w:p>
        </w:tc>
        <w:tc>
          <w:tcPr>
            <w:tcW w:type="dxa" w:w="1849"/>
            <w:tcMar>
              <w:top w:type="dxa" w:w="60"/>
              <w:left w:type="dxa" w:w="100"/>
              <w:bottom w:type="dxa" w:w="60"/>
              <w:right w:type="dxa" w:w="100"/>
            </w:tcMar>
          </w:tcPr>
          <w:p>
            <w:pPr>
              <w:spacing w:after="0" w:before="0" w:line="252"/>
            </w:pPr>
            <w:r>
              <w:rPr>
                <w:sz w:val="19"/>
                <w:szCs w:val="19"/>
              </w:rPr>
              <w:t xml:space="preserve">—</w:t>
            </w:r>
          </w:p>
        </w:tc>
        <w:tc>
          <w:tcPr>
            <w:tcW w:type="dxa" w:w="3043"/>
            <w:tcMar>
              <w:top w:type="dxa" w:w="60"/>
              <w:left w:type="dxa" w:w="100"/>
              <w:bottom w:type="dxa" w:w="60"/>
              <w:right w:type="dxa" w:w="100"/>
            </w:tcMar>
          </w:tcPr>
          <w:p>
            <w:pPr>
              <w:spacing w:after="0" w:before="0" w:line="252"/>
            </w:pPr>
            <w:r>
              <w:rPr>
                <w:sz w:val="19"/>
                <w:szCs w:val="19"/>
              </w:rPr>
              <w:t xml:space="preserve">pnpm, uv, </w:t>
            </w:r>
            <w:r>
              <w:rPr>
                <w:rStyle w:val="CodeChar"/>
                <w:sz w:val="17"/>
                <w:szCs w:val="17"/>
              </w:rPr>
              <w:t xml:space="preserve">just</w:t>
            </w:r>
            <w:r>
              <w:rPr>
                <w:sz w:val="19"/>
                <w:szCs w:val="19"/>
              </w:rPr>
              <w:t xml:space="preserve">, GitHub Actions, Semgrep, Dependabot, Syft, cosign. Turborepo and Cargo deferred</w:t>
            </w:r>
          </w:p>
        </w:tc>
        <w:tc>
          <w:tcPr>
            <w:tcW w:type="dxa" w:w="2698"/>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Model defaults.</w:t>
      </w:r>
      <w:r>
        <w:t xml:space="preserve"> Prices are per million input / output tokens and live in the price catalog (BUD‑08), not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93"/>
        <w:gridCol w:w="1245"/>
        <w:gridCol w:w="3301"/>
      </w:tblGrid>
      <w:tr>
        <w:trPr>
          <w:tblHeader/>
        </w:trPr>
        <w:tc>
          <w:tcPr>
            <w:tcW w:type="dxa" w:w="2821"/>
            <w:shd w:fill="F2F2F2" w:color="auto" w:val="clear"/>
            <w:tcMar>
              <w:top w:type="dxa" w:w="60"/>
              <w:left w:type="dxa" w:w="100"/>
              <w:bottom w:type="dxa" w:w="60"/>
              <w:right w:type="dxa" w:w="100"/>
            </w:tcMar>
          </w:tcPr>
          <w:p>
            <w:pPr>
              <w:spacing w:after="0" w:before="0" w:line="252"/>
            </w:pPr>
            <w:r>
              <w:rPr>
                <w:b/>
                <w:bCs/>
                <w:sz w:val="19"/>
                <w:szCs w:val="19"/>
              </w:rPr>
              <w:t xml:space="preserve">Use</w:t>
            </w:r>
          </w:p>
        </w:tc>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Default</w:t>
            </w:r>
          </w:p>
        </w:tc>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Price</w:t>
            </w:r>
          </w:p>
        </w:tc>
        <w:tc>
          <w:tcPr>
            <w:tcW w:type="dxa" w:w="3301"/>
            <w:shd w:fill="F2F2F2" w:color="auto" w:val="clear"/>
            <w:tcMar>
              <w:top w:type="dxa" w:w="60"/>
              <w:left w:type="dxa" w:w="100"/>
              <w:bottom w:type="dxa" w:w="60"/>
              <w:right w:type="dxa" w:w="100"/>
            </w:tcMar>
          </w:tcPr>
          <w:p>
            <w:pPr>
              <w:spacing w:after="0" w:before="0" w:line="252"/>
            </w:pPr>
            <w:r>
              <w:rPr>
                <w:b/>
                <w:bCs/>
                <w:sz w:val="19"/>
                <w:szCs w:val="19"/>
              </w:rPr>
              <w:t xml:space="preserve">Note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Triage, classification</w:t>
            </w:r>
          </w:p>
        </w:tc>
        <w:tc>
          <w:tcPr>
            <w:tcW w:type="dxa" w:w="1993"/>
            <w:tcMar>
              <w:top w:type="dxa" w:w="60"/>
              <w:left w:type="dxa" w:w="100"/>
              <w:bottom w:type="dxa" w:w="60"/>
              <w:right w:type="dxa" w:w="100"/>
            </w:tcMar>
          </w:tcPr>
          <w:p>
            <w:pPr>
              <w:spacing w:after="0" w:before="0" w:line="252"/>
            </w:pPr>
            <w:r>
              <w:rPr>
                <w:sz w:val="19"/>
                <w:szCs w:val="19"/>
              </w:rPr>
              <w:t xml:space="preserve">Claude Haiku 4.5</w:t>
            </w:r>
          </w:p>
        </w:tc>
        <w:tc>
          <w:tcPr>
            <w:tcW w:type="dxa" w:w="1245"/>
            <w:tcMar>
              <w:top w:type="dxa" w:w="60"/>
              <w:left w:type="dxa" w:w="100"/>
              <w:bottom w:type="dxa" w:w="60"/>
              <w:right w:type="dxa" w:w="100"/>
            </w:tcMar>
          </w:tcPr>
          <w:p>
            <w:pPr>
              <w:spacing w:after="0" w:before="0" w:line="252"/>
            </w:pPr>
            <w:r>
              <w:rPr>
                <w:sz w:val="19"/>
                <w:szCs w:val="19"/>
              </w:rPr>
              <w:t xml:space="preserve">$1 / $5</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Extraction, drafting, tool use</w:t>
            </w:r>
          </w:p>
        </w:tc>
        <w:tc>
          <w:tcPr>
            <w:tcW w:type="dxa" w:w="1993"/>
            <w:tcMar>
              <w:top w:type="dxa" w:w="60"/>
              <w:left w:type="dxa" w:w="100"/>
              <w:bottom w:type="dxa" w:w="60"/>
              <w:right w:type="dxa" w:w="100"/>
            </w:tcMar>
          </w:tcPr>
          <w:p>
            <w:pPr>
              <w:spacing w:after="0" w:before="0" w:line="252"/>
            </w:pPr>
            <w:r>
              <w:rPr>
                <w:sz w:val="19"/>
                <w:szCs w:val="19"/>
              </w:rPr>
              <w:t xml:space="preserve">Claude Sonnet 5.5</w:t>
            </w:r>
          </w:p>
        </w:tc>
        <w:tc>
          <w:tcPr>
            <w:tcW w:type="dxa" w:w="1245"/>
            <w:tcMar>
              <w:top w:type="dxa" w:w="60"/>
              <w:left w:type="dxa" w:w="100"/>
              <w:bottom w:type="dxa" w:w="60"/>
              <w:right w:type="dxa" w:w="100"/>
            </w:tcMar>
          </w:tcPr>
          <w:p>
            <w:pPr>
              <w:spacing w:after="0" w:before="0" w:line="252"/>
            </w:pPr>
            <w:r>
              <w:rPr>
                <w:sz w:val="19"/>
                <w:szCs w:val="19"/>
              </w:rPr>
              <w:t xml:space="preserve">$2 / $10</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Take-over (SUP‑03), high criticality</w:t>
            </w:r>
          </w:p>
        </w:tc>
        <w:tc>
          <w:tcPr>
            <w:tcW w:type="dxa" w:w="1993"/>
            <w:tcMar>
              <w:top w:type="dxa" w:w="60"/>
              <w:left w:type="dxa" w:w="100"/>
              <w:bottom w:type="dxa" w:w="60"/>
              <w:right w:type="dxa" w:w="100"/>
            </w:tcMar>
          </w:tcPr>
          <w:p>
            <w:pPr>
              <w:spacing w:after="0" w:before="0" w:line="252"/>
            </w:pPr>
            <w:r>
              <w:rPr>
                <w:sz w:val="19"/>
                <w:szCs w:val="19"/>
              </w:rPr>
              <w:t xml:space="preserve">Claude Opus 5.5</w:t>
            </w:r>
          </w:p>
        </w:tc>
        <w:tc>
          <w:tcPr>
            <w:tcW w:type="dxa" w:w="1245"/>
            <w:tcMar>
              <w:top w:type="dxa" w:w="60"/>
              <w:left w:type="dxa" w:w="100"/>
              <w:bottom w:type="dxa" w:w="60"/>
              <w:right w:type="dxa" w:w="100"/>
            </w:tcMar>
          </w:tcPr>
          <w:p>
            <w:pPr>
              <w:spacing w:after="0" w:before="0" w:line="252"/>
            </w:pPr>
            <w:r>
              <w:rPr>
                <w:sz w:val="19"/>
                <w:szCs w:val="19"/>
              </w:rPr>
              <w:t xml:space="preserve">$4 / $20</w:t>
            </w:r>
          </w:p>
        </w:tc>
        <w:tc>
          <w:tcPr>
            <w:tcW w:type="dxa" w:w="3301"/>
            <w:tcMar>
              <w:top w:type="dxa" w:w="60"/>
              <w:left w:type="dxa" w:w="100"/>
              <w:bottom w:type="dxa" w:w="60"/>
              <w:right w:type="dxa" w:w="100"/>
            </w:tcMar>
          </w:tcPr>
          <w:p>
            <w:pPr>
              <w:spacing w:after="0" w:before="0" w:line="252"/>
            </w:pPr>
            <w:r>
              <w:rPr>
                <w:sz w:val="19"/>
                <w:szCs w:val="19"/>
              </w:rPr>
              <w:t xml:space="preserve">Effort set explicitly per task</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Grounded and subjective judging (SUP‑02)</w:t>
            </w:r>
          </w:p>
        </w:tc>
        <w:tc>
          <w:tcPr>
            <w:tcW w:type="dxa" w:w="1993"/>
            <w:tcMar>
              <w:top w:type="dxa" w:w="60"/>
              <w:left w:type="dxa" w:w="100"/>
              <w:bottom w:type="dxa" w:w="60"/>
              <w:right w:type="dxa" w:w="100"/>
            </w:tcMar>
          </w:tcPr>
          <w:p>
            <w:pPr>
              <w:spacing w:after="0" w:before="0" w:line="252"/>
            </w:pPr>
            <w:r>
              <w:rPr>
                <w:sz w:val="19"/>
                <w:szCs w:val="19"/>
              </w:rPr>
              <w:t xml:space="preserve">A non-Anthropic family on Bedrock</w:t>
            </w:r>
          </w:p>
        </w:tc>
        <w:tc>
          <w:tcPr>
            <w:tcW w:type="dxa" w:w="1245"/>
            <w:tcMar>
              <w:top w:type="dxa" w:w="60"/>
              <w:left w:type="dxa" w:w="100"/>
              <w:bottom w:type="dxa" w:w="60"/>
              <w:right w:type="dxa" w:w="100"/>
            </w:tcMar>
          </w:tcPr>
          <w:p>
            <w:pPr>
              <w:spacing w:after="0" w:before="0" w:line="252"/>
            </w:pPr>
            <w:r>
              <w:rPr>
                <w:sz w:val="19"/>
                <w:szCs w:val="19"/>
              </w:rPr>
              <w:t xml:space="preserve">Catalog</w:t>
            </w:r>
          </w:p>
        </w:tc>
        <w:tc>
          <w:tcPr>
            <w:tcW w:type="dxa" w:w="3301"/>
            <w:tcMar>
              <w:top w:type="dxa" w:w="60"/>
              <w:left w:type="dxa" w:w="100"/>
              <w:bottom w:type="dxa" w:w="60"/>
              <w:right w:type="dxa" w:w="100"/>
            </w:tcMar>
          </w:tcPr>
          <w:p>
            <w:pPr>
              <w:spacing w:after="0" w:before="0" w:line="252"/>
            </w:pPr>
            <w:r>
              <w:rPr>
                <w:sz w:val="19"/>
                <w:szCs w:val="19"/>
              </w:rPr>
              <w:t xml:space="preserve">Chosen on the labeled set in spike S7</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Excluded under zero data retention</w:t>
            </w:r>
          </w:p>
        </w:tc>
        <w:tc>
          <w:tcPr>
            <w:tcW w:type="dxa" w:w="1993"/>
            <w:tcMar>
              <w:top w:type="dxa" w:w="60"/>
              <w:left w:type="dxa" w:w="100"/>
              <w:bottom w:type="dxa" w:w="60"/>
              <w:right w:type="dxa" w:w="100"/>
            </w:tcMar>
          </w:tcPr>
          <w:p>
            <w:pPr>
              <w:spacing w:after="0" w:before="0" w:line="252"/>
            </w:pPr>
            <w:r>
              <w:rPr>
                <w:sz w:val="19"/>
                <w:szCs w:val="19"/>
              </w:rPr>
              <w:t xml:space="preserve">Claude Fable 5.1</w:t>
            </w:r>
          </w:p>
        </w:tc>
        <w:tc>
          <w:tcPr>
            <w:tcW w:type="dxa" w:w="1245"/>
            <w:tcMar>
              <w:top w:type="dxa" w:w="60"/>
              <w:left w:type="dxa" w:w="100"/>
              <w:bottom w:type="dxa" w:w="60"/>
              <w:right w:type="dxa" w:w="100"/>
            </w:tcMar>
          </w:tcPr>
          <w:p>
            <w:pPr>
              <w:spacing w:after="0" w:before="0" w:line="252"/>
            </w:pPr>
            <w:r>
              <w:rPr>
                <w:sz w:val="19"/>
                <w:szCs w:val="19"/>
              </w:rPr>
              <w:t xml:space="preserve">$10 / $50</w:t>
            </w:r>
          </w:p>
        </w:tc>
        <w:tc>
          <w:tcPr>
            <w:tcW w:type="dxa" w:w="3301"/>
            <w:tcMar>
              <w:top w:type="dxa" w:w="60"/>
              <w:left w:type="dxa" w:w="100"/>
              <w:bottom w:type="dxa" w:w="60"/>
              <w:right w:type="dxa" w:w="100"/>
            </w:tcMar>
          </w:tcPr>
          <w:p>
            <w:pPr>
              <w:spacing w:after="0" w:before="0" w:line="252"/>
            </w:pPr>
            <w:r>
              <w:rPr>
                <w:sz w:val="19"/>
                <w:szCs w:val="19"/>
              </w:rPr>
              <w:t xml:space="preserve">Requires 30-day retention, so RTR‑01 excludes it for tenants that require zero data retention (PRV‑05)</w:t>
            </w:r>
          </w:p>
        </w:tc>
      </w:tr>
    </w:tbl>
    <w:p>
      <w:pPr>
        <w:spacing w:after="60"/>
      </w:pPr>
    </w:p>
    <w:p>
      <w:r>
        <w:t xml:space="preserve">A refusal (</w:t>
      </w:r>
      <w:r>
        <w:rPr>
          <w:rStyle w:val="CodeChar"/>
          <w:sz w:val="20"/>
          <w:szCs w:val="20"/>
        </w:rPr>
        <w:t xml:space="preserve">stop_reason: refusal</w:t>
      </w:r>
      <w:r>
        <w:t xml:space="preserve">) counts as a failed attempt for that model (INV‑07), and the router re-routes under a new reservation. Server-side automatic fallbacks stay off: they could pick a model outside the tenant's allow-list or reservation.</w:t>
      </w:r>
    </w:p>
    <w:p>
      <w:pPr>
        <w:pStyle w:val="Heading1"/>
        <w:keepNext/>
      </w:pPr>
      <w:r>
        <w:t xml:space="preserve">3. Architecture</w:t>
      </w:r>
    </w:p>
    <w:p>
      <w:r>
        <w:t xml:space="preserve">Clients never call target systems or model providers. Everything leaves through the gateway, the one service that holds credentials and can reach the internet. The services that touch untrusted content hold no credentials.</w:t>
      </w:r>
    </w:p>
    <w:p>
      <w:pPr>
        <w:spacing w:after="200" w:before="120"/>
        <w:jc w:val="center"/>
      </w:pPr>
      <w:r>
        <w:drawing>
          <wp:inline distT="0" distB="0" distL="0" distR="0">
            <wp:extent cx="5943600" cy="4886325"/>
            <wp:effectExtent t="0" r="0" b="0" l="0"/>
            <wp:docPr id="1" name="tech-architecture.png" descr="Architecture · one gateway holds every credential and makes every external call" title="Architecture · one gateway holds every credential and makes every externa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pStyle w:val="Heading2"/>
        <w:keepNext/>
      </w:pPr>
      <w:r>
        <w:t xml:space="preserve">3.1 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2865"/>
        <w:gridCol w:w="2736"/>
        <w:gridCol w:w="2712"/>
      </w:tblGrid>
      <w:tr>
        <w:trPr>
          <w:tblHeader/>
        </w:trPr>
        <w:tc>
          <w:tcPr>
            <w:tcW w:type="dxa" w:w="1047"/>
            <w:shd w:fill="F2F2F2" w:color="auto" w:val="clear"/>
            <w:tcMar>
              <w:top w:type="dxa" w:w="60"/>
              <w:left w:type="dxa" w:w="100"/>
              <w:bottom w:type="dxa" w:w="60"/>
              <w:right w:type="dxa" w:w="100"/>
            </w:tcMar>
          </w:tcPr>
          <w:p>
            <w:pPr>
              <w:spacing w:after="0" w:before="0" w:line="252"/>
            </w:pPr>
            <w:r>
              <w:rPr>
                <w:b/>
                <w:bCs/>
                <w:sz w:val="19"/>
                <w:szCs w:val="19"/>
              </w:rPr>
              <w:t xml:space="preserve">Unit</w:t>
            </w:r>
          </w:p>
        </w:tc>
        <w:tc>
          <w:tcPr>
            <w:tcW w:type="dxa" w:w="2865"/>
            <w:shd w:fill="F2F2F2" w:color="auto" w:val="clear"/>
            <w:tcMar>
              <w:top w:type="dxa" w:w="60"/>
              <w:left w:type="dxa" w:w="100"/>
              <w:bottom w:type="dxa" w:w="60"/>
              <w:right w:type="dxa" w:w="100"/>
            </w:tcMar>
          </w:tcPr>
          <w:p>
            <w:pPr>
              <w:spacing w:after="0" w:before="0" w:line="252"/>
            </w:pPr>
            <w:r>
              <w:rPr>
                <w:b/>
                <w:bCs/>
                <w:sz w:val="19"/>
                <w:szCs w:val="19"/>
              </w:rPr>
              <w:t xml:space="preserve">Runs</w:t>
            </w:r>
          </w:p>
        </w:tc>
        <w:tc>
          <w:tcPr>
            <w:tcW w:type="dxa" w:w="2736"/>
            <w:shd w:fill="F2F2F2" w:color="auto" w:val="clear"/>
            <w:tcMar>
              <w:top w:type="dxa" w:w="60"/>
              <w:left w:type="dxa" w:w="100"/>
              <w:bottom w:type="dxa" w:w="60"/>
              <w:right w:type="dxa" w:w="100"/>
            </w:tcMar>
          </w:tcPr>
          <w:p>
            <w:pPr>
              <w:spacing w:after="0" w:before="0" w:line="252"/>
            </w:pPr>
            <w:r>
              <w:rPr>
                <w:b/>
                <w:bCs/>
                <w:sz w:val="19"/>
                <w:szCs w:val="19"/>
              </w:rPr>
              <w:t xml:space="preserve">Privileges and reach</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Why it's separate</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app</w:t>
            </w:r>
          </w:p>
        </w:tc>
        <w:tc>
          <w:tcPr>
            <w:tcW w:type="dxa" w:w="2865"/>
            <w:tcMar>
              <w:top w:type="dxa" w:w="60"/>
              <w:left w:type="dxa" w:w="100"/>
              <w:bottom w:type="dxa" w:w="60"/>
              <w:right w:type="dxa" w:w="100"/>
            </w:tcMar>
          </w:tcPr>
          <w:p>
            <w:pPr>
              <w:spacing w:after="0" w:before="0" w:line="252"/>
            </w:pPr>
            <w:r>
              <w:rPr>
                <w:sz w:val="19"/>
                <w:szCs w:val="19"/>
              </w:rPr>
              <w:t xml:space="preserve">ECS behind ALB and WAF: REST API (OpenAPI), Server-Sent Events, Graph and WorkOS webhooks, admin console, Q&amp;A, builder</w:t>
            </w:r>
          </w:p>
        </w:tc>
        <w:tc>
          <w:tcPr>
            <w:tcW w:type="dxa" w:w="2736"/>
            <w:tcMar>
              <w:top w:type="dxa" w:w="60"/>
              <w:left w:type="dxa" w:w="100"/>
              <w:bottom w:type="dxa" w:w="60"/>
              <w:right w:type="dxa" w:w="100"/>
            </w:tcMar>
          </w:tcPr>
          <w:p>
            <w:pPr>
              <w:spacing w:after="0" w:before="0" w:line="252"/>
            </w:pPr>
            <w:r>
              <w:rPr>
                <w:sz w:val="19"/>
                <w:szCs w:val="19"/>
              </w:rPr>
              <w:t xml:space="preserve">Database role </w:t>
            </w:r>
            <w:r>
              <w:rPr>
                <w:rStyle w:val="CodeChar"/>
                <w:sz w:val="17"/>
                <w:szCs w:val="17"/>
              </w:rPr>
              <w:t xml:space="preserve">app_user</w:t>
            </w:r>
            <w:r>
              <w:rPr>
                <w:sz w:val="19"/>
                <w:szCs w:val="19"/>
              </w:rPr>
              <w:t xml:space="preserve"> with tenant and visibility RLS; egress to WorkOS and SES only</w:t>
            </w:r>
          </w:p>
        </w:tc>
        <w:tc>
          <w:tcPr>
            <w:tcW w:type="dxa" w:w="2712"/>
            <w:tcMar>
              <w:top w:type="dxa" w:w="60"/>
              <w:left w:type="dxa" w:w="100"/>
              <w:bottom w:type="dxa" w:w="60"/>
              <w:right w:type="dxa" w:w="100"/>
            </w:tcMar>
          </w:tcPr>
          <w:p>
            <w:pPr>
              <w:spacing w:after="0" w:before="0" w:line="252"/>
            </w:pPr>
            <w:r>
              <w:rPr>
                <w:sz w:val="19"/>
                <w:szCs w:val="19"/>
              </w:rPr>
              <w:t xml:space="preserve">It serves people, so it can never read past what each person may see (SEC‑08). Q&amp;A prompts are assembled under the asker's RLS</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worker</w:t>
            </w:r>
          </w:p>
        </w:tc>
        <w:tc>
          <w:tcPr>
            <w:tcW w:type="dxa" w:w="2865"/>
            <w:tcMar>
              <w:top w:type="dxa" w:w="60"/>
              <w:left w:type="dxa" w:w="100"/>
              <w:bottom w:type="dxa" w:w="60"/>
              <w:right w:type="dxa" w:w="100"/>
            </w:tcMar>
          </w:tcPr>
          <w:p>
            <w:pPr>
              <w:spacing w:after="0" w:before="0" w:line="252"/>
            </w:pPr>
            <w:r>
              <w:rPr>
                <w:sz w:val="19"/>
                <w:szCs w:val="19"/>
              </w:rPr>
              <w:t xml:space="preserve">ECS in a subnet with no NAT: Temporal run segments and intake, outbox relay, notifier, audit sealer, sweepers, retention jobs</w:t>
            </w:r>
          </w:p>
        </w:tc>
        <w:tc>
          <w:tcPr>
            <w:tcW w:type="dxa" w:w="2736"/>
            <w:tcMar>
              <w:top w:type="dxa" w:w="60"/>
              <w:left w:type="dxa" w:w="100"/>
              <w:bottom w:type="dxa" w:w="60"/>
              <w:right w:type="dxa" w:w="100"/>
            </w:tcMar>
          </w:tcPr>
          <w:p>
            <w:pPr>
              <w:spacing w:after="0" w:before="0" w:line="252"/>
            </w:pPr>
            <w:r>
              <w:rPr>
                <w:rStyle w:val="CodeChar"/>
                <w:sz w:val="17"/>
                <w:szCs w:val="17"/>
              </w:rPr>
              <w:t xml:space="preserve">app_worker</w:t>
            </w:r>
            <w:r>
              <w:rPr>
                <w:sz w:val="19"/>
                <w:szCs w:val="19"/>
              </w:rPr>
              <w:t xml:space="preserve">: tenant RLS, read-only on standing-instruction tables. Temporal over PrivateLink; AWS services over VPC endpoints</w:t>
            </w:r>
          </w:p>
        </w:tc>
        <w:tc>
          <w:tcPr>
            <w:tcW w:type="dxa" w:w="2712"/>
            <w:tcMar>
              <w:top w:type="dxa" w:w="60"/>
              <w:left w:type="dxa" w:w="100"/>
              <w:bottom w:type="dxa" w:w="60"/>
              <w:right w:type="dxa" w:w="100"/>
            </w:tcMar>
          </w:tcPr>
          <w:p>
            <w:pPr>
              <w:spacing w:after="0" w:before="0" w:line="252"/>
            </w:pPr>
            <w:r>
              <w:rPr>
                <w:sz w:val="19"/>
                <w:szCs w:val="19"/>
              </w:rPr>
              <w:t xml:space="preserve">Untrusted data is handled and prompts are assembled with no tokens, no model access and no internet (invariants 3 and 5; SEC‑12)</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gateway</w:t>
            </w:r>
          </w:p>
        </w:tc>
        <w:tc>
          <w:tcPr>
            <w:tcW w:type="dxa" w:w="2865"/>
            <w:tcMar>
              <w:top w:type="dxa" w:w="60"/>
              <w:left w:type="dxa" w:w="100"/>
              <w:bottom w:type="dxa" w:w="60"/>
              <w:right w:type="dxa" w:w="100"/>
            </w:tcMar>
          </w:tcPr>
          <w:p>
            <w:pPr>
              <w:spacing w:after="0" w:before="0" w:line="252"/>
            </w:pPr>
            <w:r>
              <w:rPr>
                <w:sz w:val="19"/>
                <w:szCs w:val="19"/>
              </w:rPr>
              <w:t xml:space="preserve">ECS behind NAT and an AWS Network Firewall domain allowlist: connector adapters, token broker, grant evaluator, model adapter, compute adapter, write-ahead audit</w:t>
            </w:r>
          </w:p>
        </w:tc>
        <w:tc>
          <w:tcPr>
            <w:tcW w:type="dxa" w:w="2736"/>
            <w:tcMar>
              <w:top w:type="dxa" w:w="60"/>
              <w:left w:type="dxa" w:w="100"/>
              <w:bottom w:type="dxa" w:w="60"/>
              <w:right w:type="dxa" w:w="100"/>
            </w:tcMar>
          </w:tcPr>
          <w:p>
            <w:pPr>
              <w:spacing w:after="0" w:before="0" w:line="252"/>
            </w:pPr>
            <w:r>
              <w:rPr>
                <w:rStyle w:val="CodeChar"/>
                <w:sz w:val="17"/>
                <w:szCs w:val="17"/>
              </w:rPr>
              <w:t xml:space="preserve">gw</w:t>
            </w:r>
            <w:r>
              <w:rPr>
                <w:sz w:val="19"/>
                <w:szCs w:val="19"/>
              </w:rPr>
              <w:t xml:space="preserve">: the only role that can decrypt token keys with KMS, invoke Claude Platform on AWS, Bedrock and </w:t>
            </w:r>
            <w:r>
              <w:rPr>
                <w:rStyle w:val="CodeChar"/>
                <w:sz w:val="17"/>
                <w:szCs w:val="17"/>
              </w:rPr>
              <w:t xml:space="preserve">extract</w:t>
            </w:r>
            <w:r>
              <w:rPr>
                <w:sz w:val="19"/>
                <w:szCs w:val="19"/>
              </w:rPr>
              <w:t xml:space="preserve">, or reach the internet</w:t>
            </w:r>
          </w:p>
        </w:tc>
        <w:tc>
          <w:tcPr>
            <w:tcW w:type="dxa" w:w="2712"/>
            <w:tcMar>
              <w:top w:type="dxa" w:w="60"/>
              <w:left w:type="dxa" w:w="100"/>
              <w:bottom w:type="dxa" w:w="60"/>
              <w:right w:type="dxa" w:w="100"/>
            </w:tcMar>
          </w:tcPr>
          <w:p>
            <w:pPr>
              <w:spacing w:after="0" w:before="0" w:line="252"/>
            </w:pPr>
            <w:r>
              <w:rPr>
                <w:sz w:val="19"/>
                <w:szCs w:val="19"/>
              </w:rPr>
              <w:t xml:space="preserve">The single structural enforcement point for invariants 1–4</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extract</w:t>
            </w:r>
          </w:p>
        </w:tc>
        <w:tc>
          <w:tcPr>
            <w:tcW w:type="dxa" w:w="2865"/>
            <w:tcMar>
              <w:top w:type="dxa" w:w="60"/>
              <w:left w:type="dxa" w:w="100"/>
              <w:bottom w:type="dxa" w:w="60"/>
              <w:right w:type="dxa" w:w="100"/>
            </w:tcMar>
          </w:tcPr>
          <w:p>
            <w:pPr>
              <w:spacing w:after="0" w:before="0" w:line="252"/>
            </w:pPr>
            <w:r>
              <w:rPr>
                <w:sz w:val="19"/>
                <w:szCs w:val="19"/>
              </w:rPr>
              <w:t xml:space="preserve">Lambda in a VPC with no internet route, S3 gateway endpoint only</w:t>
            </w:r>
          </w:p>
        </w:tc>
        <w:tc>
          <w:tcPr>
            <w:tcW w:type="dxa" w:w="2736"/>
            <w:tcMar>
              <w:top w:type="dxa" w:w="60"/>
              <w:left w:type="dxa" w:w="100"/>
              <w:bottom w:type="dxa" w:w="60"/>
              <w:right w:type="dxa" w:w="100"/>
            </w:tcMar>
          </w:tcPr>
          <w:p>
            <w:pPr>
              <w:spacing w:after="0" w:before="0" w:line="252"/>
            </w:pPr>
            <w:r>
              <w:rPr>
                <w:sz w:val="19"/>
                <w:szCs w:val="19"/>
              </w:rPr>
              <w:t xml:space="preserve">None</w:t>
            </w:r>
          </w:p>
        </w:tc>
        <w:tc>
          <w:tcPr>
            <w:tcW w:type="dxa" w:w="2712"/>
            <w:tcMar>
              <w:top w:type="dxa" w:w="60"/>
              <w:left w:type="dxa" w:w="100"/>
              <w:bottom w:type="dxa" w:w="60"/>
              <w:right w:type="dxa" w:w="100"/>
            </w:tcMar>
          </w:tcPr>
          <w:p>
            <w:pPr>
              <w:spacing w:after="0" w:before="0" w:line="252"/>
            </w:pPr>
            <w:r>
              <w:rPr>
                <w:sz w:val="19"/>
                <w:szCs w:val="19"/>
              </w:rPr>
              <w:t xml:space="preserve">The CON‑10 sandbox. Only the gateway invokes it, after reserving its compute (BUD‑03)</w:t>
            </w:r>
          </w:p>
        </w:tc>
      </w:tr>
    </w:tbl>
    <w:p>
      <w:pPr>
        <w:spacing w:after="60"/>
      </w:pPr>
    </w:p>
    <w:p>
      <w:r>
        <w:t xml:space="preserve">Static assets are served from S3 through CloudFront. Temporal Cloud stores only identifiers, enums and error codes (§4.1), encoded with one KMS-backed codec key.</w:t>
      </w:r>
    </w:p>
    <w:p>
      <w:r>
        <w:rPr>
          <w:b/>
          <w:bCs/>
        </w:rPr>
        <w:t xml:space="preserve">Network tiers</w:t>
      </w:r>
    </w:p>
    <w:p>
      <w:pPr>
        <w:pStyle w:val="ListParagraph"/>
        <w:numPr>
          <w:ilvl w:val="0"/>
          <w:numId w:val="2"/>
        </w:numPr>
        <w:spacing w:after="60" w:before="0"/>
      </w:pPr>
      <w:r>
        <w:rPr>
          <w:b/>
          <w:bCs/>
        </w:rPr>
        <w:t xml:space="preserve">Public ingress:</w:t>
      </w:r>
      <w:r>
        <w:t xml:space="preserve"> CloudFront, and the ALB with WAF.</w:t>
      </w:r>
    </w:p>
    <w:p>
      <w:pPr>
        <w:pStyle w:val="ListParagraph"/>
        <w:numPr>
          <w:ilvl w:val="0"/>
          <w:numId w:val="2"/>
        </w:numPr>
        <w:spacing w:after="60" w:before="0"/>
      </w:pPr>
      <w:r>
        <w:rPr>
          <w:b/>
          <w:bCs/>
        </w:rPr>
        <w:t xml:space="preserve">Restricted egress:</w:t>
      </w:r>
      <w:r>
        <w:t xml:space="preserve"> </w:t>
      </w:r>
      <w:r>
        <w:rPr>
          <w:rStyle w:val="CodeChar"/>
          <w:sz w:val="20"/>
          <w:szCs w:val="20"/>
        </w:rPr>
        <w:t xml:space="preserve">app</w:t>
      </w:r>
      <w:r>
        <w:t xml:space="preserve"> reaches WorkOS and SES only. </w:t>
      </w:r>
      <w:r>
        <w:rPr>
          <w:rStyle w:val="CodeChar"/>
          <w:sz w:val="20"/>
          <w:szCs w:val="20"/>
        </w:rPr>
        <w:t xml:space="preserve">gateway</w:t>
      </w:r>
      <w:r>
        <w:t xml:space="preserve"> goes out through the Network Firewall allowlist of declared hosts, which CON‑12 manifests list.</w:t>
      </w:r>
    </w:p>
    <w:p>
      <w:pPr>
        <w:pStyle w:val="ListParagraph"/>
        <w:numPr>
          <w:ilvl w:val="0"/>
          <w:numId w:val="2"/>
        </w:numPr>
        <w:spacing w:after="60" w:before="0"/>
      </w:pPr>
      <w:r>
        <w:rPr>
          <w:b/>
          <w:bCs/>
        </w:rPr>
        <w:t xml:space="preserve">No egress:</w:t>
      </w:r>
      <w:r>
        <w:t xml:space="preserve"> </w:t>
      </w:r>
      <w:r>
        <w:rPr>
          <w:rStyle w:val="CodeChar"/>
          <w:sz w:val="20"/>
          <w:szCs w:val="20"/>
        </w:rPr>
        <w:t xml:space="preserve">worker</w:t>
      </w:r>
      <w:r>
        <w:t xml:space="preserve"> and </w:t>
      </w:r>
      <w:r>
        <w:rPr>
          <w:rStyle w:val="CodeChar"/>
          <w:sz w:val="20"/>
          <w:szCs w:val="20"/>
        </w:rPr>
        <w:t xml:space="preserve">extract</w:t>
      </w:r>
      <w:r>
        <w:t xml:space="preserve">.</w:t>
      </w:r>
    </w:p>
    <w:p>
      <w:pPr>
        <w:spacing w:after="0"/>
      </w:pPr>
    </w:p>
    <w:p>
      <w:r>
        <w:rPr>
          <w:b/>
          <w:bCs/>
        </w:rPr>
        <w:t xml:space="preserve">Hardening at GA</w:t>
      </w:r>
    </w:p>
    <w:p>
      <w:pPr>
        <w:pStyle w:val="ListParagraph"/>
        <w:numPr>
          <w:ilvl w:val="0"/>
          <w:numId w:val="2"/>
        </w:numPr>
        <w:spacing w:after="60" w:before="0"/>
      </w:pPr>
      <w:r>
        <w:t xml:space="preserve">Split the token broker out of </w:t>
      </w:r>
      <w:r>
        <w:rPr>
          <w:rStyle w:val="CodeChar"/>
          <w:sz w:val="20"/>
          <w:szCs w:val="20"/>
        </w:rPr>
        <w:t xml:space="preserve">gateway</w:t>
      </w:r>
      <w:r>
        <w:t xml:space="preserve"> into its own service.</w:t>
      </w:r>
    </w:p>
    <w:p>
      <w:pPr>
        <w:pStyle w:val="ListParagraph"/>
        <w:numPr>
          <w:ilvl w:val="0"/>
          <w:numId w:val="2"/>
        </w:numPr>
        <w:spacing w:after="60" w:before="0"/>
      </w:pPr>
      <w:r>
        <w:t xml:space="preserve">Add Valkey if live-update fan-out needs it.</w:t>
      </w:r>
    </w:p>
    <w:p>
      <w:pPr>
        <w:pStyle w:val="ListParagraph"/>
        <w:numPr>
          <w:ilvl w:val="0"/>
          <w:numId w:val="2"/>
        </w:numPr>
        <w:spacing w:after="60" w:before="0"/>
      </w:pPr>
      <w:r>
        <w:t xml:space="preserve">Add the EU cell; identifiers and hostnames are region-aware from day one.</w:t>
      </w:r>
    </w:p>
    <w:p>
      <w:pPr>
        <w:pStyle w:val="ListParagraph"/>
        <w:numPr>
          <w:ilvl w:val="0"/>
          <w:numId w:val="2"/>
        </w:numPr>
        <w:spacing w:after="60" w:before="0"/>
      </w:pPr>
      <w:r>
        <w:t xml:space="preserve">Add the Rust edge executor for the desktop and the on-prem relay.</w:t>
      </w:r>
    </w:p>
    <w:p>
      <w:pPr>
        <w:pStyle w:val="ListParagraph"/>
        <w:numPr>
          <w:ilvl w:val="0"/>
          <w:numId w:val="2"/>
        </w:numPr>
        <w:spacing w:after="60" w:before="0"/>
      </w:pPr>
      <w:r>
        <w:t xml:space="preserve">Add Cedar.</w:t>
      </w:r>
    </w:p>
    <w:p>
      <w:pPr>
        <w:spacing w:after="0"/>
      </w:pPr>
    </w:p>
    <w:p>
      <w:pPr>
        <w:pStyle w:val="Heading2"/>
        <w:keepNext/>
      </w:pPr>
      <w:r>
        <w:t xml:space="preserve">3.2 Request paths</w:t>
      </w:r>
    </w:p>
    <w:p>
      <w:r>
        <w:rPr>
          <w:b/>
          <w:bCs/>
        </w:rPr>
        <w:t xml:space="preserve">Model call</w:t>
      </w:r>
      <w:r>
        <w:t xml:space="preserve"> (invariants 3 and 4)</w:t>
      </w:r>
    </w:p>
    <w:p>
      <w:pPr>
        <w:pStyle w:val="ListParagraph"/>
        <w:numPr>
          <w:ilvl w:val="0"/>
          <w:numId w:val="4"/>
        </w:numPr>
        <w:spacing w:after="60" w:before="0"/>
      </w:pPr>
      <w:r>
        <w:t xml:space="preserve">The caller (</w:t>
      </w:r>
      <w:r>
        <w:rPr>
          <w:rStyle w:val="CodeChar"/>
          <w:sz w:val="20"/>
          <w:szCs w:val="20"/>
        </w:rPr>
        <w:t xml:space="preserve">worker</w:t>
      </w:r>
      <w:r>
        <w:t xml:space="preserve">, or </w:t>
      </w:r>
      <w:r>
        <w:rPr>
          <w:rStyle w:val="CodeChar"/>
          <w:sz w:val="20"/>
          <w:szCs w:val="20"/>
        </w:rPr>
        <w:t xml:space="preserve">app</w:t>
      </w:r>
      <w:r>
        <w:t xml:space="preserve"> for Q&amp;A) reserves the worst case against every applicable ledger account in one transaction (BUD‑10) and passes the reservation ID.</w:t>
      </w:r>
    </w:p>
    <w:p>
      <w:pPr>
        <w:pStyle w:val="ListParagraph"/>
        <w:numPr>
          <w:ilvl w:val="0"/>
          <w:numId w:val="4"/>
        </w:numPr>
        <w:spacing w:after="60" w:before="0"/>
      </w:pPr>
      <w:r>
        <w:t xml:space="preserve">The gateway recomputes the worst case itself from the recorded price version:</w:t>
      </w:r>
    </w:p>
    <w:p>
      <w:pPr>
        <w:pStyle w:val="ListParagraph"/>
        <w:numPr>
          <w:ilvl w:val="1"/>
          <w:numId w:val="2"/>
        </w:numPr>
        <w:spacing w:after="60" w:before="0"/>
      </w:pPr>
      <w:r>
        <w:t xml:space="preserve">input tokens, counted by the provider's token-counting endpoint, × the input price;</w:t>
      </w:r>
    </w:p>
    <w:p>
      <w:pPr>
        <w:pStyle w:val="ListParagraph"/>
        <w:numPr>
          <w:ilvl w:val="1"/>
          <w:numId w:val="2"/>
        </w:numPr>
        <w:spacing w:after="60" w:before="0"/>
      </w:pPr>
      <w:r>
        <w:t xml:space="preserve">plus the cache-write premium on the cached span (an extra 0.25× for a 5-minute write, 1× for a 1-hour write);</w:t>
      </w:r>
    </w:p>
    <w:p>
      <w:pPr>
        <w:pStyle w:val="ListParagraph"/>
        <w:numPr>
          <w:ilvl w:val="1"/>
          <w:numId w:val="2"/>
        </w:numPr>
        <w:spacing w:after="60" w:before="0"/>
      </w:pPr>
      <w:r>
        <w:t xml:space="preserve">plus </w:t>
      </w:r>
      <w:r>
        <w:rPr>
          <w:rStyle w:val="CodeChar"/>
          <w:sz w:val="20"/>
          <w:szCs w:val="20"/>
        </w:rPr>
        <w:t xml:space="preserve">max_tokens</w:t>
      </w:r>
      <w:r>
        <w:t xml:space="preserve"> × the output price;</w:t>
      </w:r>
    </w:p>
    <w:p>
      <w:pPr>
        <w:pStyle w:val="ListParagraph"/>
        <w:numPr>
          <w:ilvl w:val="1"/>
          <w:numId w:val="2"/>
        </w:numPr>
        <w:spacing w:after="60" w:before="0"/>
      </w:pPr>
      <w:r>
        <w:t xml:space="preserve">plus per-use tool fees.</w:t>
      </w:r>
    </w:p>
    <w:p>
      <w:pPr>
        <w:spacing w:after="60" w:before="0"/>
        <w:ind w:left="720"/>
      </w:pPr>
      <w:r>
        <w:t xml:space="preserve">It refuses any reservation smaller than its own figure.</w:t>
      </w:r>
    </w:p>
    <w:p>
      <w:pPr>
        <w:pStyle w:val="ListParagraph"/>
        <w:numPr>
          <w:ilvl w:val="0"/>
          <w:numId w:val="4"/>
        </w:numPr>
        <w:spacing w:after="60" w:before="0"/>
      </w:pPr>
      <w:r>
        <w:t xml:space="preserve">It re-checks RTR‑01 eligibility (admin allow-list, classification label, residency, retention terms) and scans the prompt for fingerprints of live tokens and for honeytokens.</w:t>
      </w:r>
    </w:p>
    <w:p>
      <w:pPr>
        <w:pStyle w:val="ListParagraph"/>
        <w:numPr>
          <w:ilvl w:val="0"/>
          <w:numId w:val="4"/>
        </w:numPr>
        <w:spacing w:after="60" w:before="0"/>
      </w:pPr>
      <w:r>
        <w:t xml:space="preserve">It prepends a cache salt, HMAC(tenant, visibility set). Provider caches are scoped to Collicity's own workspace or organization, not to a tenant, so the salt keeps cached prefixes from ever matching across visibility groups (SEC‑08).</w:t>
      </w:r>
    </w:p>
    <w:p>
      <w:pPr>
        <w:pStyle w:val="ListParagraph"/>
        <w:numPr>
          <w:ilvl w:val="0"/>
          <w:numId w:val="4"/>
        </w:numPr>
        <w:spacing w:after="60" w:before="0"/>
      </w:pPr>
      <w:r>
        <w:t xml:space="preserve">It marks the reservation </w:t>
      </w:r>
      <w:r>
        <w:rPr>
          <w:i/>
          <w:iCs/>
        </w:rPr>
        <w:t xml:space="preserve">started</w:t>
      </w:r>
      <w:r>
        <w:t xml:space="preserve">, calls the provider, and settles to the actual cost from the response's usage.</w:t>
      </w:r>
    </w:p>
    <w:p>
      <w:pPr>
        <w:spacing w:after="0"/>
      </w:pPr>
    </w:p>
    <w:p>
      <w:r>
        <w:rPr>
          <w:b/>
          <w:bCs/>
        </w:rPr>
        <w:t xml:space="preserve">Read call</w:t>
      </w:r>
      <w:r>
        <w:t xml:space="preserve"> (invariants 1 and 5)</w:t>
      </w:r>
    </w:p>
    <w:p>
      <w:pPr>
        <w:pStyle w:val="ListParagraph"/>
        <w:numPr>
          <w:ilvl w:val="0"/>
          <w:numId w:val="5"/>
        </w:numPr>
        <w:spacing w:after="60" w:before="0"/>
      </w:pPr>
      <w:r>
        <w:t xml:space="preserve">The worker presents an opaque step grant. It is a database row for one step and attempt (CON‑04), valid only while the tenant, user, assignment and run </w:t>
      </w:r>
      <w:r>
        <w:rPr>
          <w:i/>
          <w:iCs/>
        </w:rPr>
        <w:t xml:space="preserve">epochs</w:t>
      </w:r>
      <w:r>
        <w:t xml:space="preserve"> it recorded are current.</w:t>
      </w:r>
    </w:p>
    <w:p>
      <w:pPr>
        <w:pStyle w:val="ListParagraph"/>
        <w:numPr>
          <w:ilvl w:val="0"/>
          <w:numId w:val="5"/>
        </w:numPr>
        <w:spacing w:after="60" w:before="0"/>
      </w:pPr>
      <w:r>
        <w:t xml:space="preserve">The gateway re-checks the user, the session and the connector (CON‑06). It validates parameters against the pinned manifest, resolves resource parameters to stable IDs, and evaluates the capability grant (§5.2).</w:t>
      </w:r>
    </w:p>
    <w:p>
      <w:pPr>
        <w:pStyle w:val="ListParagraph"/>
        <w:numPr>
          <w:ilvl w:val="0"/>
          <w:numId w:val="5"/>
        </w:numPr>
        <w:spacing w:after="60" w:before="0"/>
      </w:pPr>
      <w:r>
        <w:t xml:space="preserve">The broker supplies the user's token, and the adapter calls the target with the CON‑07 </w:t>
      </w:r>
      <w:r>
        <w:rPr>
          <w:rStyle w:val="CodeChar"/>
          <w:sz w:val="20"/>
          <w:szCs w:val="20"/>
        </w:rPr>
        <w:t xml:space="preserve">User-Agent</w:t>
      </w:r>
      <w:r>
        <w:t xml:space="preserve">.</w:t>
      </w:r>
    </w:p>
    <w:p>
      <w:pPr>
        <w:pStyle w:val="ListParagraph"/>
        <w:numPr>
          <w:ilvl w:val="0"/>
          <w:numId w:val="5"/>
        </w:numPr>
        <w:spacing w:after="60" w:before="0"/>
      </w:pPr>
      <w:r>
        <w:t xml:space="preserve">The response is filtered to granted resources and fields and stored in S3 under its data class. It comes back to the worker as a </w:t>
      </w:r>
      <w:r>
        <w:rPr>
          <w:i/>
          <w:iCs/>
        </w:rPr>
        <w:t xml:space="preserve">content handle</w:t>
      </w:r>
      <w:r>
        <w:t xml:space="preserve"> carrying its source IDs and an </w:t>
      </w:r>
      <w:r>
        <w:rPr>
          <w:rStyle w:val="CodeChar"/>
          <w:sz w:val="20"/>
          <w:szCs w:val="20"/>
        </w:rPr>
        <w:t xml:space="preserve">untrusted</w:t>
      </w:r>
      <w:r>
        <w:t xml:space="preserve"> taint (§8.2). An audit record is written.</w:t>
      </w:r>
    </w:p>
    <w:p>
      <w:pPr>
        <w:spacing w:after="0"/>
      </w:pPr>
    </w:p>
    <w:p>
      <w:r>
        <w:rPr>
          <w:b/>
          <w:bCs/>
        </w:rPr>
        <w:t xml:space="preserve">Write action</w:t>
      </w:r>
      <w:r>
        <w:t xml:space="preserve"> (invariants 1, 2 and 5)</w:t>
      </w:r>
    </w:p>
    <w:p>
      <w:pPr>
        <w:pStyle w:val="ListParagraph"/>
        <w:numPr>
          <w:ilvl w:val="0"/>
          <w:numId w:val="6"/>
        </w:numPr>
        <w:spacing w:after="60" w:before="0"/>
      </w:pPr>
      <w:r>
        <w:t xml:space="preserve">A model drafts a structured proposal. Before it is stored, deterministic checks run:</w:t>
      </w:r>
    </w:p>
    <w:p>
      <w:pPr>
        <w:pStyle w:val="ListParagraph"/>
        <w:numPr>
          <w:ilvl w:val="1"/>
          <w:numId w:val="2"/>
        </w:numPr>
        <w:spacing w:after="60" w:before="0"/>
      </w:pPr>
      <w:r>
        <w:t xml:space="preserve">the schema;</w:t>
      </w:r>
    </w:p>
    <w:p>
      <w:pPr>
        <w:pStyle w:val="ListParagraph"/>
        <w:numPr>
          <w:ilvl w:val="1"/>
          <w:numId w:val="2"/>
        </w:numPr>
        <w:spacing w:after="60" w:before="0"/>
      </w:pPr>
      <w:r>
        <w:t xml:space="preserve">citation integrity: the cited passage exists, matches the snapshot, and isn't hidden-only;</w:t>
      </w:r>
    </w:p>
    <w:p>
      <w:pPr>
        <w:pStyle w:val="ListParagraph"/>
        <w:numPr>
          <w:ilvl w:val="1"/>
          <w:numId w:val="2"/>
        </w:numPr>
        <w:spacing w:after="60" w:before="0"/>
      </w:pPr>
      <w:r>
        <w:t xml:space="preserve">a capability pre-check;</w:t>
      </w:r>
    </w:p>
    <w:p>
      <w:pPr>
        <w:pStyle w:val="ListParagraph"/>
        <w:numPr>
          <w:ilvl w:val="1"/>
          <w:numId w:val="2"/>
        </w:numPr>
        <w:spacing w:after="60" w:before="0"/>
      </w:pPr>
      <w:r>
        <w:t xml:space="preserve">the target's current value.</w:t>
      </w:r>
    </w:p>
    <w:p>
      <w:pPr>
        <w:pStyle w:val="ListParagraph"/>
        <w:numPr>
          <w:ilvl w:val="0"/>
          <w:numId w:val="6"/>
        </w:numPr>
        <w:spacing w:after="60" w:before="0"/>
      </w:pPr>
      <w:r>
        <w:t xml:space="preserve">The proposal becomes an approval request. Its canonical hash (JSON Canonicalization Scheme, RFC 8785) binds the action, the resource IDs, the parameters, the item's base revision, the target's version and the declared compensation (§5.4). The request expires after 7 days (RUN‑04).</w:t>
      </w:r>
    </w:p>
    <w:p>
      <w:pPr>
        <w:pStyle w:val="ListParagraph"/>
        <w:numPr>
          <w:ilvl w:val="0"/>
          <w:numId w:val="6"/>
        </w:numPr>
        <w:spacing w:after="60" w:before="0"/>
      </w:pPr>
      <w:r>
        <w:t xml:space="preserve">A person approves. A delegate must pass the item's visibility check (SEC‑08).</w:t>
      </w:r>
    </w:p>
    <w:p>
      <w:pPr>
        <w:pStyle w:val="ListParagraph"/>
        <w:numPr>
          <w:ilvl w:val="0"/>
          <w:numId w:val="6"/>
        </w:numPr>
        <w:spacing w:after="60" w:before="0"/>
      </w:pPr>
      <w:r>
        <w:t xml:space="preserve">An action run calls the gateway. In </w:t>
      </w:r>
      <w:r>
        <w:rPr>
          <w:b/>
          <w:bCs/>
        </w:rPr>
        <w:t xml:space="preserve">one transaction</w:t>
      </w:r>
      <w:r>
        <w:t xml:space="preserve">, the gateway:</w:t>
      </w:r>
    </w:p>
    <w:p>
      <w:pPr>
        <w:pStyle w:val="ListParagraph"/>
        <w:numPr>
          <w:ilvl w:val="1"/>
          <w:numId w:val="2"/>
        </w:numPr>
        <w:spacing w:after="60" w:before="0"/>
      </w:pPr>
      <w:r>
        <w:t xml:space="preserve">consumes the approval;</w:t>
      </w:r>
    </w:p>
    <w:p>
      <w:pPr>
        <w:pStyle w:val="ListParagraph"/>
        <w:numPr>
          <w:ilvl w:val="1"/>
          <w:numId w:val="2"/>
        </w:numPr>
        <w:spacing w:after="60" w:before="0"/>
      </w:pPr>
      <w:r>
        <w:t xml:space="preserve">inserts the effect row with a unique idempotency key;</w:t>
      </w:r>
    </w:p>
    <w:p>
      <w:pPr>
        <w:pStyle w:val="ListParagraph"/>
        <w:numPr>
          <w:ilvl w:val="1"/>
          <w:numId w:val="2"/>
        </w:numPr>
        <w:spacing w:after="60" w:before="0"/>
      </w:pPr>
      <w:r>
        <w:t xml:space="preserve">increments the volume counter;</w:t>
      </w:r>
    </w:p>
    <w:p>
      <w:pPr>
        <w:pStyle w:val="ListParagraph"/>
        <w:numPr>
          <w:ilvl w:val="1"/>
          <w:numId w:val="2"/>
        </w:numPr>
        <w:spacing w:after="60" w:before="0"/>
      </w:pPr>
      <w:r>
        <w:t xml:space="preserve">writes the audit </w:t>
      </w:r>
      <w:r>
        <w:rPr>
          <w:i/>
          <w:iCs/>
        </w:rPr>
        <w:t xml:space="preserve">intent</w:t>
      </w:r>
      <w:r>
        <w:t xml:space="preserve"> record.</w:t>
      </w:r>
    </w:p>
    <w:p>
      <w:pPr>
        <w:spacing w:after="60" w:before="0"/>
        <w:ind w:left="720"/>
      </w:pPr>
      <w:r>
        <w:t xml:space="preserve">Only then does the broker release the token.</w:t>
      </w:r>
    </w:p>
    <w:p>
      <w:pPr>
        <w:pStyle w:val="ListParagraph"/>
        <w:numPr>
          <w:ilvl w:val="0"/>
          <w:numId w:val="6"/>
        </w:numPr>
        <w:spacing w:after="60" w:before="0"/>
      </w:pPr>
      <w:r>
        <w:t xml:space="preserve">The call proceeds according to the action's duplicate-prevention class (RUN‑07). Then the audit </w:t>
      </w:r>
      <w:r>
        <w:rPr>
          <w:i/>
          <w:iCs/>
        </w:rPr>
        <w:t xml:space="preserve">result</w:t>
      </w:r>
      <w:r>
        <w:t xml:space="preserve"> and the effect outcome are recorded, including the target version read back.</w:t>
      </w:r>
    </w:p>
    <w:p>
      <w:pPr>
        <w:spacing w:after="0"/>
      </w:pPr>
    </w:p>
    <w:p>
      <w:r>
        <w:rPr>
          <w:b/>
          <w:bCs/>
        </w:rPr>
        <w:t xml:space="preserve">Mail to runs</w:t>
      </w:r>
      <w:r>
        <w:t xml:space="preserve"> (§11)</w:t>
      </w:r>
    </w:p>
    <w:p>
      <w:pPr>
        <w:pStyle w:val="ListParagraph"/>
        <w:numPr>
          <w:ilvl w:val="0"/>
          <w:numId w:val="7"/>
        </w:numPr>
        <w:spacing w:after="60" w:before="0"/>
      </w:pPr>
      <w:r>
        <w:t xml:space="preserve">A Graph change notification wakes the scope's intake workflow, which reads the per-folder delta using immutable IDs.</w:t>
      </w:r>
    </w:p>
    <w:p>
      <w:pPr>
        <w:pStyle w:val="ListParagraph"/>
        <w:numPr>
          <w:ilvl w:val="0"/>
          <w:numId w:val="7"/>
        </w:numPr>
        <w:spacing w:after="60" w:before="0"/>
      </w:pPr>
      <w:r>
        <w:t xml:space="preserve">Capture follows the archived compliance plan v3.1 §7: snapshot bytes to S3, then one transaction for the source rows and outbox events, then advance the checkpoint.</w:t>
      </w:r>
    </w:p>
    <w:p>
      <w:pPr>
        <w:pStyle w:val="ListParagraph"/>
        <w:numPr>
          <w:ilvl w:val="0"/>
          <w:numId w:val="7"/>
        </w:numPr>
        <w:spacing w:after="60" w:before="0"/>
      </w:pPr>
      <w:r>
        <w:t xml:space="preserve">The gateway invokes </w:t>
      </w:r>
      <w:r>
        <w:rPr>
          <w:rStyle w:val="CodeChar"/>
          <w:sz w:val="20"/>
          <w:szCs w:val="20"/>
        </w:rPr>
        <w:t xml:space="preserve">extract</w:t>
      </w:r>
      <w:r>
        <w:t xml:space="preserve"> to normalize the content (CON‑10).</w:t>
      </w:r>
    </w:p>
    <w:p>
      <w:pPr>
        <w:pStyle w:val="ListParagraph"/>
        <w:numPr>
          <w:ilvl w:val="0"/>
          <w:numId w:val="7"/>
        </w:numPr>
        <w:spacing w:after="60" w:before="0"/>
      </w:pPr>
      <w:r>
        <w:t xml:space="preserve">A trigger evaluator that reads only headers, and so costs no model calls, resolves sender identity (ASG‑15) and applies the per-sender counter (ASG‑17).</w:t>
      </w:r>
    </w:p>
    <w:p>
      <w:pPr>
        <w:pStyle w:val="ListParagraph"/>
        <w:numPr>
          <w:ilvl w:val="0"/>
          <w:numId w:val="7"/>
        </w:numPr>
        <w:spacing w:after="60" w:before="0"/>
      </w:pPr>
      <w:r>
        <w:t xml:space="preserve">Trigger deduplication (RUN‑02) and admission (RUN‑01) start one intake run per email.</w:t>
      </w:r>
    </w:p>
    <w:p>
      <w:pPr>
        <w:spacing w:after="0"/>
      </w:pPr>
    </w:p>
    <w:p>
      <w:pPr>
        <w:pStyle w:val="Heading1"/>
        <w:keepNext/>
      </w:pPr>
      <w:r>
        <w:t xml:space="preserve">4. Runtime</w:t>
      </w:r>
    </w:p>
    <w:p>
      <w:r>
        <w:t xml:space="preserve">Postgres owns every run's state. Temporal executes short segments between waits, so no workflow stays alive across a human decision, a pause or a deploy.</w:t>
      </w:r>
    </w:p>
    <w:p>
      <w:pPr>
        <w:spacing w:after="200" w:before="120"/>
        <w:jc w:val="center"/>
      </w:pPr>
      <w:r>
        <w:drawing>
          <wp:inline distT="0" distB="0" distL="0" distR="0">
            <wp:extent cx="5943600" cy="3171825"/>
            <wp:effectExtent t="0" r="0" b="0" l="0"/>
            <wp:docPr id="2" name="tech-run-segments.png" descr="Run segments · runs live in Postgres; Temporal executes short segments between waits" title="Run segments · runs live in Postgres; Temporal executes short segments between w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pStyle w:val="Heading2"/>
        <w:keepNext/>
      </w:pPr>
      <w:r>
        <w:t xml:space="preserve">4.1 Runs and segments</w:t>
      </w:r>
    </w:p>
    <w:p>
      <w:pPr>
        <w:pStyle w:val="ListParagraph"/>
        <w:numPr>
          <w:ilvl w:val="0"/>
          <w:numId w:val="2"/>
        </w:numPr>
        <w:spacing w:after="60" w:before="0"/>
      </w:pPr>
      <w:r>
        <w:rPr>
          <w:b/>
          <w:bCs/>
        </w:rPr>
        <w:t xml:space="preserve">State.</w:t>
      </w:r>
      <w:r>
        <w:t xml:space="preserve"> </w:t>
      </w:r>
      <w:r>
        <w:rPr>
          <w:rStyle w:val="CodeChar"/>
          <w:sz w:val="20"/>
          <w:szCs w:val="20"/>
        </w:rPr>
        <w:t xml:space="preserve">run.state</w:t>
      </w:r>
      <w:r>
        <w:t xml:space="preserve">, </w:t>
      </w:r>
      <w:r>
        <w:rPr>
          <w:rStyle w:val="CodeChar"/>
          <w:sz w:val="20"/>
          <w:szCs w:val="20"/>
        </w:rPr>
        <w:t xml:space="preserve">state_version</w:t>
      </w:r>
      <w:r>
        <w:t xml:space="preserve"> and </w:t>
      </w:r>
      <w:r>
        <w:rPr>
          <w:rStyle w:val="CodeChar"/>
          <w:sz w:val="20"/>
          <w:szCs w:val="20"/>
        </w:rPr>
        <w:t xml:space="preserve">continuation</w:t>
      </w:r>
      <w:r>
        <w:t xml:space="preserve"> change only through </w:t>
      </w:r>
      <w:r>
        <w:rPr>
          <w:rStyle w:val="CodeChar"/>
          <w:sz w:val="20"/>
          <w:szCs w:val="20"/>
        </w:rPr>
        <w:t xml:space="preserve">transition()</w:t>
      </w:r>
      <w:r>
        <w:t xml:space="preserve">, which checks the version and writes outbox events in the same transaction. The §7.6 states map one to one; terminal outcomes follow RUN‑06.</w:t>
      </w:r>
    </w:p>
    <w:p>
      <w:pPr>
        <w:pStyle w:val="ListParagraph"/>
        <w:numPr>
          <w:ilvl w:val="0"/>
          <w:numId w:val="2"/>
        </w:numPr>
        <w:spacing w:after="60" w:before="0"/>
      </w:pPr>
      <w:r>
        <w:rPr>
          <w:b/>
          <w:bCs/>
        </w:rPr>
        <w:t xml:space="preserve">Segments.</w:t>
      </w:r>
      <w:r>
        <w:t xml:space="preserve"> A segment is a Temporal workflow with the ID </w:t>
      </w:r>
      <w:r>
        <w:rPr>
          <w:rStyle w:val="CodeChar"/>
          <w:sz w:val="20"/>
          <w:szCs w:val="20"/>
        </w:rPr>
        <w:t xml:space="preserve">run:{id}:{n}</w:t>
      </w:r>
      <w:r>
        <w:t xml:space="preserve">: a thin, deterministic loop that calls </w:t>
      </w:r>
      <w:r>
        <w:rPr>
          <w:rStyle w:val="CodeChar"/>
          <w:sz w:val="20"/>
          <w:szCs w:val="20"/>
        </w:rPr>
        <w:t xml:space="preserve">next_step</w:t>
      </w:r>
      <w:r>
        <w:t xml:space="preserve"> and </w:t>
      </w:r>
      <w:r>
        <w:rPr>
          <w:rStyle w:val="CodeChar"/>
          <w:sz w:val="20"/>
          <w:szCs w:val="20"/>
        </w:rPr>
        <w:t xml:space="preserve">execute_step</w:t>
      </w:r>
      <w:r>
        <w:t xml:space="preserve"> activities.</w:t>
      </w:r>
    </w:p>
    <w:p>
      <w:pPr>
        <w:pStyle w:val="ListParagraph"/>
        <w:numPr>
          <w:ilvl w:val="1"/>
          <w:numId w:val="2"/>
        </w:numPr>
        <w:spacing w:after="60" w:before="0"/>
      </w:pPr>
      <w:r>
        <w:t xml:space="preserve">Parallel branches and for-each loops run as child workflows, up to 50 items per child.</w:t>
      </w:r>
    </w:p>
    <w:p>
      <w:pPr>
        <w:pStyle w:val="ListParagraph"/>
        <w:numPr>
          <w:ilvl w:val="1"/>
          <w:numId w:val="2"/>
        </w:numPr>
        <w:spacing w:after="60" w:before="0"/>
      </w:pPr>
      <w:r>
        <w:t xml:space="preserve">The task graph is interpreted inside activities, so most code changes never touch workflow replay. CI replays recorded histories to catch the rest.</w:t>
      </w:r>
    </w:p>
    <w:p>
      <w:pPr>
        <w:pStyle w:val="ListParagraph"/>
        <w:numPr>
          <w:ilvl w:val="0"/>
          <w:numId w:val="2"/>
        </w:numPr>
        <w:spacing w:after="60" w:before="0"/>
      </w:pPr>
      <w:r>
        <w:rPr>
          <w:b/>
          <w:bCs/>
        </w:rPr>
        <w:t xml:space="preserve">Waits end segments.</w:t>
      </w:r>
    </w:p>
    <w:p>
      <w:pPr>
        <w:pStyle w:val="ListParagraph"/>
        <w:numPr>
          <w:ilvl w:val="1"/>
          <w:numId w:val="2"/>
        </w:numPr>
        <w:spacing w:after="60" w:before="0"/>
      </w:pPr>
      <w:r>
        <w:t xml:space="preserve">Entering a Waiting or Paused state commits the continuation and ends the segment.</w:t>
      </w:r>
    </w:p>
    <w:p>
      <w:pPr>
        <w:pStyle w:val="ListParagraph"/>
        <w:numPr>
          <w:ilvl w:val="1"/>
          <w:numId w:val="2"/>
        </w:numPr>
        <w:spacing w:after="60" w:before="0"/>
      </w:pPr>
      <w:r>
        <w:t xml:space="preserve">A decision, resume or re-authorization commits segment n+1 together with an outbox event, and the relay starts it. The workflow ID makes the start idempotent.</w:t>
      </w:r>
    </w:p>
    <w:p>
      <w:pPr>
        <w:pStyle w:val="ListParagraph"/>
        <w:numPr>
          <w:ilvl w:val="1"/>
          <w:numId w:val="2"/>
        </w:numPr>
        <w:spacing w:after="60" w:before="0"/>
      </w:pPr>
      <w:r>
        <w:t xml:space="preserve">Completed steps never re-run, and the next step always gets a fresh token and a new reservation (RUN‑04).</w:t>
      </w:r>
    </w:p>
    <w:p>
      <w:pPr>
        <w:pStyle w:val="ListParagraph"/>
        <w:numPr>
          <w:ilvl w:val="0"/>
          <w:numId w:val="2"/>
        </w:numPr>
        <w:spacing w:after="60" w:before="0"/>
      </w:pPr>
      <w:r>
        <w:rPr>
          <w:b/>
          <w:bCs/>
        </w:rPr>
        <w:t xml:space="preserve">Timers.</w:t>
      </w:r>
      <w:r>
        <w:t xml:space="preserve"> One sweeper, a Temporal Schedule running every 30 seconds, scans indexed deadlines:</w:t>
      </w:r>
    </w:p>
    <w:p>
      <w:pPr>
        <w:pStyle w:val="ListParagraph"/>
        <w:numPr>
          <w:ilvl w:val="1"/>
          <w:numId w:val="2"/>
        </w:numPr>
        <w:spacing w:after="60" w:before="0"/>
      </w:pPr>
      <w:r>
        <w:t xml:space="preserve">approval expiry at 7 days;</w:t>
      </w:r>
    </w:p>
    <w:p>
      <w:pPr>
        <w:pStyle w:val="ListParagraph"/>
        <w:numPr>
          <w:ilvl w:val="1"/>
          <w:numId w:val="2"/>
        </w:numPr>
        <w:spacing w:after="60" w:before="0"/>
      </w:pPr>
      <w:r>
        <w:t xml:space="preserve">ASG‑10 reminders and escalation;</w:t>
      </w:r>
    </w:p>
    <w:p>
      <w:pPr>
        <w:pStyle w:val="ListParagraph"/>
        <w:numPr>
          <w:ilvl w:val="1"/>
          <w:numId w:val="2"/>
        </w:numPr>
        <w:spacing w:after="60" w:before="0"/>
      </w:pPr>
      <w:r>
        <w:t xml:space="preserve">pauses older than 14 days, which take the cancel path;</w:t>
      </w:r>
    </w:p>
    <w:p>
      <w:pPr>
        <w:pStyle w:val="ListParagraph"/>
        <w:numPr>
          <w:ilvl w:val="1"/>
          <w:numId w:val="2"/>
        </w:numPr>
        <w:spacing w:after="60" w:before="0"/>
      </w:pPr>
      <w:r>
        <w:t xml:space="preserve">unsettled reservations;</w:t>
      </w:r>
    </w:p>
    <w:p>
      <w:pPr>
        <w:pStyle w:val="ListParagraph"/>
        <w:numPr>
          <w:ilvl w:val="1"/>
          <w:numId w:val="2"/>
        </w:numPr>
        <w:spacing w:after="60" w:before="0"/>
      </w:pPr>
      <w:r>
        <w:t xml:space="preserve">INV‑06 outcome windows.</w:t>
      </w:r>
    </w:p>
    <w:p>
      <w:pPr>
        <w:pStyle w:val="ListParagraph"/>
        <w:numPr>
          <w:ilvl w:val="0"/>
          <w:numId w:val="2"/>
        </w:numPr>
        <w:spacing w:after="60" w:before="0"/>
      </w:pPr>
      <w:r>
        <w:rPr>
          <w:b/>
          <w:bCs/>
        </w:rPr>
        <w:t xml:space="preserve">Kill switch (ASG‑13).</w:t>
      </w:r>
      <w:r>
        <w:t xml:space="preserve"> Pausing or suspending bumps an epoch. The gateway refuses new calls for that scope within seconds, and any live segment is cancelled; thousands of workflows never need a signal.</w:t>
      </w:r>
    </w:p>
    <w:p>
      <w:pPr>
        <w:pStyle w:val="ListParagraph"/>
        <w:numPr>
          <w:ilvl w:val="0"/>
          <w:numId w:val="2"/>
        </w:numPr>
        <w:spacing w:after="60" w:before="0"/>
      </w:pPr>
      <w:r>
        <w:rPr>
          <w:b/>
          <w:bCs/>
        </w:rPr>
        <w:t xml:space="preserve">Temporal payloads.</w:t>
      </w:r>
      <w:r>
        <w:t xml:space="preserve"> Only identifiers, enums and error codes. Inputs, outputs and prompts are claim-checked: stored in S3 under their data class (spec §15) and referenced by ID.</w:t>
      </w:r>
    </w:p>
    <w:p>
      <w:pPr>
        <w:spacing w:after="0"/>
      </w:pPr>
    </w:p>
    <w:p>
      <w:pPr>
        <w:pStyle w:val="Heading2"/>
        <w:keepNext/>
      </w:pPr>
      <w:r>
        <w:t xml:space="preserve">4.2 Email triage as runs</w:t>
      </w:r>
    </w:p>
    <w:p>
      <w:pPr>
        <w:pStyle w:val="ListParagraph"/>
        <w:numPr>
          <w:ilvl w:val="0"/>
          <w:numId w:val="2"/>
        </w:numPr>
        <w:spacing w:after="60" w:before="0"/>
      </w:pPr>
      <w:r>
        <w:rPr>
          <w:b/>
          <w:bCs/>
        </w:rPr>
        <w:t xml:space="preserve">Intake run, one per email:</w:t>
      </w:r>
      <w:r>
        <w:t xml:space="preserve"> triage → extract the requested items with citations → find the targets through gateway reads → draft action proposals → supervisor checks (§7.2) → persist queue items and approval requests. The run ends there, so RUN‑01's default of 5 concurrent runs per assignment stays meaningful.</w:t>
      </w:r>
    </w:p>
    <w:p>
      <w:pPr>
        <w:pStyle w:val="ListParagraph"/>
        <w:numPr>
          <w:ilvl w:val="0"/>
          <w:numId w:val="2"/>
        </w:numPr>
        <w:spacing w:after="60" w:before="0"/>
      </w:pPr>
      <w:r>
        <w:rPr>
          <w:b/>
          <w:bCs/>
        </w:rPr>
        <w:t xml:space="preserve">Action run, one per approved action.</w:t>
      </w:r>
      <w:r>
        <w:t xml:space="preserve"> Its trigger dedup key is the approval ID, so each approval executes at most once.</w:t>
      </w:r>
    </w:p>
    <w:p>
      <w:pPr>
        <w:pStyle w:val="ListParagraph"/>
        <w:numPr>
          <w:ilvl w:val="0"/>
          <w:numId w:val="2"/>
        </w:numPr>
        <w:spacing w:after="60" w:before="0"/>
      </w:pPr>
      <w:r>
        <w:rPr>
          <w:b/>
          <w:bCs/>
        </w:rPr>
        <w:t xml:space="preserve">Long human waits</w:t>
      </w:r>
      <w:r>
        <w:t xml:space="preserve"> live in the work queue. Generic human steps (ASG‑10) use the same park-and-resume mechanism. In the beta they sit only on the main sequence, never inside parallel branches or loops.</w:t>
      </w:r>
    </w:p>
    <w:p>
      <w:pPr>
        <w:spacing w:after="0"/>
      </w:pPr>
    </w:p>
    <w:p>
      <w:pPr>
        <w:pStyle w:val="Heading2"/>
        <w:keepNext/>
      </w:pPr>
      <w:r>
        <w:t xml:space="preserve">4.3 Runtime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6"/>
        <w:gridCol w:w="6994"/>
      </w:tblGrid>
      <w:tr>
        <w:trPr>
          <w:tblHeader/>
        </w:trPr>
        <w:tc>
          <w:tcPr>
            <w:tcW w:type="dxa" w:w="2366"/>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6994"/>
            <w:shd w:fill="F2F2F2" w:color="auto" w:val="clear"/>
            <w:tcMar>
              <w:top w:type="dxa" w:w="60"/>
              <w:left w:type="dxa" w:w="100"/>
              <w:bottom w:type="dxa" w:w="60"/>
              <w:right w:type="dxa" w:w="100"/>
            </w:tcMar>
          </w:tcPr>
          <w:p>
            <w:pPr>
              <w:spacing w:after="0" w:before="0" w:line="252"/>
            </w:pPr>
            <w:r>
              <w:rPr>
                <w:b/>
                <w:bCs/>
                <w:sz w:val="19"/>
                <w:szCs w:val="19"/>
              </w:rPr>
              <w:t xml:space="preserve">Implementation</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RUN‑01 Overlapping runs</w:t>
            </w:r>
          </w:p>
        </w:tc>
        <w:tc>
          <w:tcPr>
            <w:tcW w:type="dxa" w:w="6994"/>
            <w:tcMar>
              <w:top w:type="dxa" w:w="60"/>
              <w:left w:type="dxa" w:w="100"/>
              <w:bottom w:type="dxa" w:w="60"/>
              <w:right w:type="dxa" w:w="100"/>
            </w:tcMar>
          </w:tcPr>
          <w:p>
            <w:pPr>
              <w:spacing w:after="0" w:before="0" w:line="252"/>
            </w:pPr>
            <w:r>
              <w:rPr>
                <w:sz w:val="19"/>
                <w:szCs w:val="19"/>
              </w:rPr>
              <w:t xml:space="preserve">Admission locks </w:t>
            </w:r>
            <w:r>
              <w:rPr>
                <w:rStyle w:val="CodeChar"/>
                <w:sz w:val="17"/>
                <w:szCs w:val="17"/>
              </w:rPr>
              <w:t xml:space="preserve">assignment_slots</w:t>
            </w:r>
            <w:r>
              <w:rPr>
                <w:sz w:val="19"/>
                <w:szCs w:val="19"/>
              </w:rPr>
              <w:t xml:space="preserve">. Only Queued and Running runs count (proposed spec change 5). Policies: skip; queue (bounded, first in first out); replace (the older run is cancelled at its next step boundary); concurrent (capped)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RUN‑02 Trigger deduplication</w:t>
            </w:r>
          </w:p>
        </w:tc>
        <w:tc>
          <w:tcPr>
            <w:tcW w:type="dxa" w:w="6994"/>
            <w:tcMar>
              <w:top w:type="dxa" w:w="60"/>
              <w:left w:type="dxa" w:w="100"/>
              <w:bottom w:type="dxa" w:w="60"/>
              <w:right w:type="dxa" w:w="100"/>
            </w:tcMar>
          </w:tcPr>
          <w:p>
            <w:pPr>
              <w:spacing w:after="0" w:before="0" w:line="252"/>
            </w:pPr>
            <w:r>
              <w:rPr>
                <w:rStyle w:val="CodeChar"/>
                <w:sz w:val="17"/>
                <w:szCs w:val="17"/>
              </w:rPr>
              <w:t xml:space="preserve">trigger_event.dedup_key</w:t>
            </w:r>
            <w:r>
              <w:rPr>
                <w:sz w:val="19"/>
                <w:szCs w:val="19"/>
              </w:rPr>
              <w:t xml:space="preserve"> is unique, with an expiry. The mail key is (tenant, mailbox, Graph immutable message ID), with a window at least as long as the 90-day monitored window (proposed spec change 6). The same key derives the workflow ID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RUN‑03 New versions</w:t>
            </w:r>
          </w:p>
        </w:tc>
        <w:tc>
          <w:tcPr>
            <w:tcW w:type="dxa" w:w="6994"/>
            <w:tcMar>
              <w:top w:type="dxa" w:w="60"/>
              <w:left w:type="dxa" w:w="100"/>
              <w:bottom w:type="dxa" w:w="60"/>
              <w:right w:type="dxa" w:w="100"/>
            </w:tcMar>
          </w:tcPr>
          <w:p>
            <w:pPr>
              <w:spacing w:after="0" w:before="0" w:line="252"/>
            </w:pPr>
            <w:r>
              <w:rPr>
                <w:sz w:val="19"/>
                <w:szCs w:val="19"/>
              </w:rPr>
              <w:t xml:space="preserve">Admission resolves the latest or pinned version. A version that isn't accepted and either widens any grant element (§5.2) or raises the budget → Paused: re-acceptance</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RUN‑04 Credentials after waits</w:t>
            </w:r>
          </w:p>
        </w:tc>
        <w:tc>
          <w:tcPr>
            <w:tcW w:type="dxa" w:w="6994"/>
            <w:tcMar>
              <w:top w:type="dxa" w:w="60"/>
              <w:left w:type="dxa" w:w="100"/>
              <w:bottom w:type="dxa" w:w="60"/>
              <w:right w:type="dxa" w:w="100"/>
            </w:tcMar>
          </w:tcPr>
          <w:p>
            <w:pPr>
              <w:spacing w:after="0" w:before="0" w:line="252"/>
            </w:pPr>
            <w:r>
              <w:rPr>
                <w:sz w:val="19"/>
                <w:szCs w:val="19"/>
              </w:rPr>
              <w:t xml:space="preserve">The broker fetches a token on every call. Approvals bind by canonical hash, expire after 7 days (state </w:t>
            </w:r>
            <w:r>
              <w:rPr>
                <w:rStyle w:val="CodeChar"/>
                <w:sz w:val="17"/>
                <w:szCs w:val="17"/>
              </w:rPr>
              <w:t xml:space="preserve">expired</w:t>
            </w:r>
            <w:r>
              <w:rPr>
                <w:sz w:val="19"/>
                <w:szCs w:val="19"/>
              </w:rPr>
              <w:t xml:space="preserve">), and go stale when either base version changes</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RUN‑05 Revocation mid-run</w:t>
            </w:r>
          </w:p>
        </w:tc>
        <w:tc>
          <w:tcPr>
            <w:tcW w:type="dxa" w:w="6994"/>
            <w:tcMar>
              <w:top w:type="dxa" w:w="60"/>
              <w:left w:type="dxa" w:w="100"/>
              <w:bottom w:type="dxa" w:w="60"/>
              <w:right w:type="dxa" w:w="100"/>
            </w:tcMar>
          </w:tcPr>
          <w:p>
            <w:pPr>
              <w:spacing w:after="0" w:before="0" w:line="252"/>
            </w:pPr>
            <w:r>
              <w:rPr>
                <w:sz w:val="19"/>
                <w:szCs w:val="19"/>
              </w:rPr>
              <w:t xml:space="preserve">Epochs are checked on every call. A result that lands after revocation is quarantined and never returned. The run moves to Paused: re-authorization, or takes the cancel path if the user was deprovisioned</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RUN‑06 Failure and compensation</w:t>
            </w:r>
          </w:p>
        </w:tc>
        <w:tc>
          <w:tcPr>
            <w:tcW w:type="dxa" w:w="6994"/>
            <w:tcMar>
              <w:top w:type="dxa" w:w="60"/>
              <w:left w:type="dxa" w:w="100"/>
              <w:bottom w:type="dxa" w:w="60"/>
              <w:right w:type="dxa" w:w="100"/>
            </w:tcMar>
          </w:tcPr>
          <w:p>
            <w:pPr>
              <w:spacing w:after="0" w:before="0" w:line="252"/>
            </w:pPr>
            <w:r>
              <w:rPr>
                <w:sz w:val="19"/>
                <w:szCs w:val="19"/>
              </w:rPr>
              <w:t xml:space="preserve">An effect journal records every applied effect. Retryable steps retry within budget. Otherwise compensations run in reverse order through the gateway, ending Rolled back. Any failed compensation or irreversible effect ends Completed with partial side effects, with a repair item</w:t>
            </w:r>
          </w:p>
        </w:tc>
      </w:tr>
      <w:tr>
        <w:trPr>
          <w:tblHeader w:val="off"/>
        </w:trPr>
        <w:tc>
          <w:tcPr>
            <w:tcW w:type="dxa" w:w="2366"/>
            <w:tcMar>
              <w:top w:type="dxa" w:w="60"/>
              <w:left w:type="dxa" w:w="100"/>
              <w:bottom w:type="dxa" w:w="60"/>
              <w:right w:type="dxa" w:w="100"/>
            </w:tcMar>
          </w:tcPr>
          <w:p>
            <w:pPr>
              <w:spacing w:after="0" w:before="0" w:line="252"/>
            </w:pPr>
            <w:r>
              <w:rPr>
                <w:sz w:val="19"/>
                <w:szCs w:val="19"/>
              </w:rPr>
              <w:t xml:space="preserve">RUN‑07 Duplicate prevention</w:t>
            </w:r>
          </w:p>
        </w:tc>
        <w:tc>
          <w:tcPr>
            <w:tcW w:type="dxa" w:w="6994"/>
            <w:tcMar>
              <w:top w:type="dxa" w:w="60"/>
              <w:left w:type="dxa" w:w="100"/>
              <w:bottom w:type="dxa" w:w="60"/>
              <w:right w:type="dxa" w:w="100"/>
            </w:tcMar>
          </w:tcPr>
          <w:p>
            <w:pPr>
              <w:spacing w:after="0" w:before="0" w:line="252"/>
            </w:pPr>
            <w:r>
              <w:rPr>
                <w:sz w:val="19"/>
                <w:szCs w:val="19"/>
              </w:rPr>
              <w:t xml:space="preserve">Classes (a) and (b) retry safely. Class (c) waits out the declared read-after-write lag, finds the object by correlation ID, then retries or records the result. Class (d) never retries: Paused: outcome unknown, with a repair item</w:t>
            </w:r>
          </w:p>
        </w:tc>
      </w:tr>
    </w:tbl>
    <w:p>
      <w:pPr>
        <w:spacing w:after="60"/>
      </w:pPr>
    </w:p>
    <w:p>
      <w:r>
        <w:t xml:space="preserve">If an owner is deprovisioned after effects were applied, there is no delegated token left to compensate with. The run ends Completed with partial side effects, and the repair item goes to a custodian the tenant designates (proposed spec change 9).</w:t>
      </w:r>
    </w:p>
    <w:p>
      <w:pPr>
        <w:pStyle w:val="Heading2"/>
        <w:keepNext/>
      </w:pPr>
      <w:r>
        <w:t xml:space="preserve">4.4 Versions and the builder</w:t>
      </w:r>
    </w:p>
    <w:p>
      <w:pPr>
        <w:pStyle w:val="ListParagraph"/>
        <w:numPr>
          <w:ilvl w:val="0"/>
          <w:numId w:val="2"/>
        </w:numPr>
        <w:spacing w:after="60" w:before="0"/>
      </w:pPr>
      <w:r>
        <w:rPr>
          <w:b/>
          <w:bCs/>
        </w:rPr>
        <w:t xml:space="preserve">Immutable versions (ASG‑01).</w:t>
      </w:r>
      <w:r>
        <w:t xml:space="preserve"> Assignments and tasks are versioned. A version is accepted only through </w:t>
      </w:r>
      <w:r>
        <w:rPr>
          <w:rStyle w:val="CodeChar"/>
          <w:sz w:val="20"/>
          <w:szCs w:val="20"/>
        </w:rPr>
        <w:t xml:space="preserve">accept_version()</w:t>
      </w:r>
      <w:r>
        <w:t xml:space="preserve"> (§8.2). The acceptance screen shows the widening diff and the provenance of every standing instruction.</w:t>
      </w:r>
    </w:p>
    <w:p>
      <w:pPr>
        <w:pStyle w:val="ListParagraph"/>
        <w:numPr>
          <w:ilvl w:val="0"/>
          <w:numId w:val="2"/>
        </w:numPr>
        <w:spacing w:after="60" w:before="0"/>
      </w:pPr>
      <w:r>
        <w:rPr>
          <w:b/>
          <w:bCs/>
        </w:rPr>
        <w:t xml:space="preserve">Manual builder (ASG‑04).</w:t>
      </w:r>
      <w:r>
        <w:t xml:space="preserve"> An outline editor with steps, branches, parallel blocks and for-each blocks. Task forms cover the description, capability grants (with resource pickers backed by gateway reads), the model or "Auto", success criteria, approval gate, timeout and retry.</w:t>
      </w:r>
    </w:p>
    <w:p>
      <w:pPr>
        <w:pStyle w:val="ListParagraph"/>
        <w:numPr>
          <w:ilvl w:val="0"/>
          <w:numId w:val="2"/>
        </w:numPr>
        <w:spacing w:after="60" w:before="0"/>
      </w:pPr>
      <w:r>
        <w:rPr>
          <w:b/>
          <w:bCs/>
        </w:rPr>
        <w:t xml:space="preserve">"Write this for me" and "Improve" (ASG‑02)</w:t>
      </w:r>
      <w:r>
        <w:t xml:space="preserve"> draft a description that the person must accept. They are charged to the user's workspace account (§6.1).</w:t>
      </w:r>
    </w:p>
    <w:p>
      <w:pPr>
        <w:pStyle w:val="ListParagraph"/>
        <w:numPr>
          <w:ilvl w:val="0"/>
          <w:numId w:val="2"/>
        </w:numPr>
        <w:spacing w:after="60" w:before="0"/>
      </w:pPr>
      <w:r>
        <w:rPr>
          <w:b/>
          <w:bCs/>
        </w:rPr>
        <w:t xml:space="preserve">Dry run (ASG‑05)</w:t>
      </w:r>
      <w:r>
        <w:t xml:space="preserve"> runs the version with read-only grants. Write capabilities are stripped before step grants are issued. It reports what would happen and its real token cost.</w:t>
      </w:r>
    </w:p>
    <w:p>
      <w:pPr>
        <w:pStyle w:val="ListParagraph"/>
        <w:numPr>
          <w:ilvl w:val="0"/>
          <w:numId w:val="2"/>
        </w:numPr>
        <w:spacing w:after="60" w:before="0"/>
      </w:pPr>
      <w:r>
        <w:rPr>
          <w:b/>
          <w:bCs/>
        </w:rPr>
        <w:t xml:space="preserve">Success criteria (ASG‑06)</w:t>
      </w:r>
      <w:r>
        <w:t xml:space="preserve"> are chosen from the typed check library (§7.2) with parameters. Free-text criteria become subjective checks for the judge.</w:t>
      </w:r>
    </w:p>
    <w:p>
      <w:pPr>
        <w:spacing w:after="0"/>
      </w:pPr>
    </w:p>
    <w:p>
      <w:pPr>
        <w:pStyle w:val="Heading1"/>
        <w:keepNext/>
      </w:pPr>
      <w:r>
        <w:t xml:space="preserve">5. Connector gateway</w:t>
      </w:r>
    </w:p>
    <w:p>
      <w:r>
        <w:t xml:space="preserve">The gateway decides whether a call is inside the permission ceiling before any credential exists for it, and records that decision before anything leaves.</w:t>
      </w:r>
    </w:p>
    <w:p>
      <w:pPr>
        <w:spacing w:after="200" w:before="120"/>
        <w:jc w:val="center"/>
      </w:pPr>
      <w:r>
        <w:drawing>
          <wp:inline distT="0" distB="0" distL="0" distR="0">
            <wp:extent cx="5943600" cy="5591175"/>
            <wp:effectExtent t="0" r="0" b="0" l="0"/>
            <wp:docPr id="3" name="tech-write-path.png" descr="Write path · an approved write is checked, recorded, then executed" title="Write path · an approved write is checked, recorded, then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pStyle w:val="Heading2"/>
        <w:keepNext/>
      </w:pPr>
      <w:r>
        <w:t xml:space="preserve">5.1 Request path</w:t>
      </w:r>
    </w:p>
    <w:p>
      <w:pPr>
        <w:pStyle w:val="ListParagraph"/>
        <w:numPr>
          <w:ilvl w:val="0"/>
          <w:numId w:val="8"/>
        </w:numPr>
        <w:spacing w:after="60" w:before="0"/>
      </w:pPr>
      <w:r>
        <w:rPr>
          <w:b/>
          <w:bCs/>
        </w:rPr>
        <w:t xml:space="preserve">Load the step grant.</w:t>
      </w:r>
      <w:r>
        <w:t xml:space="preserve"> Check that the run is Running, its version is accepted, the user is active with current epochs, and the connector is still approved (CON‑06). These are read from Postgres, cached for at most 5 seconds and invalidated by LISTEN.</w:t>
      </w:r>
    </w:p>
    <w:p>
      <w:pPr>
        <w:pStyle w:val="ListParagraph"/>
        <w:numPr>
          <w:ilvl w:val="0"/>
          <w:numId w:val="8"/>
        </w:numPr>
        <w:spacing w:after="60" w:before="0"/>
      </w:pPr>
      <w:r>
        <w:rPr>
          <w:b/>
          <w:bCs/>
        </w:rPr>
        <w:t xml:space="preserve">Validate parameters</w:t>
      </w:r>
      <w:r>
        <w:t xml:space="preserve"> against the pinned manifest, and identify the resource and recipient parameters. An action whose resource can't be determined before the call needs approval every time (CON‑02).</w:t>
      </w:r>
    </w:p>
    <w:p>
      <w:pPr>
        <w:pStyle w:val="ListParagraph"/>
        <w:numPr>
          <w:ilvl w:val="0"/>
          <w:numId w:val="8"/>
        </w:numPr>
        <w:spacing w:after="60" w:before="0"/>
      </w:pPr>
      <w:r>
        <w:rPr>
          <w:b/>
          <w:bCs/>
        </w:rPr>
        <w:t xml:space="preserve">Evaluate the grant</w:t>
      </w:r>
      <w:r>
        <w:t xml:space="preserve"> (§5.2), denying by default. A denial writes a </w:t>
      </w:r>
      <w:r>
        <w:rPr>
          <w:rStyle w:val="CodeChar"/>
          <w:sz w:val="20"/>
          <w:szCs w:val="20"/>
        </w:rPr>
        <w:t xml:space="preserve">denied</w:t>
      </w:r>
      <w:r>
        <w:t xml:space="preserve"> audit record and ends the step. Repeated denials suspend the task and raise a security event (CON‑03).</w:t>
      </w:r>
    </w:p>
    <w:p>
      <w:pPr>
        <w:pStyle w:val="ListParagraph"/>
        <w:numPr>
          <w:ilvl w:val="0"/>
          <w:numId w:val="8"/>
        </w:numPr>
        <w:spacing w:after="60" w:before="0"/>
      </w:pPr>
      <w:r>
        <w:rPr>
          <w:b/>
          <w:bCs/>
        </w:rPr>
        <w:t xml:space="preserve">For a write, one transaction:</w:t>
      </w:r>
    </w:p>
    <w:p>
      <w:pPr>
        <w:pStyle w:val="ListParagraph"/>
        <w:numPr>
          <w:ilvl w:val="1"/>
          <w:numId w:val="2"/>
        </w:numPr>
        <w:spacing w:after="60" w:before="0"/>
      </w:pPr>
      <w:r>
        <w:t xml:space="preserve">consume the approval (accepted, unexpired, hash match, unused);</w:t>
      </w:r>
    </w:p>
    <w:p>
      <w:pPr>
        <w:pStyle w:val="ListParagraph"/>
        <w:numPr>
          <w:ilvl w:val="1"/>
          <w:numId w:val="2"/>
        </w:numPr>
        <w:spacing w:after="60" w:before="0"/>
      </w:pPr>
      <w:r>
        <w:t xml:space="preserve">insert the effect row (unique idempotency key);</w:t>
      </w:r>
    </w:p>
    <w:p>
      <w:pPr>
        <w:pStyle w:val="ListParagraph"/>
        <w:numPr>
          <w:ilvl w:val="1"/>
          <w:numId w:val="2"/>
        </w:numPr>
        <w:spacing w:after="60" w:before="0"/>
      </w:pPr>
      <w:r>
        <w:t xml:space="preserve">increment the volume counter, only if </w:t>
      </w:r>
      <w:r>
        <w:rPr>
          <w:rStyle w:val="CodeChar"/>
          <w:sz w:val="20"/>
          <w:szCs w:val="20"/>
        </w:rPr>
        <w:t xml:space="preserve">used + n ≤ limit</w:t>
      </w:r>
      <w:r>
        <w:t xml:space="preserve">;</w:t>
      </w:r>
    </w:p>
    <w:p>
      <w:pPr>
        <w:pStyle w:val="ListParagraph"/>
        <w:numPr>
          <w:ilvl w:val="1"/>
          <w:numId w:val="2"/>
        </w:numPr>
        <w:spacing w:after="60" w:before="0"/>
      </w:pPr>
      <w:r>
        <w:t xml:space="preserve">write the audit intent.</w:t>
      </w:r>
    </w:p>
    <w:p>
      <w:pPr>
        <w:pStyle w:val="ListParagraph"/>
        <w:numPr>
          <w:ilvl w:val="0"/>
          <w:numId w:val="8"/>
        </w:numPr>
        <w:spacing w:after="60" w:before="0"/>
      </w:pPr>
      <w:r>
        <w:rPr>
          <w:b/>
          <w:bCs/>
        </w:rPr>
        <w:t xml:space="preserve">Release the token.</w:t>
      </w:r>
      <w:r>
        <w:t xml:space="preserve"> The broker unwraps the refresh token with KMS (tenant in the encryption context) and refreshes it with the CAE capability. The access token stays in memory only.</w:t>
      </w:r>
    </w:p>
    <w:p>
      <w:pPr>
        <w:pStyle w:val="ListParagraph"/>
        <w:numPr>
          <w:ilvl w:val="0"/>
          <w:numId w:val="8"/>
        </w:numPr>
        <w:spacing w:after="60" w:before="0"/>
      </w:pPr>
      <w:r>
        <w:rPr>
          <w:b/>
          <w:bCs/>
        </w:rPr>
        <w:t xml:space="preserve">Make the call.</w:t>
      </w:r>
    </w:p>
    <w:p>
      <w:pPr>
        <w:pStyle w:val="ListParagraph"/>
        <w:numPr>
          <w:ilvl w:val="1"/>
          <w:numId w:val="2"/>
        </w:numPr>
        <w:spacing w:after="60" w:before="0"/>
      </w:pPr>
      <w:r>
        <w:t xml:space="preserve">A 401 or 403 ends the step, with no retry.</w:t>
      </w:r>
    </w:p>
    <w:p>
      <w:pPr>
        <w:pStyle w:val="ListParagraph"/>
        <w:numPr>
          <w:ilvl w:val="1"/>
          <w:numId w:val="2"/>
        </w:numPr>
        <w:spacing w:after="60" w:before="0"/>
      </w:pPr>
      <w:r>
        <w:t xml:space="preserve">A CAE claims challenge moves the run to Paused: re-authorization.</w:t>
      </w:r>
    </w:p>
    <w:p>
      <w:pPr>
        <w:pStyle w:val="ListParagraph"/>
        <w:numPr>
          <w:ilvl w:val="1"/>
          <w:numId w:val="2"/>
        </w:numPr>
        <w:spacing w:after="60" w:before="0"/>
      </w:pPr>
      <w:r>
        <w:t xml:space="preserve">A timeout or lost acknowledgement is handled by the action's RUN‑07 class.</w:t>
      </w:r>
    </w:p>
    <w:p>
      <w:pPr>
        <w:pStyle w:val="ListParagraph"/>
        <w:numPr>
          <w:ilvl w:val="0"/>
          <w:numId w:val="8"/>
        </w:numPr>
        <w:spacing w:after="60" w:before="0"/>
      </w:pPr>
      <w:r>
        <w:rPr>
          <w:b/>
          <w:bCs/>
        </w:rPr>
        <w:t xml:space="preserve">Filter and record.</w:t>
      </w:r>
      <w:r>
        <w:t xml:space="preserve"> The response is filtered to granted resources and fields, the payload goes to S3 with its lineage, and the audit result and effect outcome are written.</w:t>
      </w:r>
    </w:p>
    <w:p>
      <w:pPr>
        <w:pStyle w:val="ListParagraph"/>
        <w:numPr>
          <w:ilvl w:val="0"/>
          <w:numId w:val="8"/>
        </w:numPr>
        <w:spacing w:after="60" w:before="0"/>
      </w:pPr>
      <w:r>
        <w:rPr>
          <w:b/>
          <w:bCs/>
        </w:rPr>
        <w:t xml:space="preserve">Revocation</w:t>
      </w:r>
      <w:r>
        <w:t xml:space="preserve"> bumps an epoch, and new calls stop at once. A call already in flight is logged "completed after revocation" and quarantined (RUN‑05).</w:t>
      </w:r>
    </w:p>
    <w:p>
      <w:pPr>
        <w:spacing w:after="0"/>
      </w:pPr>
    </w:p>
    <w:p>
      <w:pPr>
        <w:pStyle w:val="Heading2"/>
        <w:keepNext/>
      </w:pPr>
      <w:r>
        <w:t xml:space="preserve">5.2 Capability grants</w:t>
      </w:r>
    </w:p>
    <w:p>
      <w:r>
        <w:t xml:space="preserve">The beta evaluator is a pure function over typed values:</w:t>
      </w:r>
    </w:p>
    <w:p>
      <w:r>
        <w:rPr>
          <w:rStyle w:val="CodeChar"/>
          <w:sz w:val="20"/>
          <w:szCs w:val="20"/>
        </w:rPr>
        <w:t xml:space="preserve">(manifest, grant, admin policy, consented scopes, request) → allow | deny(reason)</w:t>
      </w:r>
    </w:p>
    <w:p>
      <w:r>
        <w:t xml:space="preserve">Each element of CON‑02 has a typed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941"/>
        <w:gridCol w:w="2642"/>
      </w:tblGrid>
      <w:tr>
        <w:trPr>
          <w:tblHeader/>
        </w:trPr>
        <w:tc>
          <w:tcPr>
            <w:tcW w:type="dxa" w:w="1777"/>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941"/>
            <w:shd w:fill="F2F2F2" w:color="auto" w:val="clear"/>
            <w:tcMar>
              <w:top w:type="dxa" w:w="60"/>
              <w:left w:type="dxa" w:w="100"/>
              <w:bottom w:type="dxa" w:w="60"/>
              <w:right w:type="dxa" w:w="100"/>
            </w:tcMar>
          </w:tcPr>
          <w:p>
            <w:pPr>
              <w:spacing w:after="0" w:before="0" w:line="252"/>
            </w:pPr>
            <w:r>
              <w:rPr>
                <w:b/>
                <w:bCs/>
                <w:sz w:val="19"/>
                <w:szCs w:val="19"/>
              </w:rPr>
              <w:t xml:space="preserve">Typed form</w:t>
            </w:r>
          </w:p>
        </w:tc>
        <w:tc>
          <w:tcPr>
            <w:tcW w:type="dxa" w:w="2642"/>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Connector and action</w:t>
            </w:r>
          </w:p>
        </w:tc>
        <w:tc>
          <w:tcPr>
            <w:tcW w:type="dxa" w:w="4941"/>
            <w:tcMar>
              <w:top w:type="dxa" w:w="60"/>
              <w:left w:type="dxa" w:w="100"/>
              <w:bottom w:type="dxa" w:w="60"/>
              <w:right w:type="dxa" w:w="100"/>
            </w:tcMar>
          </w:tcPr>
          <w:p>
            <w:pPr>
              <w:spacing w:after="0" w:before="0" w:line="252"/>
            </w:pPr>
            <w:r>
              <w:rPr>
                <w:sz w:val="19"/>
                <w:szCs w:val="19"/>
              </w:rPr>
              <w:t xml:space="preserve">Manifest action ID, pinned manifest version</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Resource selector</w:t>
            </w:r>
          </w:p>
        </w:tc>
        <w:tc>
          <w:tcPr>
            <w:tcW w:type="dxa" w:w="4941"/>
            <w:tcMar>
              <w:top w:type="dxa" w:w="60"/>
              <w:left w:type="dxa" w:w="100"/>
              <w:bottom w:type="dxa" w:w="60"/>
              <w:right w:type="dxa" w:w="100"/>
            </w:tcMar>
          </w:tcPr>
          <w:p>
            <w:pPr>
              <w:spacing w:after="0" w:before="0" w:line="252"/>
            </w:pPr>
            <w:r>
              <w:rPr>
                <w:sz w:val="19"/>
                <w:szCs w:val="19"/>
              </w:rPr>
              <w:t xml:space="preserve">Stable IDs resolved at acceptance: drive item and table ID, site and list ID, mail folder ID</w:t>
            </w:r>
          </w:p>
        </w:tc>
        <w:tc>
          <w:tcPr>
            <w:tcW w:type="dxa" w:w="2642"/>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Field allowlist</w:t>
            </w:r>
          </w:p>
        </w:tc>
        <w:tc>
          <w:tcPr>
            <w:tcW w:type="dxa" w:w="4941"/>
            <w:tcMar>
              <w:top w:type="dxa" w:w="60"/>
              <w:left w:type="dxa" w:w="100"/>
              <w:bottom w:type="dxa" w:w="60"/>
              <w:right w:type="dxa" w:w="100"/>
            </w:tcMar>
          </w:tcPr>
          <w:p>
            <w:pPr>
              <w:spacing w:after="0" w:before="0" w:line="252"/>
            </w:pPr>
            <w:r>
              <w:rPr>
                <w:sz w:val="19"/>
                <w:szCs w:val="19"/>
              </w:rPr>
              <w:t xml:space="preserve">Typed read and write sets; each field has a type (number, text, date, choice)</w:t>
            </w:r>
          </w:p>
        </w:tc>
        <w:tc>
          <w:tcPr>
            <w:tcW w:type="dxa" w:w="2642"/>
            <w:tcMar>
              <w:top w:type="dxa" w:w="60"/>
              <w:left w:type="dxa" w:w="100"/>
              <w:bottom w:type="dxa" w:w="60"/>
              <w:right w:type="dxa" w:w="100"/>
            </w:tcMar>
          </w:tcPr>
          <w:p>
            <w:pPr>
              <w:spacing w:after="0" w:before="0" w:line="252"/>
            </w:pPr>
            <w:r>
              <w:rPr>
                <w:sz w:val="19"/>
                <w:szCs w:val="19"/>
              </w:rPr>
              <w:t xml:space="preserve">Writes before the call; reads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Recipient rule</w:t>
            </w:r>
          </w:p>
        </w:tc>
        <w:tc>
          <w:tcPr>
            <w:tcW w:type="dxa" w:w="4941"/>
            <w:tcMar>
              <w:top w:type="dxa" w:w="60"/>
              <w:left w:type="dxa" w:w="100"/>
              <w:bottom w:type="dxa" w:w="60"/>
              <w:right w:type="dxa" w:w="100"/>
            </w:tcMar>
          </w:tcPr>
          <w:p>
            <w:pPr>
              <w:spacing w:after="0" w:before="0" w:line="252"/>
            </w:pPr>
            <w:r>
              <w:rPr>
                <w:rStyle w:val="CodeChar"/>
                <w:sz w:val="17"/>
                <w:szCs w:val="17"/>
              </w:rPr>
              <w:t xml:space="preserve">original_sender_only</w:t>
            </w:r>
            <w:r>
              <w:rPr>
                <w:sz w:val="19"/>
                <w:szCs w:val="19"/>
              </w:rPr>
              <w:t xml:space="preserve"> resolves to the authenticated From address at medium or high confidence</w:t>
            </w:r>
          </w:p>
        </w:tc>
        <w:tc>
          <w:tcPr>
            <w:tcW w:type="dxa" w:w="2642"/>
            <w:tcMar>
              <w:top w:type="dxa" w:w="60"/>
              <w:left w:type="dxa" w:w="100"/>
              <w:bottom w:type="dxa" w:w="60"/>
              <w:right w:type="dxa" w:w="100"/>
            </w:tcMar>
          </w:tcPr>
          <w:p>
            <w:pPr>
              <w:spacing w:after="0" w:before="0" w:line="252"/>
            </w:pPr>
            <w:r>
              <w:rPr>
                <w:sz w:val="19"/>
                <w:szCs w:val="19"/>
              </w:rPr>
              <w:t xml:space="preserve">Before the call; drafts read back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Parameter limits</w:t>
            </w:r>
          </w:p>
        </w:tc>
        <w:tc>
          <w:tcPr>
            <w:tcW w:type="dxa" w:w="4941"/>
            <w:tcMar>
              <w:top w:type="dxa" w:w="60"/>
              <w:left w:type="dxa" w:w="100"/>
              <w:bottom w:type="dxa" w:w="60"/>
              <w:right w:type="dxa" w:w="100"/>
            </w:tcMar>
          </w:tcPr>
          <w:p>
            <w:pPr>
              <w:spacing w:after="0" w:before="0" w:line="252"/>
            </w:pPr>
            <w:r>
              <w:rPr>
                <w:sz w:val="19"/>
                <w:szCs w:val="19"/>
              </w:rPr>
              <w:t xml:space="preserve">Bounds per field (e.g., a change of at most 50 units); forbidden operations</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Volume limit</w:t>
            </w:r>
          </w:p>
        </w:tc>
        <w:tc>
          <w:tcPr>
            <w:tcW w:type="dxa" w:w="4941"/>
            <w:tcMar>
              <w:top w:type="dxa" w:w="60"/>
              <w:left w:type="dxa" w:w="100"/>
              <w:bottom w:type="dxa" w:w="60"/>
              <w:right w:type="dxa" w:w="100"/>
            </w:tcMar>
          </w:tcPr>
          <w:p>
            <w:pPr>
              <w:spacing w:after="0" w:before="0" w:line="252"/>
            </w:pPr>
            <w:r>
              <w:rPr>
                <w:sz w:val="19"/>
                <w:szCs w:val="19"/>
              </w:rPr>
              <w:t xml:space="preserve">A count per run or per period</w:t>
            </w:r>
          </w:p>
        </w:tc>
        <w:tc>
          <w:tcPr>
            <w:tcW w:type="dxa" w:w="2642"/>
            <w:tcMar>
              <w:top w:type="dxa" w:w="60"/>
              <w:left w:type="dxa" w:w="100"/>
              <w:bottom w:type="dxa" w:w="60"/>
              <w:right w:type="dxa" w:w="100"/>
            </w:tcMar>
          </w:tcPr>
          <w:p>
            <w:pPr>
              <w:spacing w:after="0" w:before="0" w:line="252"/>
            </w:pPr>
            <w:r>
              <w:rPr>
                <w:sz w:val="19"/>
                <w:szCs w:val="19"/>
              </w:rPr>
              <w:t xml:space="preserve">Atomic counter in the write transaction</w:t>
            </w:r>
          </w:p>
        </w:tc>
      </w:tr>
    </w:tbl>
    <w:p>
      <w:pPr>
        <w:spacing w:after="60"/>
      </w:pPr>
    </w:p>
    <w:p>
      <w:pPr>
        <w:pStyle w:val="ListParagraph"/>
        <w:numPr>
          <w:ilvl w:val="0"/>
          <w:numId w:val="2"/>
        </w:numPr>
        <w:spacing w:after="60" w:before="0"/>
      </w:pPr>
      <w:r>
        <w:rPr>
          <w:b/>
          <w:bCs/>
        </w:rPr>
        <w:t xml:space="preserve">Stable IDs.</w:t>
      </w:r>
      <w:r>
        <w:t xml:space="preserve"> Selectors resolve to the target's immutable identifiers when a version is accepted, so renaming a workbook or folder can never widen a grant. If a selector's resolution changes, that is a new version (RUN‑03).</w:t>
      </w:r>
    </w:p>
    <w:p>
      <w:pPr>
        <w:pStyle w:val="ListParagraph"/>
        <w:numPr>
          <w:ilvl w:val="0"/>
          <w:numId w:val="2"/>
        </w:numPr>
        <w:spacing w:after="60" w:before="0"/>
      </w:pPr>
      <w:r>
        <w:rPr>
          <w:b/>
          <w:bCs/>
        </w:rPr>
        <w:t xml:space="preserve">Widening.</w:t>
      </w:r>
      <w:r>
        <w:t xml:space="preserve"> </w:t>
      </w:r>
      <w:r>
        <w:rPr>
          <w:rStyle w:val="CodeChar"/>
          <w:sz w:val="20"/>
          <w:szCs w:val="20"/>
        </w:rPr>
        <w:t xml:space="preserve">widens(old, new)</w:t>
      </w:r>
      <w:r>
        <w:t xml:space="preserve"> is a subset check on each element. Any widening needs re-acceptance (RUN‑03, invariant 2).</w:t>
      </w:r>
    </w:p>
    <w:p>
      <w:pPr>
        <w:pStyle w:val="ListParagraph"/>
        <w:numPr>
          <w:ilvl w:val="0"/>
          <w:numId w:val="2"/>
        </w:numPr>
        <w:spacing w:after="60" w:before="0"/>
      </w:pPr>
      <w:r>
        <w:rPr>
          <w:b/>
          <w:bCs/>
        </w:rPr>
        <w:t xml:space="preserve">Typed writes.</w:t>
      </w:r>
      <w:r>
        <w:t xml:space="preserve"> Text written to Excel or SharePoint is escaped so it can't become a formula; </w:t>
      </w:r>
      <w:r>
        <w:rPr>
          <w:rStyle w:val="CodeChar"/>
          <w:sz w:val="20"/>
          <w:szCs w:val="20"/>
        </w:rPr>
        <w:t xml:space="preserve">=WEBSERVICE(…)</w:t>
      </w:r>
      <w:r>
        <w:t xml:space="preserve"> or </w:t>
      </w:r>
      <w:r>
        <w:rPr>
          <w:rStyle w:val="CodeChar"/>
          <w:sz w:val="20"/>
          <w:szCs w:val="20"/>
        </w:rPr>
        <w:t xml:space="preserve">=HYPERLINK(…)</w:t>
      </w:r>
      <w:r>
        <w:t xml:space="preserve"> would send data out. Number fields accept only numbers.</w:t>
      </w:r>
    </w:p>
    <w:p>
      <w:pPr>
        <w:pStyle w:val="ListParagraph"/>
        <w:numPr>
          <w:ilvl w:val="0"/>
          <w:numId w:val="2"/>
        </w:numPr>
        <w:spacing w:after="60" w:before="0"/>
      </w:pPr>
      <w:r>
        <w:rPr>
          <w:b/>
          <w:bCs/>
        </w:rPr>
        <w:t xml:space="preserve">Reply drafts.</w:t>
      </w:r>
      <w:r>
        <w:t xml:space="preserve"> Graph's reply drafts may follow a Reply-To header that the sender controls. The adapter therefore sets </w:t>
      </w:r>
      <w:r>
        <w:rPr>
          <w:rStyle w:val="CodeChar"/>
          <w:sz w:val="20"/>
          <w:szCs w:val="20"/>
        </w:rPr>
        <w:t xml:space="preserve">toRecipients</w:t>
      </w:r>
      <w:r>
        <w:t xml:space="preserve"> explicitly from the authenticated From address, and reads the draft back to verify its recipients before recording success. Spike S3 confirms the behavior.</w:t>
      </w:r>
    </w:p>
    <w:p>
      <w:pPr>
        <w:spacing w:after="0"/>
      </w:pPr>
    </w:p>
    <w:p>
      <w:pPr>
        <w:pStyle w:val="Heading2"/>
        <w:keepNext/>
      </w:pPr>
      <w:r>
        <w:t xml:space="preserve">5.3 Tokens and attribution</w:t>
      </w:r>
    </w:p>
    <w:p>
      <w:pPr>
        <w:pStyle w:val="ListParagraph"/>
        <w:numPr>
          <w:ilvl w:val="0"/>
          <w:numId w:val="2"/>
        </w:numPr>
        <w:spacing w:after="60" w:before="0"/>
      </w:pPr>
      <w:r>
        <w:rPr>
          <w:b/>
          <w:bCs/>
        </w:rPr>
        <w:t xml:space="preserve">Consent (CON‑01, CON‑08).</w:t>
      </w:r>
      <w:r>
        <w:t xml:space="preserve"> Each connector uses OAuth 2.1 authorization code with PKCE, and scopes never exceed the manifest. At consent, the upstream tenant and object IDs (</w:t>
      </w:r>
      <w:r>
        <w:rPr>
          <w:rStyle w:val="CodeChar"/>
          <w:sz w:val="20"/>
          <w:szCs w:val="20"/>
        </w:rPr>
        <w:t xml:space="preserve">tid</w:t>
      </w:r>
      <w:r>
        <w:t xml:space="preserve">, </w:t>
      </w:r>
      <w:r>
        <w:rPr>
          <w:rStyle w:val="CodeChar"/>
          <w:sz w:val="20"/>
          <w:szCs w:val="20"/>
        </w:rPr>
        <w:t xml:space="preserve">oid</w:t>
      </w:r>
      <w:r>
        <w:t xml:space="preserve">) must match the signed-in person's SSO subject, or the connection is rejected; nobody can connect someone else's account.</w:t>
      </w:r>
    </w:p>
    <w:p>
      <w:pPr>
        <w:pStyle w:val="ListParagraph"/>
        <w:numPr>
          <w:ilvl w:val="0"/>
          <w:numId w:val="2"/>
        </w:numPr>
        <w:spacing w:after="60" w:before="0"/>
      </w:pPr>
      <w:r>
        <w:rPr>
          <w:b/>
          <w:bCs/>
        </w:rPr>
        <w:t xml:space="preserve">Sealing (CON‑04).</w:t>
      </w:r>
      <w:r>
        <w:t xml:space="preserve"> Refresh tokens are encrypted with KMS envelope encryption (purpose </w:t>
      </w:r>
      <w:r>
        <w:rPr>
          <w:rStyle w:val="CodeChar"/>
          <w:sz w:val="20"/>
          <w:szCs w:val="20"/>
        </w:rPr>
        <w:t xml:space="preserve">connector-token</w:t>
      </w:r>
      <w:r>
        <w:t xml:space="preserve">, tenant in the encryption context) and stored in the </w:t>
      </w:r>
      <w:r>
        <w:rPr>
          <w:rStyle w:val="CodeChar"/>
          <w:sz w:val="20"/>
          <w:szCs w:val="20"/>
        </w:rPr>
        <w:t xml:space="preserve">vault</w:t>
      </w:r>
      <w:r>
        <w:t xml:space="preserve"> schema. Only the gateway's task role can decrypt them (proposed spec change 1). Access tokens live in memory, are restricted to their audience, and are never logged. DPoP or mTLS binding is added for targets that support it; none of the beta targets does.</w:t>
      </w:r>
    </w:p>
    <w:p>
      <w:pPr>
        <w:pStyle w:val="ListParagraph"/>
        <w:numPr>
          <w:ilvl w:val="0"/>
          <w:numId w:val="2"/>
        </w:numPr>
        <w:spacing w:after="60" w:before="0"/>
      </w:pPr>
      <w:r>
        <w:rPr>
          <w:b/>
          <w:bCs/>
        </w:rPr>
        <w:t xml:space="preserve">Attribution (CON‑07).</w:t>
      </w:r>
      <w:r>
        <w:t xml:space="preserve"> Every call carries </w:t>
      </w:r>
      <w:r>
        <w:rPr>
          <w:rStyle w:val="CodeChar"/>
          <w:sz w:val="20"/>
          <w:szCs w:val="20"/>
        </w:rPr>
        <w:t xml:space="preserve">User-Agent: Collicity/&lt;version&gt; (agent; run=&lt;run-id&gt;)</w:t>
      </w:r>
      <w:r>
        <w:t xml:space="preserve">, the </w:t>
      </w:r>
      <w:r>
        <w:rPr>
          <w:rStyle w:val="CodeChar"/>
          <w:sz w:val="20"/>
          <w:szCs w:val="20"/>
        </w:rPr>
        <w:t xml:space="preserve">act</w:t>
      </w:r>
      <w:r>
        <w:t xml:space="preserve"> claim where the target supports token exchange, and an audit record. Each connector's documentation states what the target's own log will show.</w:t>
      </w:r>
    </w:p>
    <w:p>
      <w:pPr>
        <w:pStyle w:val="ListParagraph"/>
        <w:numPr>
          <w:ilvl w:val="0"/>
          <w:numId w:val="2"/>
        </w:numPr>
        <w:spacing w:after="60" w:before="0"/>
      </w:pPr>
      <w:r>
        <w:rPr>
          <w:b/>
          <w:bCs/>
        </w:rPr>
        <w:t xml:space="preserve">Systems without OAuth (CON‑05)</w:t>
      </w:r>
      <w:r>
        <w:t xml:space="preserve"> are built only if a design partner needs them. Personal credentials are sealed the same way.</w:t>
      </w:r>
    </w:p>
    <w:p>
      <w:pPr>
        <w:spacing w:after="0"/>
      </w:pPr>
    </w:p>
    <w:p>
      <w:pPr>
        <w:pStyle w:val="Heading2"/>
        <w:keepNext/>
      </w:pPr>
      <w:r>
        <w:t xml:space="preserve">5.4 Approvals and compensations</w:t>
      </w:r>
    </w:p>
    <w:p>
      <w:pPr>
        <w:pStyle w:val="ListParagraph"/>
        <w:numPr>
          <w:ilvl w:val="0"/>
          <w:numId w:val="2"/>
        </w:numPr>
        <w:spacing w:after="60" w:before="0"/>
      </w:pPr>
      <w:r>
        <w:rPr>
          <w:b/>
          <w:bCs/>
        </w:rPr>
        <w:t xml:space="preserve">Compensation.</w:t>
      </w:r>
      <w:r>
        <w:t xml:space="preserve"> The approval hash covers the action and its </w:t>
      </w:r>
      <w:r>
        <w:rPr>
          <w:b/>
          <w:bCs/>
        </w:rPr>
        <w:t xml:space="preserve">declared compensation, with exact restore values</w:t>
      </w:r>
      <w:r>
        <w:t xml:space="preserve"> (for example, restore Qty to 10). A compensation therefore runs under the approval that authorized the original action, needs no model, and can't be blocked by budget (proposed spec change 8).</w:t>
      </w:r>
    </w:p>
    <w:p>
      <w:pPr>
        <w:pStyle w:val="ListParagraph"/>
        <w:numPr>
          <w:ilvl w:val="0"/>
          <w:numId w:val="2"/>
        </w:numPr>
        <w:spacing w:after="60" w:before="0"/>
      </w:pPr>
      <w:r>
        <w:rPr>
          <w:b/>
          <w:bCs/>
        </w:rPr>
        <w:t xml:space="preserve">Request states:</w:t>
      </w:r>
      <w:r>
        <w:t xml:space="preserve"> pending, blocked, invalid, accepted, rejected, stale and </w:t>
      </w:r>
      <w:r>
        <w:rPr>
          <w:b/>
          <w:bCs/>
        </w:rPr>
        <w:t xml:space="preserve">expired</w:t>
      </w:r>
      <w:r>
        <w:t xml:space="preserve"> (proposed spec change 7).</w:t>
      </w:r>
    </w:p>
    <w:p>
      <w:pPr>
        <w:pStyle w:val="ListParagraph"/>
        <w:numPr>
          <w:ilvl w:val="0"/>
          <w:numId w:val="2"/>
        </w:numPr>
        <w:spacing w:after="60" w:before="0"/>
      </w:pPr>
      <w:r>
        <w:rPr>
          <w:b/>
          <w:bCs/>
        </w:rPr>
        <w:t xml:space="preserve">Delegates.</w:t>
      </w:r>
      <w:r>
        <w:t xml:space="preserve"> A delegate's approval executes with the queue owner's token. The delegate must pass the item's visibility check, and both people are recorded (proposed spec change 14).</w:t>
      </w:r>
    </w:p>
    <w:p>
      <w:pPr>
        <w:spacing w:after="0"/>
      </w:pPr>
    </w:p>
    <w:p>
      <w:pPr>
        <w:pStyle w:val="Heading2"/>
        <w:keepNext/>
      </w:pPr>
      <w:r>
        <w:t xml:space="preserve">5.5 Beta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5"/>
        <w:gridCol w:w="2468"/>
        <w:gridCol w:w="2455"/>
        <w:gridCol w:w="2292"/>
      </w:tblGrid>
      <w:tr>
        <w:trPr>
          <w:tblHeader/>
        </w:trPr>
        <w:tc>
          <w:tcPr>
            <w:tcW w:type="dxa" w:w="2145"/>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68"/>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455"/>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c>
          <w:tcPr>
            <w:tcW w:type="dxa" w:w="2292"/>
            <w:shd w:fill="F2F2F2" w:color="auto" w:val="clear"/>
            <w:tcMar>
              <w:top w:type="dxa" w:w="60"/>
              <w:left w:type="dxa" w:w="100"/>
              <w:bottom w:type="dxa" w:w="60"/>
              <w:right w:type="dxa" w:w="100"/>
            </w:tcMar>
          </w:tcPr>
          <w:p>
            <w:pPr>
              <w:spacing w:after="0" w:before="0" w:line="252"/>
            </w:pPr>
            <w:r>
              <w:rPr>
                <w:b/>
                <w:bCs/>
                <w:sz w:val="19"/>
                <w:szCs w:val="19"/>
              </w:rPr>
              <w:t xml:space="preserve">Spike S3 confirms</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68"/>
            <w:tcMar>
              <w:top w:type="dxa" w:w="60"/>
              <w:left w:type="dxa" w:w="100"/>
              <w:bottom w:type="dxa" w:w="60"/>
              <w:right w:type="dxa" w:w="100"/>
            </w:tcMar>
          </w:tcPr>
          <w:p>
            <w:pPr>
              <w:spacing w:after="0" w:before="0" w:line="252"/>
            </w:pPr>
            <w:r>
              <w:rPr>
                <w:sz w:val="19"/>
                <w:szCs w:val="19"/>
              </w:rPr>
              <w:t xml:space="preserve">(b) If-Match on the row, else (c) a correlation column</w:t>
            </w:r>
          </w:p>
        </w:tc>
        <w:tc>
          <w:tcPr>
            <w:tcW w:type="dxa" w:w="2455"/>
            <w:tcMar>
              <w:top w:type="dxa" w:w="60"/>
              <w:left w:type="dxa" w:w="100"/>
              <w:bottom w:type="dxa" w:w="60"/>
              <w:right w:type="dxa" w:w="100"/>
            </w:tcMar>
          </w:tcPr>
          <w:p>
            <w:pPr>
              <w:spacing w:after="0" w:before="0" w:line="252"/>
            </w:pPr>
            <w:r>
              <w:rPr>
                <w:sz w:val="19"/>
                <w:szCs w:val="19"/>
              </w:rPr>
              <w:t xml:space="preserve">Compensable: restore prior values</w:t>
            </w:r>
          </w:p>
        </w:tc>
        <w:tc>
          <w:tcPr>
            <w:tcW w:type="dxa" w:w="2292"/>
            <w:tcMar>
              <w:top w:type="dxa" w:w="60"/>
              <w:left w:type="dxa" w:w="100"/>
              <w:bottom w:type="dxa" w:w="60"/>
              <w:right w:type="dxa" w:w="100"/>
            </w:tcMar>
          </w:tcPr>
          <w:p>
            <w:pPr>
              <w:spacing w:after="0" w:before="0" w:line="252"/>
            </w:pPr>
            <w:r>
              <w:rPr>
                <w:sz w:val="19"/>
                <w:szCs w:val="19"/>
              </w:rPr>
              <w:t xml:space="preserve">If-Match support; formula handling</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Create or update a SharePoint list item</w:t>
            </w:r>
          </w:p>
        </w:tc>
        <w:tc>
          <w:tcPr>
            <w:tcW w:type="dxa" w:w="2468"/>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455"/>
            <w:tcMar>
              <w:top w:type="dxa" w:w="60"/>
              <w:left w:type="dxa" w:w="100"/>
              <w:bottom w:type="dxa" w:w="60"/>
              <w:right w:type="dxa" w:w="100"/>
            </w:tcMar>
          </w:tcPr>
          <w:p>
            <w:pPr>
              <w:spacing w:after="0" w:before="0" w:line="252"/>
            </w:pPr>
            <w:r>
              <w:rPr>
                <w:sz w:val="19"/>
                <w:szCs w:val="19"/>
              </w:rPr>
              <w:t xml:space="preserve">Compensable: delete or restore</w:t>
            </w:r>
          </w:p>
        </w:tc>
        <w:tc>
          <w:tcPr>
            <w:tcW w:type="dxa" w:w="2292"/>
            <w:tcMar>
              <w:top w:type="dxa" w:w="60"/>
              <w:left w:type="dxa" w:w="100"/>
              <w:bottom w:type="dxa" w:w="60"/>
              <w:right w:type="dxa" w:w="100"/>
            </w:tcMar>
          </w:tcPr>
          <w:p>
            <w:pPr>
              <w:spacing w:after="0" w:before="0" w:line="252"/>
            </w:pPr>
            <w:r>
              <w:rPr>
                <w:sz w:val="19"/>
                <w:szCs w:val="19"/>
              </w:rPr>
              <w:t xml:space="preserve">ETag support; read-after-write lag</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Create or update a ticket in the partner system</w:t>
            </w:r>
          </w:p>
        </w:tc>
        <w:tc>
          <w:tcPr>
            <w:tcW w:type="dxa" w:w="2468"/>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455"/>
            <w:tcMar>
              <w:top w:type="dxa" w:w="60"/>
              <w:left w:type="dxa" w:w="100"/>
              <w:bottom w:type="dxa" w:w="60"/>
              <w:right w:type="dxa" w:w="100"/>
            </w:tcMar>
          </w:tcPr>
          <w:p>
            <w:pPr>
              <w:spacing w:after="0" w:before="0" w:line="252"/>
            </w:pPr>
            <w:r>
              <w:rPr>
                <w:sz w:val="19"/>
                <w:szCs w:val="19"/>
              </w:rPr>
              <w:t xml:space="preserve">Compensable: close as created in error, or restore fields</w:t>
            </w:r>
          </w:p>
        </w:tc>
        <w:tc>
          <w:tcPr>
            <w:tcW w:type="dxa" w:w="2292"/>
            <w:tcMar>
              <w:top w:type="dxa" w:w="60"/>
              <w:left w:type="dxa" w:w="100"/>
              <w:bottom w:type="dxa" w:w="60"/>
              <w:right w:type="dxa" w:w="100"/>
            </w:tcMar>
          </w:tcPr>
          <w:p>
            <w:pPr>
              <w:spacing w:after="0" w:before="0" w:line="252"/>
            </w:pPr>
            <w:r>
              <w:rPr>
                <w:sz w:val="19"/>
                <w:szCs w:val="19"/>
              </w:rPr>
              <w:t xml:space="preserve">Idempotency support</w:t>
            </w:r>
          </w:p>
        </w:tc>
      </w:tr>
      <w:tr>
        <w:trPr>
          <w:tblHeader w:val="off"/>
        </w:trPr>
        <w:tc>
          <w:tcPr>
            <w:tcW w:type="dxa" w:w="2145"/>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68"/>
            <w:tcMar>
              <w:top w:type="dxa" w:w="60"/>
              <w:left w:type="dxa" w:w="100"/>
              <w:bottom w:type="dxa" w:w="60"/>
              <w:right w:type="dxa" w:w="100"/>
            </w:tcMar>
          </w:tcPr>
          <w:p>
            <w:pPr>
              <w:spacing w:after="0" w:before="0" w:line="252"/>
            </w:pPr>
            <w:r>
              <w:rPr>
                <w:sz w:val="19"/>
                <w:szCs w:val="19"/>
              </w:rPr>
              <w:t xml:space="preserve">(c) a correlation ID in an extended property</w:t>
            </w:r>
          </w:p>
        </w:tc>
        <w:tc>
          <w:tcPr>
            <w:tcW w:type="dxa" w:w="2455"/>
            <w:tcMar>
              <w:top w:type="dxa" w:w="60"/>
              <w:left w:type="dxa" w:w="100"/>
              <w:bottom w:type="dxa" w:w="60"/>
              <w:right w:type="dxa" w:w="100"/>
            </w:tcMar>
          </w:tcPr>
          <w:p>
            <w:pPr>
              <w:spacing w:after="0" w:before="0" w:line="252"/>
            </w:pPr>
            <w:r>
              <w:rPr>
                <w:sz w:val="19"/>
                <w:szCs w:val="19"/>
              </w:rPr>
              <w:t xml:space="preserve">Compensable: delete the draft</w:t>
            </w:r>
          </w:p>
        </w:tc>
        <w:tc>
          <w:tcPr>
            <w:tcW w:type="dxa" w:w="2292"/>
            <w:tcMar>
              <w:top w:type="dxa" w:w="60"/>
              <w:left w:type="dxa" w:w="100"/>
              <w:bottom w:type="dxa" w:w="60"/>
              <w:right w:type="dxa" w:w="100"/>
            </w:tcMar>
          </w:tcPr>
          <w:p>
            <w:pPr>
              <w:spacing w:after="0" w:before="0" w:line="252"/>
            </w:pPr>
            <w:r>
              <w:rPr>
                <w:sz w:val="19"/>
                <w:szCs w:val="19"/>
              </w:rPr>
              <w:t xml:space="preserve">Filtering on the extended property; Reply-To behavior</w:t>
            </w:r>
          </w:p>
        </w:tc>
      </w:tr>
    </w:tbl>
    <w:p>
      <w:pPr>
        <w:spacing w:after="60"/>
      </w:pPr>
    </w:p>
    <w:p>
      <w:pPr>
        <w:pStyle w:val="Heading2"/>
        <w:keepNext/>
      </w:pPr>
      <w:r>
        <w:t xml:space="preserve">5.6 Deprovisioning (CON‑06)</w:t>
      </w:r>
    </w:p>
    <w:p>
      <w:pPr>
        <w:pStyle w:val="ListParagraph"/>
        <w:numPr>
          <w:ilvl w:val="0"/>
          <w:numId w:val="9"/>
        </w:numPr>
        <w:spacing w:after="60" w:before="0"/>
      </w:pPr>
      <w:r>
        <w:t xml:space="preserve">A WorkOS directory event, or an admin suspension, commits one transaction:</w:t>
      </w:r>
    </w:p>
    <w:p>
      <w:pPr>
        <w:pStyle w:val="ListParagraph"/>
        <w:numPr>
          <w:ilvl w:val="1"/>
          <w:numId w:val="2"/>
        </w:numPr>
        <w:spacing w:after="60" w:before="0"/>
      </w:pPr>
      <w:r>
        <w:t xml:space="preserve">the person is suspended and their epoch bumped;</w:t>
      </w:r>
    </w:p>
    <w:p>
      <w:pPr>
        <w:pStyle w:val="ListParagraph"/>
        <w:numPr>
          <w:ilvl w:val="1"/>
          <w:numId w:val="2"/>
        </w:numPr>
        <w:spacing w:after="60" w:before="0"/>
      </w:pPr>
      <w:r>
        <w:t xml:space="preserve">their grants and connections are revoked;</w:t>
      </w:r>
    </w:p>
    <w:p>
      <w:pPr>
        <w:pStyle w:val="ListParagraph"/>
        <w:numPr>
          <w:ilvl w:val="1"/>
          <w:numId w:val="2"/>
        </w:numPr>
        <w:spacing w:after="60" w:before="0"/>
      </w:pPr>
      <w:r>
        <w:t xml:space="preserve">their runs are paused or routed down RUN‑06.</w:t>
      </w:r>
    </w:p>
    <w:p>
      <w:pPr>
        <w:pStyle w:val="ListParagraph"/>
        <w:numPr>
          <w:ilvl w:val="0"/>
          <w:numId w:val="9"/>
        </w:numPr>
        <w:spacing w:after="60" w:before="0"/>
      </w:pPr>
      <w:r>
        <w:t xml:space="preserve">Through the outbox, the gateway then destroys their sealed tokens and cancels live segments.</w:t>
      </w:r>
    </w:p>
    <w:p>
      <w:pPr>
        <w:pStyle w:val="ListParagraph"/>
        <w:numPr>
          <w:ilvl w:val="0"/>
          <w:numId w:val="9"/>
        </w:numPr>
        <w:spacing w:after="60" w:before="0"/>
      </w:pPr>
      <w:r>
        <w:t xml:space="preserve">The gateway refuses their calls within seconds of the signal.</w:t>
      </w:r>
    </w:p>
    <w:p>
      <w:pPr>
        <w:spacing w:after="0"/>
      </w:pPr>
    </w:p>
    <w:p>
      <w:r>
        <w:t xml:space="preserve">Measured from the identity provider, 60 seconds is out of reach through SCIM alone. Microsoft Entra provisions on a cycle of about 40 minutes, and CAE critical events can take up to 15 minutes to propagate. The design therefore:</w:t>
      </w:r>
    </w:p>
    <w:p>
      <w:pPr>
        <w:pStyle w:val="ListParagraph"/>
        <w:numPr>
          <w:ilvl w:val="0"/>
          <w:numId w:val="2"/>
        </w:numPr>
        <w:spacing w:after="60" w:before="0"/>
      </w:pPr>
      <w:r>
        <w:t xml:space="preserve">measures from receipt of the signal;</w:t>
      </w:r>
    </w:p>
    <w:p>
      <w:pPr>
        <w:pStyle w:val="ListParagraph"/>
        <w:numPr>
          <w:ilvl w:val="0"/>
          <w:numId w:val="2"/>
        </w:numPr>
        <w:spacing w:after="60" w:before="0"/>
      </w:pPr>
      <w:r>
        <w:t xml:space="preserve">uses CAE, so Graph rejects a disabled user's tokens;</w:t>
      </w:r>
    </w:p>
    <w:p>
      <w:pPr>
        <w:pStyle w:val="ListParagraph"/>
        <w:numPr>
          <w:ilvl w:val="0"/>
          <w:numId w:val="2"/>
        </w:numPr>
        <w:spacing w:after="60" w:before="0"/>
      </w:pPr>
      <w:r>
        <w:t xml:space="preserve">can add admin-consented polling of Graph's user delta where a tenant needs the tighter bound (proposed spec change 3).</w:t>
      </w:r>
    </w:p>
    <w:p>
      <w:pPr>
        <w:spacing w:after="0"/>
      </w:pPr>
    </w:p>
    <w:p>
      <w:pPr>
        <w:pStyle w:val="Heading1"/>
        <w:keepNext/>
      </w:pPr>
      <w:r>
        <w:t xml:space="preserve">6. Budgets and ledger</w:t>
      </w:r>
    </w:p>
    <w:p>
      <w:r>
        <w:t xml:space="preserve">Every billable operation reserves its worst case before it starts, against every applicable account in one transaction. The reservation then settles to the actual cost.</w:t>
      </w:r>
    </w:p>
    <w:p>
      <w:pPr>
        <w:pStyle w:val="Heading2"/>
        <w:keepNext/>
      </w:pPr>
      <w:r>
        <w:t xml:space="preserve">6.1 Accounts</w:t>
      </w:r>
    </w:p>
    <w:p>
      <w:pPr>
        <w:pStyle w:val="ListParagraph"/>
        <w:numPr>
          <w:ilvl w:val="0"/>
          <w:numId w:val="2"/>
        </w:numPr>
        <w:spacing w:after="60" w:before="0"/>
      </w:pPr>
      <w:r>
        <w:rPr>
          <w:b/>
          <w:bCs/>
        </w:rPr>
        <w:t xml:space="preserve">Accounts:</w:t>
      </w:r>
    </w:p>
    <w:p>
      <w:pPr>
        <w:pStyle w:val="ListParagraph"/>
        <w:numPr>
          <w:ilvl w:val="1"/>
          <w:numId w:val="2"/>
        </w:numPr>
        <w:spacing w:after="60" w:before="0"/>
      </w:pPr>
      <w:r>
        <w:t xml:space="preserve">organization, user and assignment, per period (BUD‑01; BUD‑06 without groups in the beta);</w:t>
      </w:r>
    </w:p>
    <w:p>
      <w:pPr>
        <w:pStyle w:val="ListParagraph"/>
        <w:numPr>
          <w:ilvl w:val="1"/>
          <w:numId w:val="2"/>
        </w:numPr>
        <w:spacing w:after="60" w:before="0"/>
      </w:pPr>
      <w:r>
        <w:t xml:space="preserve">the run itself, for the per-run cap;</w:t>
      </w:r>
    </w:p>
    <w:p>
      <w:pPr>
        <w:pStyle w:val="ListParagraph"/>
        <w:numPr>
          <w:ilvl w:val="1"/>
          <w:numId w:val="2"/>
        </w:numPr>
        <w:spacing w:after="60" w:before="0"/>
      </w:pPr>
      <w:r>
        <w:t xml:space="preserve">a </w:t>
      </w:r>
      <w:r>
        <w:rPr>
          <w:b/>
          <w:bCs/>
        </w:rPr>
        <w:t xml:space="preserve">user workspace account</w:t>
      </w:r>
      <w:r>
        <w:t xml:space="preserve"> for spending outside runs: Q&amp;A (QA‑01–03), "Write this for me" (ASG‑02) and dry runs (ASG‑05) (proposed spec change 4).</w:t>
      </w:r>
    </w:p>
    <w:p>
      <w:pPr>
        <w:pStyle w:val="ListParagraph"/>
        <w:numPr>
          <w:ilvl w:val="0"/>
          <w:numId w:val="2"/>
        </w:numPr>
        <w:spacing w:after="60" w:before="0"/>
      </w:pPr>
      <w:r>
        <w:rPr>
          <w:b/>
          <w:bCs/>
        </w:rPr>
        <w:t xml:space="preserve">Money</w:t>
      </w:r>
      <w:r>
        <w:t xml:space="preserve"> is stored as integer micro-USD, and each reservation records its price-catalog version (BUD‑08).</w:t>
      </w:r>
    </w:p>
    <w:p>
      <w:pPr>
        <w:pStyle w:val="ListParagraph"/>
        <w:numPr>
          <w:ilvl w:val="0"/>
          <w:numId w:val="2"/>
        </w:numPr>
        <w:spacing w:after="60" w:before="0"/>
      </w:pPr>
      <w:r>
        <w:rPr>
          <w:b/>
          <w:bCs/>
        </w:rPr>
        <w:t xml:space="preserve">Lock order.</w:t>
      </w:r>
      <w:r>
        <w:t xml:space="preserve"> Rows are always locked in the same rank order: organization, group (GA), user, assignment, run.</w:t>
      </w:r>
    </w:p>
    <w:p>
      <w:pPr>
        <w:spacing w:after="0"/>
      </w:pPr>
    </w:p>
    <w:p>
      <w:pPr>
        <w:pStyle w:val="Heading2"/>
        <w:keepNext/>
      </w:pPr>
      <w:r>
        <w:t xml:space="preserve">6.2 Reserve, start, settle, expire</w:t>
      </w:r>
    </w:p>
    <w:p>
      <w:r>
        <w:rPr>
          <w:rStyle w:val="CodeChar"/>
          <w:sz w:val="20"/>
          <w:szCs w:val="20"/>
        </w:rPr>
        <w:t xml:space="preserve">reserve()</w:t>
      </w:r>
      <w:r>
        <w:t xml:space="preserve"> is one PL/pgSQL call:</w:t>
      </w:r>
    </w:p>
    <w:p>
      <w:pPr>
        <w:pStyle w:val="Code"/>
        <w:spacing w:after="0" w:before="60"/>
      </w:pPr>
      <w:r>
        <w:t xml:space="preserve">SELECT id FROM ledger_account WHERE id = ANY($accounts)</w:t>
      </w:r>
    </w:p>
    <w:p>
      <w:pPr>
        <w:pStyle w:val="Code"/>
        <w:spacing w:after="0" w:before="0"/>
      </w:pPr>
      <w:r>
        <w:t xml:space="preserve">  ORDER BY lock_rank, id FOR UPDATE;</w:t>
      </w:r>
    </w:p>
    <w:p>
      <w:pPr>
        <w:pStyle w:val="Code"/>
        <w:spacing w:after="0" w:before="0"/>
      </w:pPr>
      <w:r>
        <w:t xml:space="preserve">-- if any account has spent + reserved + $amount &gt; limit:</w:t>
      </w:r>
    </w:p>
    <w:p>
      <w:pPr>
        <w:pStyle w:val="Code"/>
        <w:spacing w:after="0" w:before="0"/>
      </w:pPr>
      <w:r>
        <w:t xml:space="preserve">--   return that account (BUD-04 routes the request to its owner) and reserve nothing</w:t>
      </w:r>
    </w:p>
    <w:p>
      <w:pPr>
        <w:pStyle w:val="Code"/>
        <w:spacing w:after="0" w:before="0"/>
      </w:pPr>
      <w:r>
        <w:t xml:space="preserve">UPDATE ledger_account SET reserved = reserved + $amount WHERE id = ANY($accounts);</w:t>
      </w:r>
    </w:p>
    <w:p>
      <w:pPr>
        <w:pStyle w:val="Code"/>
        <w:spacing w:after="0" w:before="0"/>
      </w:pPr>
      <w:r>
        <w:t xml:space="preserve">INSERT INTO reservation (..., state =&gt; 'active', expires_at);</w:t>
      </w:r>
    </w:p>
    <w:p>
      <w:pPr>
        <w:pStyle w:val="Code"/>
        <w:spacing w:after="160" w:before="0"/>
      </w:pPr>
      <w:r>
        <w:t xml:space="preserve">INSERT INTO ledger_entry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5"/>
        <w:gridCol w:w="3392"/>
        <w:gridCol w:w="4543"/>
      </w:tblGrid>
      <w:tr>
        <w:trPr>
          <w:tblHeader/>
        </w:trPr>
        <w:tc>
          <w:tcPr>
            <w:tcW w:type="dxa" w:w="1425"/>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3392"/>
            <w:shd w:fill="F2F2F2" w:color="auto" w:val="clear"/>
            <w:tcMar>
              <w:top w:type="dxa" w:w="60"/>
              <w:left w:type="dxa" w:w="100"/>
              <w:bottom w:type="dxa" w:w="60"/>
              <w:right w:type="dxa" w:w="100"/>
            </w:tcMar>
          </w:tcPr>
          <w:p>
            <w:pPr>
              <w:spacing w:after="0" w:before="0" w:line="252"/>
            </w:pPr>
            <w:r>
              <w:rPr>
                <w:b/>
                <w:bCs/>
                <w:sz w:val="19"/>
                <w:szCs w:val="19"/>
              </w:rPr>
              <w:t xml:space="preserve">Meaning</w:t>
            </w:r>
          </w:p>
        </w:tc>
        <w:tc>
          <w:tcPr>
            <w:tcW w:type="dxa" w:w="4543"/>
            <w:shd w:fill="F2F2F2" w:color="auto" w:val="clear"/>
            <w:tcMar>
              <w:top w:type="dxa" w:w="60"/>
              <w:left w:type="dxa" w:w="100"/>
              <w:bottom w:type="dxa" w:w="60"/>
              <w:right w:type="dxa" w:w="100"/>
            </w:tcMar>
          </w:tcPr>
          <w:p>
            <w:pPr>
              <w:spacing w:after="0" w:before="0" w:line="252"/>
            </w:pPr>
            <w:r>
              <w:rPr>
                <w:b/>
                <w:bCs/>
                <w:sz w:val="19"/>
                <w:szCs w:val="19"/>
              </w:rPr>
              <w:t xml:space="preserve">On expiry</w:t>
            </w:r>
          </w:p>
        </w:tc>
      </w:tr>
      <w:tr>
        <w:trPr>
          <w:tblHeader w:val="off"/>
        </w:trPr>
        <w:tc>
          <w:tcPr>
            <w:tcW w:type="dxa" w:w="1425"/>
            <w:tcMar>
              <w:top w:type="dxa" w:w="60"/>
              <w:left w:type="dxa" w:w="100"/>
              <w:bottom w:type="dxa" w:w="60"/>
              <w:right w:type="dxa" w:w="100"/>
            </w:tcMar>
          </w:tcPr>
          <w:p>
            <w:pPr>
              <w:spacing w:after="0" w:before="0" w:line="252"/>
            </w:pPr>
            <w:r>
              <w:rPr>
                <w:sz w:val="19"/>
                <w:szCs w:val="19"/>
              </w:rPr>
              <w:t xml:space="preserve">active</w:t>
            </w:r>
          </w:p>
        </w:tc>
        <w:tc>
          <w:tcPr>
            <w:tcW w:type="dxa" w:w="3392"/>
            <w:tcMar>
              <w:top w:type="dxa" w:w="60"/>
              <w:left w:type="dxa" w:w="100"/>
              <w:bottom w:type="dxa" w:w="60"/>
              <w:right w:type="dxa" w:w="100"/>
            </w:tcMar>
          </w:tcPr>
          <w:p>
            <w:pPr>
              <w:spacing w:after="0" w:before="0" w:line="252"/>
            </w:pPr>
            <w:r>
              <w:rPr>
                <w:sz w:val="19"/>
                <w:szCs w:val="19"/>
              </w:rPr>
              <w:t xml:space="preserve">Reserved, not yet dispatched</w:t>
            </w:r>
          </w:p>
        </w:tc>
        <w:tc>
          <w:tcPr>
            <w:tcW w:type="dxa" w:w="4543"/>
            <w:tcMar>
              <w:top w:type="dxa" w:w="60"/>
              <w:left w:type="dxa" w:w="100"/>
              <w:bottom w:type="dxa" w:w="60"/>
              <w:right w:type="dxa" w:w="100"/>
            </w:tcMar>
          </w:tcPr>
          <w:p>
            <w:pPr>
              <w:spacing w:after="0" w:before="0" w:line="252"/>
            </w:pPr>
            <w:r>
              <w:rPr>
                <w:sz w:val="19"/>
                <w:szCs w:val="19"/>
              </w:rPr>
              <w:t xml:space="preserve">Released</w:t>
            </w:r>
          </w:p>
        </w:tc>
      </w:tr>
      <w:tr>
        <w:trPr>
          <w:tblHeader w:val="off"/>
        </w:trPr>
        <w:tc>
          <w:tcPr>
            <w:tcW w:type="dxa" w:w="1425"/>
            <w:tcMar>
              <w:top w:type="dxa" w:w="60"/>
              <w:left w:type="dxa" w:w="100"/>
              <w:bottom w:type="dxa" w:w="60"/>
              <w:right w:type="dxa" w:w="100"/>
            </w:tcMar>
          </w:tcPr>
          <w:p>
            <w:pPr>
              <w:spacing w:after="0" w:before="0" w:line="252"/>
            </w:pPr>
            <w:r>
              <w:rPr>
                <w:sz w:val="19"/>
                <w:szCs w:val="19"/>
              </w:rPr>
              <w:t xml:space="preserve">started</w:t>
            </w:r>
          </w:p>
        </w:tc>
        <w:tc>
          <w:tcPr>
            <w:tcW w:type="dxa" w:w="3392"/>
            <w:tcMar>
              <w:top w:type="dxa" w:w="60"/>
              <w:left w:type="dxa" w:w="100"/>
              <w:bottom w:type="dxa" w:w="60"/>
              <w:right w:type="dxa" w:w="100"/>
            </w:tcMar>
          </w:tcPr>
          <w:p>
            <w:pPr>
              <w:spacing w:after="0" w:before="0" w:line="252"/>
            </w:pPr>
            <w:r>
              <w:rPr>
                <w:sz w:val="19"/>
                <w:szCs w:val="19"/>
              </w:rPr>
              <w:t xml:space="preserve">The gateway is about to dispatch, or has</w:t>
            </w:r>
          </w:p>
        </w:tc>
        <w:tc>
          <w:tcPr>
            <w:tcW w:type="dxa" w:w="4543"/>
            <w:tcMar>
              <w:top w:type="dxa" w:w="60"/>
              <w:left w:type="dxa" w:w="100"/>
              <w:bottom w:type="dxa" w:w="60"/>
              <w:right w:type="dxa" w:w="100"/>
            </w:tcMar>
          </w:tcPr>
          <w:p>
            <w:pPr>
              <w:spacing w:after="0" w:before="0" w:line="252"/>
            </w:pPr>
            <w:r>
              <w:rPr>
                <w:sz w:val="19"/>
                <w:szCs w:val="19"/>
              </w:rPr>
              <w:t xml:space="preserve">Charged in full, then reconciled against provider usage (proposed spec change 2)</w:t>
            </w:r>
          </w:p>
        </w:tc>
      </w:tr>
      <w:tr>
        <w:trPr>
          <w:tblHeader w:val="off"/>
        </w:trPr>
        <w:tc>
          <w:tcPr>
            <w:tcW w:type="dxa" w:w="1425"/>
            <w:tcMar>
              <w:top w:type="dxa" w:w="60"/>
              <w:left w:type="dxa" w:w="100"/>
              <w:bottom w:type="dxa" w:w="60"/>
              <w:right w:type="dxa" w:w="100"/>
            </w:tcMar>
          </w:tcPr>
          <w:p>
            <w:pPr>
              <w:spacing w:after="0" w:before="0" w:line="252"/>
            </w:pPr>
            <w:r>
              <w:rPr>
                <w:sz w:val="19"/>
                <w:szCs w:val="19"/>
              </w:rPr>
              <w:t xml:space="preserve">settled</w:t>
            </w:r>
          </w:p>
        </w:tc>
        <w:tc>
          <w:tcPr>
            <w:tcW w:type="dxa" w:w="3392"/>
            <w:tcMar>
              <w:top w:type="dxa" w:w="60"/>
              <w:left w:type="dxa" w:w="100"/>
              <w:bottom w:type="dxa" w:w="60"/>
              <w:right w:type="dxa" w:w="100"/>
            </w:tcMar>
          </w:tcPr>
          <w:p>
            <w:pPr>
              <w:spacing w:after="0" w:before="0" w:line="252"/>
            </w:pPr>
            <w:r>
              <w:rPr>
                <w:sz w:val="19"/>
                <w:szCs w:val="19"/>
              </w:rPr>
              <w:t xml:space="preserve">Actual cost recorded</w:t>
            </w:r>
          </w:p>
        </w:tc>
        <w:tc>
          <w:tcPr>
            <w:tcW w:type="dxa" w:w="4543"/>
            <w:tcMar>
              <w:top w:type="dxa" w:w="60"/>
              <w:left w:type="dxa" w:w="100"/>
              <w:bottom w:type="dxa" w:w="60"/>
              <w:right w:type="dxa" w:w="100"/>
            </w:tcMar>
          </w:tcPr>
          <w:p>
            <w:pPr>
              <w:spacing w:after="0" w:before="0" w:line="252"/>
            </w:pPr>
            <w:r>
              <w:rPr>
                <w:sz w:val="19"/>
                <w:szCs w:val="19"/>
              </w:rPr>
              <w:t xml:space="preserve">—</w:t>
            </w:r>
          </w:p>
        </w:tc>
      </w:tr>
    </w:tbl>
    <w:p>
      <w:pPr>
        <w:spacing w:after="60"/>
      </w:pPr>
    </w:p>
    <w:p>
      <w:pPr>
        <w:pStyle w:val="ListParagraph"/>
        <w:numPr>
          <w:ilvl w:val="0"/>
          <w:numId w:val="2"/>
        </w:numPr>
        <w:spacing w:after="60" w:before="0"/>
      </w:pPr>
      <w:r>
        <w:rPr>
          <w:b/>
          <w:bCs/>
        </w:rPr>
        <w:t xml:space="preserve">Overruns.</w:t>
      </w:r>
      <w:r>
        <w:t xml:space="preserve"> An actual cost above its reservation is a guardrail event, because it means the cost model is wrong.</w:t>
      </w:r>
    </w:p>
    <w:p>
      <w:pPr>
        <w:pStyle w:val="ListParagraph"/>
        <w:numPr>
          <w:ilvl w:val="0"/>
          <w:numId w:val="2"/>
        </w:numPr>
        <w:spacing w:after="60" w:before="0"/>
      </w:pPr>
      <w:r>
        <w:rPr>
          <w:b/>
          <w:bCs/>
        </w:rPr>
        <w:t xml:space="preserve">Batch reservations</w:t>
      </w:r>
      <w:r>
        <w:t xml:space="preserve"> last at least 24 hours.</w:t>
      </w:r>
    </w:p>
    <w:p>
      <w:pPr>
        <w:pStyle w:val="ListParagraph"/>
        <w:numPr>
          <w:ilvl w:val="0"/>
          <w:numId w:val="2"/>
        </w:numPr>
        <w:spacing w:after="60" w:before="0"/>
      </w:pPr>
      <w:r>
        <w:rPr>
          <w:b/>
          <w:bCs/>
        </w:rPr>
        <w:t xml:space="preserve">Worked example.</w:t>
      </w:r>
      <w:r>
        <w:t xml:space="preserve"> Sonnet 5.5 with 10,000 input tokens, 8,000 of them written to a 5-minute cache, and </w:t>
      </w:r>
      <w:r>
        <w:rPr>
          <w:rStyle w:val="CodeChar"/>
          <w:sz w:val="20"/>
          <w:szCs w:val="20"/>
        </w:rPr>
        <w:t xml:space="preserve">max_tokens</w:t>
      </w:r>
      <w:r>
        <w:t xml:space="preserve"> of 2,000: $0.020 input + $0.004 cache-write premium + $0.020 output = </w:t>
      </w:r>
      <w:r>
        <w:rPr>
          <w:b/>
          <w:bCs/>
        </w:rPr>
        <w:t xml:space="preserve">$0.044</w:t>
      </w:r>
      <w:r>
        <w:t xml:space="preserve"> reserved.</w:t>
      </w:r>
    </w:p>
    <w:p>
      <w:pPr>
        <w:pStyle w:val="ListParagraph"/>
        <w:numPr>
          <w:ilvl w:val="0"/>
          <w:numId w:val="2"/>
        </w:numPr>
        <w:spacing w:after="60" w:before="0"/>
      </w:pPr>
      <w:r>
        <w:rPr>
          <w:b/>
          <w:bCs/>
        </w:rPr>
        <w:t xml:space="preserve">Compute</w:t>
      </w:r>
      <w:r>
        <w:t xml:space="preserve"> reserves its maximum duration × rate, and the Lambda timeout is the hard stop.</w:t>
      </w:r>
    </w:p>
    <w:p>
      <w:pPr>
        <w:pStyle w:val="ListParagraph"/>
        <w:numPr>
          <w:ilvl w:val="0"/>
          <w:numId w:val="2"/>
        </w:numPr>
        <w:spacing w:after="60" w:before="0"/>
      </w:pPr>
      <w:r>
        <w:rPr>
          <w:b/>
          <w:bCs/>
        </w:rPr>
        <w:t xml:space="preserve">Estimates (BUD‑02).</w:t>
      </w:r>
    </w:p>
    <w:p>
      <w:pPr>
        <w:pStyle w:val="ListParagraph"/>
        <w:numPr>
          <w:ilvl w:val="1"/>
          <w:numId w:val="2"/>
        </w:numPr>
        <w:spacing w:after="60" w:before="0"/>
      </w:pPr>
      <w:r>
        <w:t xml:space="preserve">The first estimates come from dry-run actuals, then from trailing medians per task and model.</w:t>
      </w:r>
    </w:p>
    <w:p>
      <w:pPr>
        <w:pStyle w:val="ListParagraph"/>
        <w:numPr>
          <w:ilvl w:val="1"/>
          <w:numId w:val="2"/>
        </w:numPr>
        <w:spacing w:after="60" w:before="0"/>
      </w:pPr>
      <w:r>
        <w:t xml:space="preserve">Each task's </w:t>
      </w:r>
      <w:r>
        <w:rPr>
          <w:rStyle w:val="CodeChar"/>
          <w:sz w:val="20"/>
          <w:szCs w:val="20"/>
        </w:rPr>
        <w:t xml:space="preserve">max_tokens</w:t>
      </w:r>
      <w:r>
        <w:t xml:space="preserve"> is set from its 99th-percentile output, so worst-case reservations don't pause runs needlessly near a limit.</w:t>
      </w:r>
    </w:p>
    <w:p>
      <w:pPr>
        <w:pStyle w:val="ListParagraph"/>
        <w:numPr>
          <w:ilvl w:val="1"/>
          <w:numId w:val="2"/>
        </w:numPr>
        <w:spacing w:after="60" w:before="0"/>
      </w:pPr>
      <w:r>
        <w:t xml:space="preserve">Gate 1 needs 80% of runs within ±25% of their estimate.</w:t>
      </w:r>
    </w:p>
    <w:p>
      <w:pPr>
        <w:spacing w:after="0"/>
      </w:pPr>
    </w:p>
    <w:p>
      <w:pPr>
        <w:pStyle w:val="Heading2"/>
        <w:keepNext/>
      </w:pPr>
      <w:r>
        <w:t xml:space="preserve">6.3 Authorization and alerts</w:t>
      </w:r>
    </w:p>
    <w:p>
      <w:pPr>
        <w:pStyle w:val="ListParagraph"/>
        <w:numPr>
          <w:ilvl w:val="0"/>
          <w:numId w:val="2"/>
        </w:numPr>
        <w:spacing w:after="60" w:before="0"/>
      </w:pPr>
      <w:r>
        <w:rPr>
          <w:b/>
          <w:bCs/>
        </w:rPr>
        <w:t xml:space="preserve">Paused runs (BUD‑04).</w:t>
      </w:r>
      <w:r>
        <w:t xml:space="preserve"> A paused run shows what was spent, what remains, the blocking account and the estimate to finish. Only that account's controller can raise it, either once or permanently. Each raise is recorded as a </w:t>
      </w:r>
      <w:r>
        <w:rPr>
          <w:rStyle w:val="CodeChar"/>
          <w:sz w:val="20"/>
          <w:szCs w:val="20"/>
        </w:rPr>
        <w:t xml:space="preserve">limit_change</w:t>
      </w:r>
      <w:r>
        <w:t xml:space="preserve"> row and audited; nothing increases automatically.</w:t>
      </w:r>
    </w:p>
    <w:p>
      <w:pPr>
        <w:pStyle w:val="ListParagraph"/>
        <w:numPr>
          <w:ilvl w:val="0"/>
          <w:numId w:val="2"/>
        </w:numPr>
        <w:spacing w:after="60" w:before="0"/>
      </w:pPr>
      <w:r>
        <w:rPr>
          <w:b/>
          <w:bCs/>
        </w:rPr>
        <w:t xml:space="preserve">Alerts (BUD‑05).</w:t>
      </w:r>
      <w:r>
        <w:t xml:space="preserve"> Thresholds fire once per period per account, in-app and by email in the beta. Defaults: notify at 50%, 80% and 95%; pause at 100%.</w:t>
      </w:r>
    </w:p>
    <w:p>
      <w:pPr>
        <w:pStyle w:val="ListParagraph"/>
        <w:numPr>
          <w:ilvl w:val="0"/>
          <w:numId w:val="2"/>
        </w:numPr>
        <w:spacing w:after="60" w:before="0"/>
      </w:pPr>
      <w:r>
        <w:rPr>
          <w:b/>
          <w:bCs/>
        </w:rPr>
        <w:t xml:space="preserve">Scale path.</w:t>
      </w:r>
      <w:r>
        <w:t xml:space="preserve"> One reservation holds its row locks for well under a millisecond, which is enough for hundreds of reservations a second on one organization row; spike S5 measures it. If contention appears: pre-allocated budget chunks per user, or TigerBeetle behind the same interface.</w:t>
      </w:r>
    </w:p>
    <w:p>
      <w:pPr>
        <w:spacing w:after="0"/>
      </w:pPr>
    </w:p>
    <w:p>
      <w:pPr>
        <w:pStyle w:val="Heading1"/>
        <w:keepNext/>
      </w:pPr>
      <w:r>
        <w:t xml:space="preserve">7. Models: router, supervisor, inventory</w:t>
      </w:r>
    </w:p>
    <w:p>
      <w:r>
        <w:t xml:space="preserve">The router starts every task type on a curated default and moves to cheaper models only as verified evidence accumulates. Every check writes evidence, and the evaluation set measures what the checks miss.</w:t>
      </w:r>
    </w:p>
    <w:p>
      <w:pPr>
        <w:pStyle w:val="Heading2"/>
        <w:keepNext/>
      </w:pPr>
      <w:r>
        <w:t xml:space="preserve">7.1 Router</w:t>
      </w:r>
    </w:p>
    <w:p>
      <w:pPr>
        <w:pStyle w:val="ListParagraph"/>
        <w:numPr>
          <w:ilvl w:val="0"/>
          <w:numId w:val="2"/>
        </w:numPr>
        <w:spacing w:after="60" w:before="0"/>
      </w:pPr>
      <w:r>
        <w:rPr>
          <w:b/>
          <w:bCs/>
        </w:rPr>
        <w:t xml:space="preserve">Eligibility (RTR‑01).</w:t>
      </w:r>
      <w:r>
        <w:t xml:space="preserve"> Admin allow-list ∩ configured providers ∩ capabilities (tools, vision, context, structured output) ∩ the data's classification and residency ∩ retention terms (PRV‑05).</w:t>
      </w:r>
    </w:p>
    <w:p>
      <w:pPr>
        <w:pStyle w:val="ListParagraph"/>
        <w:numPr>
          <w:ilvl w:val="0"/>
          <w:numId w:val="2"/>
        </w:numPr>
        <w:spacing w:after="60" w:before="0"/>
      </w:pPr>
      <w:r>
        <w:rPr>
          <w:b/>
          <w:bCs/>
        </w:rPr>
        <w:t xml:space="preserve">Selection (RTR‑02).</w:t>
      </w:r>
      <w:r>
        <w:t xml:space="preserve"> The routable unit is a model version at an effort level. Among eligible units, pick the lowest ĉ / p_LB among those whose lower bound clears the task's quality bar, with priors per RTR‑07.</w:t>
      </w:r>
    </w:p>
    <w:p>
      <w:pPr>
        <w:pStyle w:val="ListParagraph"/>
        <w:numPr>
          <w:ilvl w:val="0"/>
          <w:numId w:val="2"/>
        </w:numPr>
        <w:spacing w:after="60" w:before="0"/>
      </w:pPr>
      <w:r>
        <w:rPr>
          <w:b/>
          <w:bCs/>
        </w:rPr>
        <w:t xml:space="preserve">Fallback.</w:t>
      </w:r>
    </w:p>
    <w:p>
      <w:pPr>
        <w:pStyle w:val="ListParagraph"/>
        <w:numPr>
          <w:ilvl w:val="1"/>
          <w:numId w:val="2"/>
        </w:numPr>
        <w:spacing w:after="60" w:before="0"/>
      </w:pPr>
      <w:r>
        <w:t xml:space="preserve">With priors capped at 10 pseudo-attempts, a strong prior of 0.9 is Beta(9, 1), whose 5th percentile is about 0.72.</w:t>
      </w:r>
    </w:p>
    <w:p>
      <w:pPr>
        <w:pStyle w:val="ListParagraph"/>
        <w:numPr>
          <w:ilvl w:val="1"/>
          <w:numId w:val="2"/>
        </w:numPr>
        <w:spacing w:after="60" w:before="0"/>
      </w:pPr>
      <w:r>
        <w:t xml:space="preserve">A model therefore needs roughly 20 consecutive verified successes to clear a 0.9 bar, and more from a 0.5 prior.</w:t>
      </w:r>
    </w:p>
    <w:p>
      <w:pPr>
        <w:pStyle w:val="ListParagraph"/>
        <w:numPr>
          <w:ilvl w:val="1"/>
          <w:numId w:val="2"/>
        </w:numPr>
        <w:spacing w:after="60" w:before="0"/>
      </w:pPr>
      <w:r>
        <w:t xml:space="preserve">Until one clears the bar, each task type uses a </w:t>
      </w:r>
      <w:r>
        <w:rPr>
          <w:b/>
          <w:bCs/>
        </w:rPr>
        <w:t xml:space="preserve">curated default model with full supervision</w:t>
      </w:r>
      <w:r>
        <w:t xml:space="preserve">. This is the beta's "rule-based router" (proposed spec change 10).</w:t>
      </w:r>
    </w:p>
    <w:p>
      <w:pPr>
        <w:pStyle w:val="ListParagraph"/>
        <w:numPr>
          <w:ilvl w:val="0"/>
          <w:numId w:val="2"/>
        </w:numPr>
        <w:spacing w:after="60" w:before="0"/>
      </w:pPr>
      <w:r>
        <w:rPr>
          <w:b/>
          <w:bCs/>
        </w:rPr>
        <w:t xml:space="preserve">Records.</w:t>
      </w:r>
      <w:r>
        <w:t xml:space="preserve"> Each decision records its candidates, scores and a plain-language reason (RTR‑04). Overrides follow RTR‑05. Exploration (RTR‑06) is GA.</w:t>
      </w:r>
    </w:p>
    <w:p>
      <w:pPr>
        <w:spacing w:after="0"/>
      </w:pPr>
    </w:p>
    <w:p>
      <w:pPr>
        <w:pStyle w:val="Heading2"/>
        <w:keepNext/>
      </w:pPr>
      <w:r>
        <w:t xml:space="preserve">7.2 Supervisor (SUP‑01 to SUP‑04)</w:t>
      </w:r>
    </w:p>
    <w:p>
      <w:pPr>
        <w:pStyle w:val="ListParagraph"/>
        <w:numPr>
          <w:ilvl w:val="0"/>
          <w:numId w:val="2"/>
        </w:numPr>
        <w:spacing w:after="60" w:before="0"/>
      </w:pPr>
      <w:r>
        <w:rPr>
          <w:b/>
          <w:bCs/>
        </w:rPr>
        <w:t xml:space="preserve">Deterministic checks</w:t>
      </w:r>
      <w:r>
        <w:t xml:space="preserve"> come from a typed check library, selected by each task's success criteria (ASG‑06): schema, row counts, totals, referenced IDs exist, citation integrity, not hidden-only. They run first and gate delivery.</w:t>
      </w:r>
    </w:p>
    <w:p>
      <w:pPr>
        <w:pStyle w:val="ListParagraph"/>
        <w:numPr>
          <w:ilvl w:val="0"/>
          <w:numId w:val="2"/>
        </w:numPr>
        <w:spacing w:after="60" w:before="0"/>
      </w:pPr>
      <w:r>
        <w:rPr>
          <w:b/>
          <w:bCs/>
        </w:rPr>
        <w:t xml:space="preserve">Judging.</w:t>
      </w:r>
      <w:r>
        <w:t xml:space="preserve"> A judge from a different model family checks grounding. Subjective checks are sampled according to criticality.</w:t>
      </w:r>
    </w:p>
    <w:p>
      <w:pPr>
        <w:pStyle w:val="ListParagraph"/>
        <w:numPr>
          <w:ilvl w:val="0"/>
          <w:numId w:val="2"/>
        </w:numPr>
        <w:spacing w:after="60" w:before="0"/>
      </w:pPr>
      <w:r>
        <w:rPr>
          <w:b/>
          <w:bCs/>
        </w:rPr>
        <w:t xml:space="preserve">Interventions</w:t>
      </w:r>
      <w:r>
        <w:t xml:space="preserve"> follow SUP‑03's ladder. Each spends from the assignment budget and appears on the run timeline.</w:t>
      </w:r>
    </w:p>
    <w:p>
      <w:pPr>
        <w:pStyle w:val="ListParagraph"/>
        <w:numPr>
          <w:ilvl w:val="0"/>
          <w:numId w:val="2"/>
        </w:numPr>
        <w:spacing w:after="60" w:before="0"/>
      </w:pPr>
      <w:r>
        <w:rPr>
          <w:b/>
          <w:bCs/>
        </w:rPr>
        <w:t xml:space="preserve">Evidence.</w:t>
      </w:r>
      <w:r>
        <w:t xml:space="preserve"> Every check writes an append-only evidence record: class, check ID, result, judge model and version, and input hashes.</w:t>
      </w:r>
    </w:p>
    <w:p>
      <w:pPr>
        <w:spacing w:after="0"/>
      </w:pPr>
    </w:p>
    <w:p>
      <w:pPr>
        <w:pStyle w:val="Heading2"/>
        <w:keepNext/>
      </w:pPr>
      <w:r>
        <w:t xml:space="preserve">7.3 Inventory and evaluation (INV‑01–03, 06, 07; SUP‑06)</w:t>
      </w:r>
    </w:p>
    <w:p>
      <w:pPr>
        <w:pStyle w:val="ListParagraph"/>
        <w:numPr>
          <w:ilvl w:val="0"/>
          <w:numId w:val="2"/>
        </w:numPr>
        <w:spacing w:after="60" w:before="0"/>
      </w:pPr>
      <w:r>
        <w:rPr>
          <w:b/>
          <w:bCs/>
        </w:rPr>
        <w:t xml:space="preserve">Inventory.</w:t>
      </w:r>
    </w:p>
    <w:p>
      <w:pPr>
        <w:pStyle w:val="ListParagraph"/>
        <w:numPr>
          <w:ilvl w:val="1"/>
          <w:numId w:val="2"/>
        </w:numPr>
        <w:spacing w:after="60" w:before="0"/>
      </w:pPr>
      <w:r>
        <w:t xml:space="preserve">Raw evidence and outcome events are stored; scores are derived from them.</w:t>
      </w:r>
    </w:p>
    <w:p>
      <w:pPr>
        <w:pStyle w:val="ListParagraph"/>
        <w:numPr>
          <w:ilvl w:val="1"/>
          <w:numId w:val="2"/>
        </w:numPr>
        <w:spacing w:after="60" w:before="0"/>
      </w:pPr>
      <w:r>
        <w:t xml:space="preserve">Labels stay provisional through the 7-day outcome window. A nightly job then finalizes them and updates posteriors.</w:t>
      </w:r>
    </w:p>
    <w:p>
      <w:pPr>
        <w:pStyle w:val="ListParagraph"/>
        <w:numPr>
          <w:ilvl w:val="1"/>
          <w:numId w:val="2"/>
        </w:numPr>
        <w:spacing w:after="60" w:before="0"/>
      </w:pPr>
      <w:r>
        <w:t xml:space="preserve">Attribution follows INV‑07.</w:t>
      </w:r>
    </w:p>
    <w:p>
      <w:pPr>
        <w:pStyle w:val="ListParagraph"/>
        <w:numPr>
          <w:ilvl w:val="0"/>
          <w:numId w:val="2"/>
        </w:numPr>
        <w:spacing w:after="60" w:before="0"/>
      </w:pPr>
      <w:r>
        <w:rPr>
          <w:b/>
          <w:bCs/>
        </w:rPr>
        <w:t xml:space="preserve">Evaluation set (SUP‑06).</w:t>
      </w:r>
    </w:p>
    <w:p>
      <w:pPr>
        <w:pStyle w:val="ListParagraph"/>
        <w:numPr>
          <w:ilvl w:val="1"/>
          <w:numId w:val="2"/>
        </w:numPr>
        <w:spacing w:after="60" w:before="0"/>
      </w:pPr>
      <w:r>
        <w:rPr>
          <w:b/>
          <w:bCs/>
        </w:rPr>
        <w:t xml:space="preserve">Sampling.</w:t>
      </w:r>
      <w:r>
        <w:t xml:space="preserve"> A sampler draws runs stratified by task type and criticality. For triage it also draws inputs stratified by pipeline stage, including pre-filter drops and mail that matched no trigger.</w:t>
      </w:r>
    </w:p>
    <w:p>
      <w:pPr>
        <w:pStyle w:val="ListParagraph"/>
        <w:numPr>
          <w:ilvl w:val="1"/>
          <w:numId w:val="2"/>
        </w:numPr>
        <w:spacing w:after="60" w:before="0"/>
      </w:pPr>
      <w:r>
        <w:rPr>
          <w:b/>
          <w:bCs/>
        </w:rPr>
        <w:t xml:space="preserve">Adjudication.</w:t>
      </w:r>
      <w:r>
        <w:t xml:space="preserve"> Reviewers who are entitled to the data adjudicate without seeing the supervisor's verdict.</w:t>
      </w:r>
    </w:p>
    <w:p>
      <w:pPr>
        <w:pStyle w:val="ListParagraph"/>
        <w:numPr>
          <w:ilvl w:val="1"/>
          <w:numId w:val="2"/>
        </w:numPr>
        <w:spacing w:after="60" w:before="0"/>
      </w:pPr>
      <w:r>
        <w:rPr>
          <w:b/>
          <w:bCs/>
        </w:rPr>
        <w:t xml:space="preserve">Metrics.</w:t>
      </w:r>
      <w:r>
        <w:t xml:space="preserve"> Recall uses the stratified bootstrap (archived AC‑15); precision counts adjudicated items only (AC‑16).</w:t>
      </w:r>
    </w:p>
    <w:p>
      <w:pPr>
        <w:pStyle w:val="ListParagraph"/>
        <w:numPr>
          <w:ilvl w:val="1"/>
          <w:numId w:val="2"/>
        </w:numPr>
        <w:spacing w:after="60" w:before="0"/>
      </w:pPr>
      <w:r>
        <w:rPr>
          <w:b/>
          <w:bCs/>
        </w:rPr>
        <w:t xml:space="preserve">Re-runs.</w:t>
      </w:r>
      <w:r>
        <w:t xml:space="preserve"> After model or prompt changes, labeled sets are re-run through the Batches API, at half price.</w:t>
      </w:r>
    </w:p>
    <w:p>
      <w:pPr>
        <w:spacing w:after="0"/>
      </w:pPr>
    </w:p>
    <w:p>
      <w:pPr>
        <w:pStyle w:val="Heading1"/>
        <w:keepNext/>
      </w:pPr>
      <w:r>
        <w:t xml:space="preserve">8. Untrusted content, lineage and rendering</w:t>
      </w:r>
    </w:p>
    <w:p>
      <w:r>
        <w:t xml:space="preserve">Untrusted content is normalized before a model sees it and tracked through everything derived from it. It is rendered so that it can't fetch anything (v0.4: CON‑10, SEC‑11, SEC‑12, ASG‑17).</w:t>
      </w:r>
    </w:p>
    <w:p>
      <w:pPr>
        <w:pStyle w:val="Heading2"/>
        <w:keepNext/>
      </w:pPr>
      <w:r>
        <w:t xml:space="preserve">8.1 Normalization (CON‑10)</w:t>
      </w:r>
    </w:p>
    <w:p>
      <w:r>
        <w:t xml:space="preserve">The </w:t>
      </w:r>
      <w:r>
        <w:rPr>
          <w:rStyle w:val="CodeChar"/>
          <w:sz w:val="20"/>
          <w:szCs w:val="20"/>
        </w:rPr>
        <w:t xml:space="preserve">untrusted</w:t>
      </w:r>
      <w:r>
        <w:t xml:space="preserve"> library runs only inside </w:t>
      </w:r>
      <w:r>
        <w:rPr>
          <w:rStyle w:val="CodeChar"/>
          <w:sz w:val="20"/>
          <w:szCs w:val="20"/>
        </w:rPr>
        <w:t xml:space="preserve">extract</w:t>
      </w:r>
      <w:r>
        <w:t xml:space="preserve">. It returns a </w:t>
      </w:r>
      <w:r>
        <w:rPr>
          <w:i/>
          <w:iCs/>
        </w:rPr>
        <w:t xml:space="preserve">model view</w:t>
      </w:r>
      <w:r>
        <w:t xml:space="preserve">, an offset map back to the original, and flags; the original stays in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8022"/>
      </w:tblGrid>
      <w:tr>
        <w:trPr>
          <w:tblHeader/>
        </w:trPr>
        <w:tc>
          <w:tcPr>
            <w:tcW w:type="dxa" w:w="1338"/>
            <w:shd w:fill="F2F2F2" w:color="auto" w:val="clear"/>
            <w:tcMar>
              <w:top w:type="dxa" w:w="60"/>
              <w:left w:type="dxa" w:w="100"/>
              <w:bottom w:type="dxa" w:w="60"/>
              <w:right w:type="dxa" w:w="100"/>
            </w:tcMar>
          </w:tcPr>
          <w:p>
            <w:pPr>
              <w:spacing w:after="0" w:before="0" w:line="252"/>
            </w:pPr>
            <w:r>
              <w:rPr>
                <w:b/>
                <w:bCs/>
                <w:sz w:val="19"/>
                <w:szCs w:val="19"/>
              </w:rPr>
              <w:t xml:space="preserve">Source</w:t>
            </w:r>
          </w:p>
        </w:tc>
        <w:tc>
          <w:tcPr>
            <w:tcW w:type="dxa" w:w="8022"/>
            <w:shd w:fill="F2F2F2" w:color="auto" w:val="clear"/>
            <w:tcMar>
              <w:top w:type="dxa" w:w="60"/>
              <w:left w:type="dxa" w:w="100"/>
              <w:bottom w:type="dxa" w:w="60"/>
              <w:right w:type="dxa" w:w="100"/>
            </w:tcMar>
          </w:tcPr>
          <w:p>
            <w:pPr>
              <w:spacing w:after="0" w:before="0" w:line="252"/>
            </w:pPr>
            <w:r>
              <w:rPr>
                <w:b/>
                <w:bCs/>
                <w:sz w:val="19"/>
                <w:szCs w:val="19"/>
              </w:rPr>
              <w:t xml:space="preserve">Hidden content flagged</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Mail HTML</w:t>
            </w:r>
          </w:p>
        </w:tc>
        <w:tc>
          <w:tcPr>
            <w:tcW w:type="dxa" w:w="8022"/>
            <w:tcMar>
              <w:top w:type="dxa" w:w="60"/>
              <w:left w:type="dxa" w:w="100"/>
              <w:bottom w:type="dxa" w:w="60"/>
              <w:right w:type="dxa" w:w="100"/>
            </w:tcMar>
          </w:tcPr>
          <w:p>
            <w:pPr>
              <w:spacing w:after="0" w:before="0" w:line="252"/>
            </w:pPr>
            <w:r>
              <w:rPr>
                <w:sz w:val="19"/>
                <w:szCs w:val="19"/>
              </w:rPr>
              <w:t xml:space="preserve">Text hidden by the CSS cascade (display, visibility, zero size, colour matching the background, off-screen); comments; zero-width characters</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XLSX</w:t>
            </w:r>
          </w:p>
        </w:tc>
        <w:tc>
          <w:tcPr>
            <w:tcW w:type="dxa" w:w="8022"/>
            <w:tcMar>
              <w:top w:type="dxa" w:w="60"/>
              <w:left w:type="dxa" w:w="100"/>
              <w:bottom w:type="dxa" w:w="60"/>
              <w:right w:type="dxa" w:w="100"/>
            </w:tcMar>
          </w:tcPr>
          <w:p>
            <w:pPr>
              <w:spacing w:after="0" w:before="0" w:line="252"/>
            </w:pPr>
            <w:r>
              <w:rPr>
                <w:sz w:val="19"/>
                <w:szCs w:val="19"/>
              </w:rPr>
              <w:t xml:space="preserve">Hidden and very-hidden sheets; hidden rows and columns; </w:t>
            </w:r>
            <w:r>
              <w:rPr>
                <w:rStyle w:val="CodeChar"/>
                <w:sz w:val="17"/>
                <w:szCs w:val="17"/>
              </w:rPr>
              <w:t xml:space="preserve">;;;</w:t>
            </w:r>
            <w:r>
              <w:rPr>
                <w:sz w:val="19"/>
                <w:szCs w:val="19"/>
              </w:rPr>
              <w:t xml:space="preserve"> number formats; font colour matching the fill; comments;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DOCX</w:t>
            </w:r>
          </w:p>
        </w:tc>
        <w:tc>
          <w:tcPr>
            <w:tcW w:type="dxa" w:w="8022"/>
            <w:tcMar>
              <w:top w:type="dxa" w:w="60"/>
              <w:left w:type="dxa" w:w="100"/>
              <w:bottom w:type="dxa" w:w="60"/>
              <w:right w:type="dxa" w:w="100"/>
            </w:tcMar>
          </w:tcPr>
          <w:p>
            <w:pPr>
              <w:spacing w:after="0" w:before="0" w:line="252"/>
            </w:pPr>
            <w:r>
              <w:rPr>
                <w:sz w:val="19"/>
                <w:szCs w:val="19"/>
              </w:rPr>
              <w:t xml:space="preserve">Hidden (vanish) text; comments; tracked deletions;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PDF</w:t>
            </w:r>
          </w:p>
        </w:tc>
        <w:tc>
          <w:tcPr>
            <w:tcW w:type="dxa" w:w="8022"/>
            <w:tcMar>
              <w:top w:type="dxa" w:w="60"/>
              <w:left w:type="dxa" w:w="100"/>
              <w:bottom w:type="dxa" w:w="60"/>
              <w:right w:type="dxa" w:w="100"/>
            </w:tcMar>
          </w:tcPr>
          <w:p>
            <w:pPr>
              <w:spacing w:after="0" w:before="0" w:line="252"/>
            </w:pPr>
            <w:r>
              <w:rPr>
                <w:sz w:val="19"/>
                <w:szCs w:val="19"/>
              </w:rPr>
              <w:t xml:space="preserve">Invisible render mode; text coloured like its background; text outside the page; metadata</w:t>
            </w:r>
          </w:p>
        </w:tc>
      </w:tr>
    </w:tbl>
    <w:p>
      <w:pPr>
        <w:spacing w:after="60"/>
      </w:pPr>
    </w:p>
    <w:p>
      <w:pPr>
        <w:pStyle w:val="ListParagraph"/>
        <w:numPr>
          <w:ilvl w:val="0"/>
          <w:numId w:val="2"/>
        </w:numPr>
        <w:spacing w:after="60" w:before="0"/>
      </w:pPr>
      <w:r>
        <w:rPr>
          <w:b/>
          <w:bCs/>
        </w:rPr>
        <w:t xml:space="preserve">Unicode.</w:t>
      </w:r>
      <w:r>
        <w:t xml:space="preserve"> Text is normalized with NFKC, keeping the offset map. Tag characters and bidirectional controls are stripped and flagged. Mixed-script look-alikes are mapped to their UTS #39 skeleton and flagged (proposed spec change 13).</w:t>
      </w:r>
    </w:p>
    <w:p>
      <w:pPr>
        <w:pStyle w:val="ListParagraph"/>
        <w:numPr>
          <w:ilvl w:val="0"/>
          <w:numId w:val="2"/>
        </w:numPr>
        <w:spacing w:after="60" w:before="0"/>
      </w:pPr>
      <w:r>
        <w:rPr>
          <w:b/>
          <w:bCs/>
        </w:rPr>
        <w:t xml:space="preserve">Encoded payloads.</w:t>
      </w:r>
      <w:r>
        <w:t xml:space="preserve"> Base64, hex and URL-encoded runs are decoded, with a depth limit, for inspection. In the model view they are replaced by a flagged placeholder.</w:t>
      </w:r>
    </w:p>
    <w:p>
      <w:pPr>
        <w:pStyle w:val="ListParagraph"/>
        <w:numPr>
          <w:ilvl w:val="0"/>
          <w:numId w:val="2"/>
        </w:numPr>
        <w:spacing w:after="60" w:before="0"/>
      </w:pPr>
      <w:r>
        <w:rPr>
          <w:b/>
          <w:bCs/>
        </w:rPr>
        <w:t xml:space="preserve">Hidden regions</w:t>
      </w:r>
      <w:r>
        <w:t xml:space="preserve"> never enter the model view. Reviewers see them with a "hidden in original" marker, and quotes are rendered from the snapshot by offset (SUP‑01).</w:t>
      </w:r>
    </w:p>
    <w:p>
      <w:pPr>
        <w:pStyle w:val="ListParagraph"/>
        <w:numPr>
          <w:ilvl w:val="0"/>
          <w:numId w:val="2"/>
        </w:numPr>
        <w:spacing w:after="60" w:before="0"/>
      </w:pPr>
      <w:r>
        <w:rPr>
          <w:b/>
          <w:bCs/>
        </w:rPr>
        <w:t xml:space="preserve">Prompt delimiters.</w:t>
      </w:r>
      <w:r>
        <w:t xml:space="preserve"> Delimiting and labeling untrusted text in prompts is hygiene only, not a control.</w:t>
      </w:r>
    </w:p>
    <w:p>
      <w:pPr>
        <w:spacing w:after="0"/>
      </w:pPr>
    </w:p>
    <w:p>
      <w:pPr>
        <w:pStyle w:val="Heading2"/>
        <w:keepNext/>
      </w:pPr>
      <w:r>
        <w:t xml:space="preserve">8.2 Lineage (SEC‑12, SEC‑08)</w:t>
      </w:r>
    </w:p>
    <w:p>
      <w:pPr>
        <w:pStyle w:val="ListParagraph"/>
        <w:numPr>
          <w:ilvl w:val="0"/>
          <w:numId w:val="2"/>
        </w:numPr>
        <w:spacing w:after="60" w:before="0"/>
      </w:pPr>
      <w:r>
        <w:rPr>
          <w:b/>
          <w:bCs/>
        </w:rPr>
        <w:t xml:space="preserve">Lineage rows.</w:t>
      </w:r>
      <w:r>
        <w:t xml:space="preserve"> Every artifact (step output, queue item, draft, answer, export) has a </w:t>
      </w:r>
      <w:r>
        <w:rPr>
          <w:rStyle w:val="CodeChar"/>
          <w:sz w:val="20"/>
          <w:szCs w:val="20"/>
        </w:rPr>
        <w:t xml:space="preserve">lineage</w:t>
      </w:r>
      <w:r>
        <w:t xml:space="preserve"> row listing its sources, with an </w:t>
      </w:r>
      <w:r>
        <w:rPr>
          <w:rStyle w:val="CodeChar"/>
          <w:sz w:val="20"/>
          <w:szCs w:val="20"/>
        </w:rPr>
        <w:t xml:space="preserve">untrusted</w:t>
      </w:r>
      <w:r>
        <w:t xml:space="preserve"> taint. Any untrusted input makes the output untrusted, through later steps, runs and exports.</w:t>
      </w:r>
    </w:p>
    <w:p>
      <w:pPr>
        <w:pStyle w:val="ListParagraph"/>
        <w:numPr>
          <w:ilvl w:val="0"/>
          <w:numId w:val="2"/>
        </w:numPr>
        <w:spacing w:after="60" w:before="0"/>
      </w:pPr>
      <w:r>
        <w:rPr>
          <w:b/>
          <w:bCs/>
        </w:rPr>
        <w:t xml:space="preserve">Visibility.</w:t>
      </w:r>
      <w:r>
        <w:t xml:space="preserve"> The same lineage drives visibility. An artifact is visible to the people who can currently read every source in its lineage (SEC‑08), including content pulled in by reads the model initiated.</w:t>
      </w:r>
    </w:p>
    <w:p>
      <w:pPr>
        <w:pStyle w:val="ListParagraph"/>
        <w:numPr>
          <w:ilvl w:val="0"/>
          <w:numId w:val="2"/>
        </w:numPr>
        <w:spacing w:after="60" w:before="0"/>
      </w:pPr>
      <w:r>
        <w:rPr>
          <w:b/>
          <w:bCs/>
        </w:rPr>
        <w:t xml:space="preserve">Standing instructions</w:t>
      </w:r>
      <w:r>
        <w:t xml:space="preserve"> are task descriptions, template prompts, assignment versions, builder output, saved chat context and supervisor suggestions.</w:t>
      </w:r>
    </w:p>
    <w:p>
      <w:pPr>
        <w:pStyle w:val="ListParagraph"/>
        <w:numPr>
          <w:ilvl w:val="1"/>
          <w:numId w:val="2"/>
        </w:numPr>
        <w:spacing w:after="60" w:before="0"/>
      </w:pPr>
      <w:r>
        <w:t xml:space="preserve">They are read-only to </w:t>
      </w:r>
      <w:r>
        <w:rPr>
          <w:rStyle w:val="CodeChar"/>
          <w:sz w:val="20"/>
          <w:szCs w:val="20"/>
        </w:rPr>
        <w:t xml:space="preserve">app_worker</w:t>
      </w:r>
      <w:r>
        <w:t xml:space="preserve">; </w:t>
      </w:r>
      <w:r>
        <w:rPr>
          <w:rStyle w:val="CodeChar"/>
          <w:sz w:val="20"/>
          <w:szCs w:val="20"/>
        </w:rPr>
        <w:t xml:space="preserve">app_user</w:t>
      </w:r>
      <w:r>
        <w:t xml:space="preserve"> may insert drafts.</w:t>
      </w:r>
    </w:p>
    <w:p>
      <w:pPr>
        <w:pStyle w:val="ListParagraph"/>
        <w:numPr>
          <w:ilvl w:val="1"/>
          <w:numId w:val="2"/>
        </w:numPr>
        <w:spacing w:after="60" w:before="0"/>
      </w:pPr>
      <w:r>
        <w:t xml:space="preserve">Only </w:t>
      </w:r>
      <w:r>
        <w:rPr>
          <w:rStyle w:val="CodeChar"/>
          <w:sz w:val="20"/>
          <w:szCs w:val="20"/>
        </w:rPr>
        <w:t xml:space="preserve">accept_version()</w:t>
      </w:r>
      <w:r>
        <w:t xml:space="preserve"> makes a draft current. It is a SECURITY DEFINER function that requires an interactive session belonging to a person, and its acceptance screen shows provenance.</w:t>
      </w:r>
    </w:p>
    <w:p>
      <w:pPr>
        <w:pStyle w:val="ListParagraph"/>
        <w:numPr>
          <w:ilvl w:val="0"/>
          <w:numId w:val="2"/>
        </w:numPr>
        <w:spacing w:after="60" w:before="0"/>
      </w:pPr>
      <w:r>
        <w:rPr>
          <w:b/>
          <w:bCs/>
        </w:rPr>
        <w:t xml:space="preserve">Prompt builder.</w:t>
      </w:r>
      <w:r>
        <w:t xml:space="preserve"> It accepts two types only: </w:t>
      </w:r>
      <w:r>
        <w:rPr>
          <w:rStyle w:val="CodeChar"/>
          <w:sz w:val="20"/>
          <w:szCs w:val="20"/>
        </w:rPr>
        <w:t xml:space="preserve">TrustedText</w:t>
      </w:r>
      <w:r>
        <w:t xml:space="preserve"> (from accepted versions) and </w:t>
      </w:r>
      <w:r>
        <w:rPr>
          <w:rStyle w:val="CodeChar"/>
          <w:sz w:val="20"/>
          <w:szCs w:val="20"/>
        </w:rPr>
        <w:t xml:space="preserve">ModelView</w:t>
      </w:r>
      <w:r>
        <w:t xml:space="preserve"> (normalized untrusted content). System prompts hold no secrets.</w:t>
      </w:r>
    </w:p>
    <w:p>
      <w:pPr>
        <w:spacing w:after="0"/>
      </w:pPr>
    </w:p>
    <w:p>
      <w:pPr>
        <w:pStyle w:val="Heading2"/>
        <w:keepNext/>
      </w:pPr>
      <w:r>
        <w:t xml:space="preserve">8.3 Rendering (SEC‑11)</w:t>
      </w:r>
    </w:p>
    <w:p>
      <w:pPr>
        <w:pStyle w:val="ListParagraph"/>
        <w:numPr>
          <w:ilvl w:val="0"/>
          <w:numId w:val="2"/>
        </w:numPr>
        <w:spacing w:after="60" w:before="0"/>
      </w:pPr>
      <w:r>
        <w:rPr>
          <w:b/>
          <w:bCs/>
        </w:rPr>
        <w:t xml:space="preserve">Sanitizing.</w:t>
      </w:r>
      <w:r>
        <w:t xml:space="preserve"> The server sanitizes model output to an allow-listed Markdown tree, and the React renderer never emits remote images, frames or forms.</w:t>
      </w:r>
    </w:p>
    <w:p>
      <w:pPr>
        <w:pStyle w:val="ListParagraph"/>
        <w:numPr>
          <w:ilvl w:val="0"/>
          <w:numId w:val="2"/>
        </w:numPr>
        <w:spacing w:after="60" w:before="0"/>
      </w:pPr>
      <w:r>
        <w:rPr>
          <w:b/>
          <w:bCs/>
        </w:rPr>
        <w:t xml:space="preserve">Links</w:t>
      </w:r>
      <w:r>
        <w:t xml:space="preserve"> show their true host. Links to domains outside the tenant's allowlist open through an interstitial; the allowlist is a new admin setting (proposed spec change 18).</w:t>
      </w:r>
    </w:p>
    <w:p>
      <w:pPr>
        <w:pStyle w:val="ListParagraph"/>
        <w:numPr>
          <w:ilvl w:val="0"/>
          <w:numId w:val="2"/>
        </w:numPr>
        <w:spacing w:after="60" w:before="0"/>
      </w:pPr>
      <w:r>
        <w:rPr>
          <w:b/>
          <w:bCs/>
        </w:rPr>
        <w:t xml:space="preserve">Defense in depth,</w:t>
      </w:r>
      <w:r>
        <w:t xml:space="preserve"> so that even a sanitizer bug can't fetch anything:</w:t>
      </w:r>
    </w:p>
    <w:p>
      <w:pPr>
        <w:pStyle w:val="ListParagraph"/>
        <w:numPr>
          <w:ilvl w:val="1"/>
          <w:numId w:val="2"/>
        </w:numPr>
        <w:spacing w:after="60" w:before="0"/>
      </w:pPr>
      <w:r>
        <w:rPr>
          <w:rStyle w:val="CodeChar"/>
          <w:sz w:val="20"/>
          <w:szCs w:val="20"/>
        </w:rPr>
        <w:t xml:space="preserve">Content-Security-Policy: default-src 'self'; img-src 'self' blob: data:; frame-src 'none'; form-action 'self'; base-uri 'none'</w:t>
      </w:r>
      <w:r>
        <w:t xml:space="preserve">;</w:t>
      </w:r>
    </w:p>
    <w:p>
      <w:pPr>
        <w:pStyle w:val="ListParagraph"/>
        <w:numPr>
          <w:ilvl w:val="1"/>
          <w:numId w:val="2"/>
        </w:numPr>
        <w:spacing w:after="60" w:before="0"/>
      </w:pPr>
      <w:r>
        <w:t xml:space="preserve">Trusted Types;</w:t>
      </w:r>
    </w:p>
    <w:p>
      <w:pPr>
        <w:pStyle w:val="ListParagraph"/>
        <w:numPr>
          <w:ilvl w:val="1"/>
          <w:numId w:val="2"/>
        </w:numPr>
        <w:spacing w:after="60" w:before="0"/>
      </w:pPr>
      <w:r>
        <w:rPr>
          <w:rStyle w:val="CodeChar"/>
          <w:sz w:val="20"/>
          <w:szCs w:val="20"/>
        </w:rPr>
        <w:t xml:space="preserve">Referrer-Policy: no-referrer</w:t>
      </w:r>
      <w:r>
        <w:t xml:space="preserve">.</w:t>
      </w:r>
    </w:p>
    <w:p>
      <w:pPr>
        <w:pStyle w:val="ListParagraph"/>
        <w:numPr>
          <w:ilvl w:val="0"/>
          <w:numId w:val="2"/>
        </w:numPr>
        <w:spacing w:after="60" w:before="0"/>
      </w:pPr>
      <w:r>
        <w:rPr>
          <w:b/>
          <w:bCs/>
        </w:rPr>
        <w:t xml:space="preserve">Original mail HTML</w:t>
      </w:r>
      <w:r>
        <w:t xml:space="preserve"> appears only in a sandboxed iframe.</w:t>
      </w:r>
    </w:p>
    <w:p>
      <w:pPr>
        <w:pStyle w:val="ListParagraph"/>
        <w:numPr>
          <w:ilvl w:val="0"/>
          <w:numId w:val="2"/>
        </w:numPr>
        <w:spacing w:after="60" w:before="0"/>
      </w:pPr>
      <w:r>
        <w:rPr>
          <w:b/>
          <w:bCs/>
        </w:rPr>
        <w:t xml:space="preserve">Exports</w:t>
      </w:r>
      <w:r>
        <w:t xml:space="preserve"> are escaped against formulas and rendered with networking disabled.</w:t>
      </w:r>
    </w:p>
    <w:p>
      <w:pPr>
        <w:spacing w:after="0"/>
      </w:pPr>
    </w:p>
    <w:p>
      <w:pPr>
        <w:pStyle w:val="Heading2"/>
        <w:keepNext/>
      </w:pPr>
      <w:r>
        <w:t xml:space="preserve">8.4 Sender throttling (ASG‑17)</w:t>
      </w:r>
    </w:p>
    <w:p>
      <w:r>
        <w:t xml:space="preserve">Per-sender counters are checked in the admission transaction:</w:t>
      </w:r>
    </w:p>
    <w:p>
      <w:pPr>
        <w:pStyle w:val="ListParagraph"/>
        <w:numPr>
          <w:ilvl w:val="0"/>
          <w:numId w:val="2"/>
        </w:numPr>
        <w:spacing w:after="60" w:before="0"/>
      </w:pPr>
      <w:r>
        <w:t xml:space="preserve">by default, items beyond 20 queue items per sender per day go to a review lane;</w:t>
      </w:r>
    </w:p>
    <w:p>
      <w:pPr>
        <w:pStyle w:val="ListParagraph"/>
        <w:numPr>
          <w:ilvl w:val="0"/>
          <w:numId w:val="2"/>
        </w:numPr>
        <w:spacing w:after="60" w:before="0"/>
      </w:pPr>
      <w:r>
        <w:t xml:space="preserve">bursts of near-duplicate requests are flagged;</w:t>
      </w:r>
    </w:p>
    <w:p>
      <w:pPr>
        <w:pStyle w:val="ListParagraph"/>
        <w:numPr>
          <w:ilvl w:val="0"/>
          <w:numId w:val="2"/>
        </w:numPr>
        <w:spacing w:after="60" w:before="0"/>
      </w:pPr>
      <w:r>
        <w:t xml:space="preserve">each sender's auto-execution cut-off is recorded from the beta, although auto-execution itself (ASG‑16) ships at GA.</w:t>
      </w:r>
    </w:p>
    <w:p>
      <w:pPr>
        <w:spacing w:after="0"/>
      </w:pPr>
    </w:p>
    <w:p>
      <w:pPr>
        <w:pStyle w:val="Heading1"/>
        <w:keepNext/>
      </w:pPr>
      <w:r>
        <w:t xml:space="preserve">9. Visibility, live updates and Q&amp;A</w:t>
      </w:r>
    </w:p>
    <w:p>
      <w:r>
        <w:t xml:space="preserve">Every read path is bounded by the database: tenant isolation and source visibility are row-level security, not only application checks.</w:t>
      </w:r>
    </w:p>
    <w:p>
      <w:pPr>
        <w:pStyle w:val="ListParagraph"/>
        <w:numPr>
          <w:ilvl w:val="0"/>
          <w:numId w:val="2"/>
        </w:numPr>
        <w:spacing w:after="60" w:before="0"/>
      </w:pPr>
      <w:r>
        <w:rPr>
          <w:b/>
          <w:bCs/>
        </w:rPr>
        <w:t xml:space="preserve">Tenant isolation (SEC‑09).</w:t>
      </w:r>
      <w:r>
        <w:t xml:space="preserve"> Every tenant table has FORCE ROW LEVEL SECURITY.</w:t>
      </w:r>
    </w:p>
    <w:p>
      <w:pPr>
        <w:pStyle w:val="ListParagraph"/>
        <w:numPr>
          <w:ilvl w:val="1"/>
          <w:numId w:val="2"/>
        </w:numPr>
        <w:spacing w:after="60" w:before="0"/>
      </w:pPr>
      <w:r>
        <w:t xml:space="preserve">Roles: </w:t>
      </w:r>
      <w:r>
        <w:rPr>
          <w:rStyle w:val="CodeChar"/>
          <w:sz w:val="20"/>
          <w:szCs w:val="20"/>
        </w:rPr>
        <w:t xml:space="preserve">migrator</w:t>
      </w:r>
      <w:r>
        <w:t xml:space="preserve"> (table owner, CI only), </w:t>
      </w:r>
      <w:r>
        <w:rPr>
          <w:rStyle w:val="CodeChar"/>
          <w:sz w:val="20"/>
          <w:szCs w:val="20"/>
        </w:rPr>
        <w:t xml:space="preserve">app_user</w:t>
      </w:r>
      <w:r>
        <w:t xml:space="preserve">, </w:t>
      </w:r>
      <w:r>
        <w:rPr>
          <w:rStyle w:val="CodeChar"/>
          <w:sz w:val="20"/>
          <w:szCs w:val="20"/>
        </w:rPr>
        <w:t xml:space="preserve">app_worker</w:t>
      </w:r>
      <w:r>
        <w:t xml:space="preserve"> and </w:t>
      </w:r>
      <w:r>
        <w:rPr>
          <w:rStyle w:val="CodeChar"/>
          <w:sz w:val="20"/>
          <w:szCs w:val="20"/>
        </w:rPr>
        <w:t xml:space="preserve">gw</w:t>
      </w:r>
      <w:r>
        <w:t xml:space="preserve">. No application role owns a table or has BYPASSRLS.</w:t>
      </w:r>
    </w:p>
    <w:p>
      <w:pPr>
        <w:pStyle w:val="ListParagraph"/>
        <w:numPr>
          <w:ilvl w:val="1"/>
          <w:numId w:val="2"/>
        </w:numPr>
        <w:spacing w:after="60" w:before="0"/>
      </w:pPr>
      <w:r>
        <w:t xml:space="preserve">Tenant and person are set per transaction from the authenticated identity, with </w:t>
      </w:r>
      <w:r>
        <w:rPr>
          <w:rStyle w:val="CodeChar"/>
          <w:sz w:val="20"/>
          <w:szCs w:val="20"/>
        </w:rPr>
        <w:t xml:space="preserve">set_config(…, true)</w:t>
      </w:r>
      <w:r>
        <w:t xml:space="preserve">. Workers set both the same way.</w:t>
      </w:r>
    </w:p>
    <w:p>
      <w:pPr>
        <w:pStyle w:val="ListParagraph"/>
        <w:numPr>
          <w:ilvl w:val="0"/>
          <w:numId w:val="2"/>
        </w:numPr>
        <w:spacing w:after="60" w:before="0"/>
      </w:pPr>
      <w:r>
        <w:rPr>
          <w:b/>
          <w:bCs/>
        </w:rPr>
        <w:t xml:space="preserve">Visibility (SEC‑08).</w:t>
      </w:r>
      <w:r>
        <w:t xml:space="preserve"> Visibility sets are materialized from current source ACLs and recomputed on ACL events and reconciliation. </w:t>
      </w:r>
      <w:r>
        <w:rPr>
          <w:rStyle w:val="CodeChar"/>
          <w:sz w:val="20"/>
          <w:szCs w:val="20"/>
        </w:rPr>
        <w:t xml:space="preserve">app_user</w:t>
      </w:r>
      <w:r>
        <w:t xml:space="preserve"> reads content rows through an RLS visibility predicate as well as tenant RLS, so the database itself bounds API reads, Q&amp;A prompt assembly and exports.</w:t>
      </w:r>
    </w:p>
    <w:p>
      <w:pPr>
        <w:pStyle w:val="ListParagraph"/>
        <w:numPr>
          <w:ilvl w:val="0"/>
          <w:numId w:val="2"/>
        </w:numPr>
        <w:spacing w:after="60" w:before="0"/>
      </w:pPr>
      <w:r>
        <w:rPr>
          <w:b/>
          <w:bCs/>
        </w:rPr>
        <w:t xml:space="preserve">Live updates.</w:t>
      </w:r>
    </w:p>
    <w:p>
      <w:pPr>
        <w:pStyle w:val="ListParagraph"/>
        <w:numPr>
          <w:ilvl w:val="1"/>
          <w:numId w:val="2"/>
        </w:numPr>
        <w:spacing w:after="60" w:before="0"/>
      </w:pPr>
      <w:r>
        <w:t xml:space="preserve">Events carry IDs only.</w:t>
      </w:r>
    </w:p>
    <w:p>
      <w:pPr>
        <w:pStyle w:val="ListParagraph"/>
        <w:numPr>
          <w:ilvl w:val="1"/>
          <w:numId w:val="2"/>
        </w:numPr>
        <w:spacing w:after="60" w:before="0"/>
      </w:pPr>
      <w:r>
        <w:t xml:space="preserve">The relay assigns each event its per-tenant sequence at publish time; assigning it at insert would skip rows that commit late.</w:t>
      </w:r>
    </w:p>
    <w:p>
      <w:pPr>
        <w:pStyle w:val="ListParagraph"/>
        <w:numPr>
          <w:ilvl w:val="1"/>
          <w:numId w:val="2"/>
        </w:numPr>
        <w:spacing w:after="60" w:before="0"/>
      </w:pPr>
      <w:r>
        <w:t xml:space="preserve">Clients resume with SSE's </w:t>
      </w:r>
      <w:r>
        <w:rPr>
          <w:rStyle w:val="CodeChar"/>
          <w:sz w:val="20"/>
          <w:szCs w:val="20"/>
        </w:rPr>
        <w:t xml:space="preserve">Last-Event-ID</w:t>
      </w:r>
      <w:r>
        <w:t xml:space="preserve"> and re-fetch details through the API.</w:t>
      </w:r>
    </w:p>
    <w:p>
      <w:pPr>
        <w:pStyle w:val="ListParagraph"/>
        <w:numPr>
          <w:ilvl w:val="0"/>
          <w:numId w:val="2"/>
        </w:numPr>
        <w:spacing w:after="60" w:before="0"/>
      </w:pPr>
      <w:r>
        <w:rPr>
          <w:b/>
          <w:bCs/>
        </w:rPr>
        <w:t xml:space="preserve">Notifications</w:t>
      </w:r>
      <w:r>
        <w:t xml:space="preserve"> check visibility at send time, carry no content in their titles, and are dropped for revoked recipients. The client cache is bounded and purged on </w:t>
      </w:r>
      <w:r>
        <w:rPr>
          <w:rStyle w:val="CodeChar"/>
          <w:sz w:val="20"/>
          <w:szCs w:val="20"/>
        </w:rPr>
        <w:t xml:space="preserve">access.revoked</w:t>
      </w:r>
      <w:r>
        <w:t xml:space="preserve">.</w:t>
      </w:r>
    </w:p>
    <w:p>
      <w:pPr>
        <w:pStyle w:val="ListParagraph"/>
        <w:numPr>
          <w:ilvl w:val="0"/>
          <w:numId w:val="2"/>
        </w:numPr>
        <w:spacing w:after="60" w:before="0"/>
      </w:pPr>
      <w:r>
        <w:rPr>
          <w:b/>
          <w:bCs/>
        </w:rPr>
        <w:t xml:space="preserve">Q&amp;A (QA‑01–03).</w:t>
      </w:r>
      <w:r>
        <w:t xml:space="preserve"> Answers are assembled in </w:t>
      </w:r>
      <w:r>
        <w:rPr>
          <w:rStyle w:val="CodeChar"/>
          <w:sz w:val="20"/>
          <w:szCs w:val="20"/>
        </w:rPr>
        <w:t xml:space="preserve">app</w:t>
      </w:r>
      <w:r>
        <w:t xml:space="preserve"> under the asker's RLS, cite run steps, data rows and documents, and carry the lineage taint of what they cite.</w:t>
      </w:r>
    </w:p>
    <w:p>
      <w:pPr>
        <w:pStyle w:val="ListParagraph"/>
        <w:numPr>
          <w:ilvl w:val="0"/>
          <w:numId w:val="2"/>
        </w:numPr>
        <w:spacing w:after="60" w:before="0"/>
      </w:pPr>
      <w:r>
        <w:rPr>
          <w:b/>
          <w:bCs/>
        </w:rPr>
        <w:t xml:space="preserve">Snapshots (SEC‑10).</w:t>
      </w:r>
      <w:r>
        <w:t xml:space="preserve"> A published snapshot is a frozen copy with its own access list:</w:t>
      </w:r>
    </w:p>
    <w:p>
      <w:pPr>
        <w:pStyle w:val="ListParagraph"/>
        <w:numPr>
          <w:ilvl w:val="1"/>
          <w:numId w:val="2"/>
        </w:numPr>
        <w:spacing w:after="60" w:before="0"/>
      </w:pPr>
      <w:r>
        <w:t xml:space="preserve">it carries the most restrictive label among its sources;</w:t>
      </w:r>
    </w:p>
    <w:p>
      <w:pPr>
        <w:pStyle w:val="ListParagraph"/>
        <w:numPr>
          <w:ilvl w:val="1"/>
          <w:numId w:val="2"/>
        </w:numPr>
        <w:spacing w:after="60" w:before="0"/>
      </w:pPr>
      <w:r>
        <w:t xml:space="preserve">questions about it are answered only from its own content;</w:t>
      </w:r>
    </w:p>
    <w:p>
      <w:pPr>
        <w:pStyle w:val="ListParagraph"/>
        <w:numPr>
          <w:ilvl w:val="1"/>
          <w:numId w:val="2"/>
        </w:numPr>
        <w:spacing w:after="60" w:before="0"/>
      </w:pPr>
      <w:r>
        <w:t xml:space="preserve">withdrawing it purges recipients' caches;</w:t>
      </w:r>
    </w:p>
    <w:p>
      <w:pPr>
        <w:pStyle w:val="ListParagraph"/>
        <w:numPr>
          <w:ilvl w:val="1"/>
          <w:numId w:val="2"/>
        </w:numPr>
        <w:spacing w:after="60" w:before="0"/>
      </w:pPr>
      <w:r>
        <w:t xml:space="preserve">publish, view, flag and withdrawal are audited.</w:t>
      </w:r>
    </w:p>
    <w:p>
      <w:pPr>
        <w:spacing w:after="0"/>
      </w:pPr>
    </w:p>
    <w:p>
      <w:pPr>
        <w:pStyle w:val="Heading1"/>
        <w:keepNext/>
      </w:pPr>
      <w:r>
        <w:t xml:space="preserve">10. Audit log</w:t>
      </w:r>
    </w:p>
    <w:p>
      <w:r>
        <w:t xml:space="preserve">Every connector call is audited twice: once as intent, before any token is released, and once as result. The log is tamper-evident without ever holding payloads.</w:t>
      </w:r>
    </w:p>
    <w:p>
      <w:pPr>
        <w:pStyle w:val="ListParagraph"/>
        <w:numPr>
          <w:ilvl w:val="0"/>
          <w:numId w:val="2"/>
        </w:numPr>
        <w:spacing w:after="60" w:before="0"/>
      </w:pPr>
      <w:r>
        <w:rPr>
          <w:b/>
          <w:bCs/>
        </w:rPr>
        <w:t xml:space="preserve">Storage.</w:t>
      </w:r>
    </w:p>
    <w:p>
      <w:pPr>
        <w:pStyle w:val="ListParagraph"/>
        <w:numPr>
          <w:ilvl w:val="1"/>
          <w:numId w:val="2"/>
        </w:numPr>
        <w:spacing w:after="60" w:before="0"/>
      </w:pPr>
      <w:r>
        <w:t xml:space="preserve">An </w:t>
      </w:r>
      <w:r>
        <w:rPr>
          <w:rStyle w:val="CodeChar"/>
          <w:sz w:val="20"/>
          <w:szCs w:val="20"/>
        </w:rPr>
        <w:t xml:space="preserve">audit</w:t>
      </w:r>
      <w:r>
        <w:t xml:space="preserve"> schema on the same Aurora cluster. Every role gets INSERT only, and a trigger rejects UPDATE and DELETE.</w:t>
      </w:r>
    </w:p>
    <w:p>
      <w:pPr>
        <w:pStyle w:val="ListParagraph"/>
        <w:numPr>
          <w:ilvl w:val="1"/>
          <w:numId w:val="2"/>
        </w:numPr>
        <w:spacing w:after="60" w:before="0"/>
      </w:pPr>
      <w:r>
        <w:t xml:space="preserve">Aurora's three-zone durability gives RPO 0 if a zone fails. Losing the whole region is a GA disaster-recovery item (proposed spec change 12).</w:t>
      </w:r>
    </w:p>
    <w:p>
      <w:pPr>
        <w:pStyle w:val="ListParagraph"/>
        <w:numPr>
          <w:ilvl w:val="0"/>
          <w:numId w:val="2"/>
        </w:numPr>
        <w:spacing w:after="60" w:before="0"/>
      </w:pPr>
      <w:r>
        <w:rPr>
          <w:b/>
          <w:bCs/>
        </w:rPr>
        <w:t xml:space="preserve">Contents.</w:t>
      </w:r>
      <w:r>
        <w:t xml:space="preserve"> Identifiers and hashes only, never payloads or prompt text (SEC‑07):</w:t>
      </w:r>
    </w:p>
    <w:p>
      <w:pPr>
        <w:pStyle w:val="ListParagraph"/>
        <w:numPr>
          <w:ilvl w:val="1"/>
          <w:numId w:val="2"/>
        </w:numPr>
        <w:spacing w:after="60" w:before="0"/>
      </w:pPr>
      <w:r>
        <w:t xml:space="preserve">intent and result for every connector call;</w:t>
      </w:r>
    </w:p>
    <w:p>
      <w:pPr>
        <w:pStyle w:val="ListParagraph"/>
        <w:numPr>
          <w:ilvl w:val="1"/>
          <w:numId w:val="2"/>
        </w:numPr>
        <w:spacing w:after="60" w:before="0"/>
      </w:pPr>
      <w:r>
        <w:t xml:space="preserve">denials and approvals;</w:t>
      </w:r>
    </w:p>
    <w:p>
      <w:pPr>
        <w:pStyle w:val="ListParagraph"/>
        <w:numPr>
          <w:ilvl w:val="1"/>
          <w:numId w:val="2"/>
        </w:numPr>
        <w:spacing w:after="60" w:before="0"/>
      </w:pPr>
      <w:r>
        <w:t xml:space="preserve">budget authorizations;</w:t>
      </w:r>
    </w:p>
    <w:p>
      <w:pPr>
        <w:pStyle w:val="ListParagraph"/>
        <w:numPr>
          <w:ilvl w:val="1"/>
          <w:numId w:val="2"/>
        </w:numPr>
        <w:spacing w:after="60" w:before="0"/>
      </w:pPr>
      <w:r>
        <w:t xml:space="preserve">admin changes and version acceptances;</w:t>
      </w:r>
    </w:p>
    <w:p>
      <w:pPr>
        <w:pStyle w:val="ListParagraph"/>
        <w:numPr>
          <w:ilvl w:val="1"/>
          <w:numId w:val="2"/>
        </w:numPr>
        <w:spacing w:after="60" w:before="0"/>
      </w:pPr>
      <w:r>
        <w:t xml:space="preserve">revocations;</w:t>
      </w:r>
    </w:p>
    <w:p>
      <w:pPr>
        <w:pStyle w:val="ListParagraph"/>
        <w:numPr>
          <w:ilvl w:val="1"/>
          <w:numId w:val="2"/>
        </w:numPr>
        <w:spacing w:after="60" w:before="0"/>
      </w:pPr>
      <w:r>
        <w:t xml:space="preserve">snapshot events.</w:t>
      </w:r>
    </w:p>
    <w:p>
      <w:pPr>
        <w:pStyle w:val="ListParagraph"/>
        <w:numPr>
          <w:ilvl w:val="0"/>
          <w:numId w:val="2"/>
        </w:numPr>
        <w:spacing w:after="60" w:before="0"/>
      </w:pPr>
      <w:r>
        <w:rPr>
          <w:b/>
          <w:bCs/>
        </w:rPr>
        <w:t xml:space="preserve">Personal fields</w:t>
      </w:r>
      <w:r>
        <w:t xml:space="preserve"> are encrypted with per-person data keys, which are themselves wrapped by the tenant key. Search uses blind indexes (keyed HMACs). Crypto-shredding deletes the wrapped key, and is complete once backups older than the deletion expire.</w:t>
      </w:r>
    </w:p>
    <w:p>
      <w:pPr>
        <w:pStyle w:val="ListParagraph"/>
        <w:numPr>
          <w:ilvl w:val="0"/>
          <w:numId w:val="2"/>
        </w:numPr>
        <w:spacing w:after="60" w:before="0"/>
      </w:pPr>
      <w:r>
        <w:rPr>
          <w:b/>
          <w:bCs/>
        </w:rPr>
        <w:t xml:space="preserve">Hash chain (ADM‑07).</w:t>
      </w:r>
    </w:p>
    <w:p>
      <w:pPr>
        <w:pStyle w:val="ListParagraph"/>
        <w:numPr>
          <w:ilvl w:val="1"/>
          <w:numId w:val="2"/>
        </w:numPr>
        <w:spacing w:after="60" w:before="0"/>
      </w:pPr>
      <w:r>
        <w:t xml:space="preserve">The sealer appends </w:t>
      </w:r>
      <w:r>
        <w:rPr>
          <w:rStyle w:val="CodeChar"/>
          <w:sz w:val="20"/>
          <w:szCs w:val="20"/>
        </w:rPr>
        <w:t xml:space="preserve">(tenant, chain_seq, record_id, prev_hash, hash)</w:t>
      </w:r>
      <w:r>
        <w:t xml:space="preserve"> over the encrypted fields.</w:t>
      </w:r>
    </w:p>
    <w:p>
      <w:pPr>
        <w:pStyle w:val="ListParagraph"/>
        <w:numPr>
          <w:ilvl w:val="1"/>
          <w:numId w:val="2"/>
        </w:numPr>
        <w:spacing w:after="60" w:before="0"/>
      </w:pPr>
      <w:r>
        <w:t xml:space="preserve">Every hour a KMS-signed chain head is written to S3 under Object Lock.</w:t>
      </w:r>
    </w:p>
    <w:p>
      <w:pPr>
        <w:pStyle w:val="ListParagraph"/>
        <w:numPr>
          <w:ilvl w:val="1"/>
          <w:numId w:val="2"/>
        </w:numPr>
        <w:spacing w:after="60" w:before="0"/>
      </w:pPr>
      <w:r>
        <w:t xml:space="preserve">The chain is verified daily.</w:t>
      </w:r>
    </w:p>
    <w:p>
      <w:pPr>
        <w:pStyle w:val="ListParagraph"/>
        <w:numPr>
          <w:ilvl w:val="1"/>
          <w:numId w:val="2"/>
        </w:numPr>
        <w:spacing w:after="60" w:before="0"/>
      </w:pPr>
      <w:r>
        <w:t xml:space="preserve">Monthly partitions are archived as Parquet under Object Lock for 1–7 years.</w:t>
      </w:r>
    </w:p>
    <w:p>
      <w:pPr>
        <w:pStyle w:val="ListParagraph"/>
        <w:numPr>
          <w:ilvl w:val="0"/>
          <w:numId w:val="2"/>
        </w:numPr>
        <w:spacing w:after="60" w:before="0"/>
      </w:pPr>
      <w:r>
        <w:rPr>
          <w:b/>
          <w:bCs/>
        </w:rPr>
        <w:t xml:space="preserve">Security monitoring (ADM‑06, beta without SIEM export).</w:t>
      </w:r>
      <w:r>
        <w:t xml:space="preserve"> The admin console's activity feed, policy denials and anomaly alerts read the audit log. Alerts cover unusual volume, new destinations and repeated denied calls.</w:t>
      </w:r>
    </w:p>
    <w:p>
      <w:pPr>
        <w:spacing w:after="0"/>
      </w:pPr>
    </w:p>
    <w:p>
      <w:pPr>
        <w:pStyle w:val="Heading1"/>
        <w:keepNext/>
      </w:pPr>
      <w:r>
        <w:t xml:space="preserve">11. Intake</w:t>
      </w:r>
    </w:p>
    <w:p>
      <w:r>
        <w:t xml:space="preserve">The beta's intake reuses the archived compliance-assistant plan v3.1 design; this table maps it onto Collicity.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0"/>
        <w:gridCol w:w="5770"/>
      </w:tblGrid>
      <w:tr>
        <w:trPr>
          <w:tblHeader/>
        </w:trPr>
        <w:tc>
          <w:tcPr>
            <w:tcW w:type="dxa" w:w="3590"/>
            <w:shd w:fill="F2F2F2" w:color="auto" w:val="clear"/>
            <w:tcMar>
              <w:top w:type="dxa" w:w="60"/>
              <w:left w:type="dxa" w:w="100"/>
              <w:bottom w:type="dxa" w:w="60"/>
              <w:right w:type="dxa" w:w="100"/>
            </w:tcMar>
          </w:tcPr>
          <w:p>
            <w:pPr>
              <w:spacing w:after="0" w:before="0" w:line="252"/>
            </w:pPr>
            <w:r>
              <w:rPr>
                <w:b/>
                <w:bCs/>
                <w:sz w:val="19"/>
                <w:szCs w:val="19"/>
              </w:rPr>
              <w:t xml:space="preserve">v3.1 concept</w:t>
            </w:r>
          </w:p>
        </w:tc>
        <w:tc>
          <w:tcPr>
            <w:tcW w:type="dxa" w:w="5770"/>
            <w:shd w:fill="F2F2F2" w:color="auto" w:val="clear"/>
            <w:tcMar>
              <w:top w:type="dxa" w:w="60"/>
              <w:left w:type="dxa" w:w="100"/>
              <w:bottom w:type="dxa" w:w="60"/>
              <w:right w:type="dxa" w:w="100"/>
            </w:tcMar>
          </w:tcPr>
          <w:p>
            <w:pPr>
              <w:spacing w:after="0" w:before="0" w:line="252"/>
            </w:pPr>
            <w:r>
              <w:rPr>
                <w:b/>
                <w:bCs/>
                <w:sz w:val="19"/>
                <w:szCs w:val="19"/>
              </w:rPr>
              <w:t xml:space="preserve">Collicity</w:t>
            </w:r>
          </w:p>
        </w:tc>
      </w:tr>
      <w:tr>
        <w:trPr>
          <w:tblHeader w:val="off"/>
        </w:trPr>
        <w:tc>
          <w:tcPr>
            <w:tcW w:type="dxa" w:w="3590"/>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deduplicated on (tenant, connector, scope, source_id, version)</w:t>
            </w:r>
          </w:p>
        </w:tc>
        <w:tc>
          <w:tcPr>
            <w:tcW w:type="dxa" w:w="5770"/>
            <w:tcMar>
              <w:top w:type="dxa" w:w="60"/>
              <w:left w:type="dxa" w:w="100"/>
              <w:bottom w:type="dxa" w:w="60"/>
              <w:right w:type="dxa" w:w="100"/>
            </w:tcMar>
          </w:tcPr>
          <w:p>
            <w:pPr>
              <w:spacing w:after="0" w:before="0" w:line="252"/>
            </w:pPr>
            <w:r>
              <w:rPr>
                <w:sz w:val="19"/>
                <w:szCs w:val="19"/>
              </w:rPr>
              <w:t xml:space="preserve">Same tables. The version is a hash of the normalized message, because Graph's change key changes when mail is read or flagged. IDs come from </w:t>
            </w:r>
            <w:r>
              <w:rPr>
                <w:rStyle w:val="CodeChar"/>
                <w:sz w:val="17"/>
                <w:szCs w:val="17"/>
              </w:rPr>
              <w:t xml:space="preserve">Prefer: IdType="ImmutableId"</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Capture before checkpoint, outbox, 410 resync, reconciliation, sync gaps</w:t>
            </w:r>
          </w:p>
        </w:tc>
        <w:tc>
          <w:tcPr>
            <w:tcW w:type="dxa" w:w="5770"/>
            <w:tcMar>
              <w:top w:type="dxa" w:w="60"/>
              <w:left w:type="dxa" w:w="100"/>
              <w:bottom w:type="dxa" w:w="60"/>
              <w:right w:type="dxa" w:w="100"/>
            </w:tcMar>
          </w:tcPr>
          <w:p>
            <w:pPr>
              <w:spacing w:after="0" w:before="0" w:line="252"/>
            </w:pPr>
            <w:r>
              <w:rPr>
                <w:sz w:val="19"/>
                <w:szCs w:val="19"/>
              </w:rPr>
              <w:t xml:space="preserve">One intake workflow per scope: notifications only wake it, and the delta query does the reading. Daily reconciliation also refreshes </w:t>
            </w:r>
            <w:r>
              <w:rPr>
                <w:rStyle w:val="CodeChar"/>
                <w:sz w:val="17"/>
                <w:szCs w:val="17"/>
              </w:rPr>
              <w:t xml:space="preserve">current_acl</w:t>
            </w:r>
          </w:p>
        </w:tc>
      </w:tr>
      <w:tr>
        <w:trPr>
          <w:tblHeader w:val="off"/>
        </w:trPr>
        <w:tc>
          <w:tcPr>
            <w:tcW w:type="dxa" w:w="3590"/>
            <w:tcMar>
              <w:top w:type="dxa" w:w="60"/>
              <w:left w:type="dxa" w:w="100"/>
              <w:bottom w:type="dxa" w:w="60"/>
              <w:right w:type="dxa" w:w="100"/>
            </w:tcMar>
          </w:tcPr>
          <w:p>
            <w:pPr>
              <w:spacing w:after="0" w:before="0" w:line="252"/>
            </w:pPr>
            <w:r>
              <w:rPr>
                <w:rStyle w:val="CodeChar"/>
                <w:sz w:val="17"/>
                <w:szCs w:val="17"/>
              </w:rPr>
              <w:t xml:space="preserve">mail_auth</w:t>
            </w:r>
            <w:r>
              <w:rPr>
                <w:sz w:val="19"/>
                <w:szCs w:val="19"/>
              </w:rPr>
              <w:t xml:space="preserve">, </w:t>
            </w:r>
            <w:r>
              <w:rPr>
                <w:rStyle w:val="CodeChar"/>
                <w:sz w:val="17"/>
                <w:szCs w:val="17"/>
              </w:rPr>
              <w:t xml:space="preserve">sender_identity</w:t>
            </w:r>
            <w:r>
              <w:rPr>
                <w:sz w:val="19"/>
                <w:szCs w:val="19"/>
              </w:rPr>
              <w:t xml:space="preserve">, identity confidence</w:t>
            </w:r>
          </w:p>
        </w:tc>
        <w:tc>
          <w:tcPr>
            <w:tcW w:type="dxa" w:w="5770"/>
            <w:tcMar>
              <w:top w:type="dxa" w:w="60"/>
              <w:left w:type="dxa" w:w="100"/>
              <w:bottom w:type="dxa" w:w="60"/>
              <w:right w:type="dxa" w:w="100"/>
            </w:tcMar>
          </w:tcPr>
          <w:p>
            <w:pPr>
              <w:spacing w:after="0" w:before="0" w:line="252"/>
            </w:pPr>
            <w:r>
              <w:rPr>
                <w:sz w:val="19"/>
                <w:szCs w:val="19"/>
              </w:rPr>
              <w:t xml:space="preserve">Only the Authentication-Results header stamped by the tenant's own Microsoft 365 boundary is trusted. ASG‑15 levels apply. Low-confidence mail goes to the review lane and never triggers a run</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Deterministic pre-filter, suppression floor</w:t>
            </w:r>
          </w:p>
        </w:tc>
        <w:tc>
          <w:tcPr>
            <w:tcW w:type="dxa" w:w="5770"/>
            <w:tcMar>
              <w:top w:type="dxa" w:w="60"/>
              <w:left w:type="dxa" w:w="100"/>
              <w:bottom w:type="dxa" w:w="60"/>
              <w:right w:type="dxa" w:w="100"/>
            </w:tcMar>
          </w:tcPr>
          <w:p>
            <w:pPr>
              <w:spacing w:after="0" w:before="0" w:line="252"/>
            </w:pPr>
            <w:r>
              <w:rPr>
                <w:sz w:val="19"/>
                <w:szCs w:val="19"/>
              </w:rPr>
              <w:t xml:space="preserve">The header-only trigger evaluator (monitored folder, sender rule, ASG‑17 counter). The floor forces human review</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Triage → synthesis</w:t>
            </w:r>
          </w:p>
        </w:tc>
        <w:tc>
          <w:tcPr>
            <w:tcW w:type="dxa" w:w="5770"/>
            <w:tcMar>
              <w:top w:type="dxa" w:w="60"/>
              <w:left w:type="dxa" w:w="100"/>
              <w:bottom w:type="dxa" w:w="60"/>
              <w:right w:type="dxa" w:w="100"/>
            </w:tcMar>
          </w:tcPr>
          <w:p>
            <w:pPr>
              <w:spacing w:after="0" w:before="0" w:line="252"/>
            </w:pPr>
            <w:r>
              <w:rPr>
                <w:sz w:val="19"/>
                <w:szCs w:val="19"/>
              </w:rPr>
              <w:t xml:space="preserve">The intake run (§4.2)</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Obligation</w:t>
            </w:r>
          </w:p>
        </w:tc>
        <w:tc>
          <w:tcPr>
            <w:tcW w:type="dxa" w:w="5770"/>
            <w:tcMar>
              <w:top w:type="dxa" w:w="60"/>
              <w:left w:type="dxa" w:w="100"/>
              <w:bottom w:type="dxa" w:w="60"/>
              <w:right w:type="dxa" w:w="100"/>
            </w:tcMar>
          </w:tcPr>
          <w:p>
            <w:pPr>
              <w:spacing w:after="0" w:before="0" w:line="252"/>
            </w:pPr>
            <w:r>
              <w:rPr>
                <w:rStyle w:val="CodeChar"/>
                <w:sz w:val="17"/>
                <w:szCs w:val="17"/>
              </w:rPr>
              <w:t xml:space="preserve">queue_item</w:t>
            </w:r>
            <w:r>
              <w:rPr>
                <w:sz w:val="19"/>
                <w:szCs w:val="19"/>
              </w:rPr>
              <w:t xml:space="preserve">, with the §18.1 lifecycle. </w:t>
            </w:r>
            <w:r>
              <w:rPr>
                <w:rStyle w:val="CodeChar"/>
                <w:sz w:val="17"/>
                <w:szCs w:val="17"/>
              </w:rPr>
              <w:t xml:space="preserve">assignment_status</w:t>
            </w:r>
            <w:r>
              <w:rPr>
                <w:sz w:val="19"/>
                <w:szCs w:val="19"/>
              </w:rPr>
              <w:t xml:space="preserve"> and </w:t>
            </w:r>
            <w:r>
              <w:rPr>
                <w:rStyle w:val="CodeChar"/>
                <w:sz w:val="17"/>
                <w:szCs w:val="17"/>
              </w:rPr>
              <w:t xml:space="preserve">repair_status</w:t>
            </w:r>
            <w:r>
              <w:rPr>
                <w:sz w:val="19"/>
                <w:szCs w:val="19"/>
              </w:rPr>
              <w:t xml:space="preserve"> are separate fields, as in v3.1 (proposed spec change 11)</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Proposal states</w:t>
            </w:r>
          </w:p>
        </w:tc>
        <w:tc>
          <w:tcPr>
            <w:tcW w:type="dxa" w:w="5770"/>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with v3.1's states plus </w:t>
            </w:r>
            <w:r>
              <w:rPr>
                <w:rStyle w:val="CodeChar"/>
                <w:sz w:val="17"/>
                <w:szCs w:val="17"/>
              </w:rPr>
              <w:t xml:space="preserve">expired</w:t>
            </w:r>
            <w:r>
              <w:rPr>
                <w:sz w:val="19"/>
                <w:szCs w:val="19"/>
              </w:rPr>
              <w:t xml:space="preserve"> and a new </w:t>
            </w:r>
            <w:r>
              <w:rPr>
                <w:rStyle w:val="CodeChar"/>
                <w:sz w:val="17"/>
                <w:szCs w:val="17"/>
              </w:rPr>
              <w:t xml:space="preserve">action</w:t>
            </w:r>
            <w:r>
              <w:rPr>
                <w:sz w:val="19"/>
                <w:szCs w:val="19"/>
              </w:rPr>
              <w:t xml:space="preserve"> kind</w:t>
            </w:r>
          </w:p>
        </w:tc>
      </w:tr>
      <w:tr>
        <w:trPr>
          <w:tblHeader w:val="off"/>
        </w:trPr>
        <w:tc>
          <w:tcPr>
            <w:tcW w:type="dxa" w:w="3590"/>
            <w:tcMar>
              <w:top w:type="dxa" w:w="60"/>
              <w:left w:type="dxa" w:w="100"/>
              <w:bottom w:type="dxa" w:w="60"/>
              <w:right w:type="dxa" w:w="100"/>
            </w:tcMar>
          </w:tcPr>
          <w:p>
            <w:pPr>
              <w:spacing w:after="0" w:before="0" w:line="252"/>
            </w:pPr>
            <w:r>
              <w:rPr>
                <w:rStyle w:val="CodeChar"/>
                <w:sz w:val="17"/>
                <w:szCs w:val="17"/>
              </w:rPr>
              <w:t xml:space="preserve">content_flags</w:t>
            </w:r>
          </w:p>
        </w:tc>
        <w:tc>
          <w:tcPr>
            <w:tcW w:type="dxa" w:w="5770"/>
            <w:tcMar>
              <w:top w:type="dxa" w:w="60"/>
              <w:left w:type="dxa" w:w="100"/>
              <w:bottom w:type="dxa" w:w="60"/>
              <w:right w:type="dxa" w:w="100"/>
            </w:tcMar>
          </w:tcPr>
          <w:p>
            <w:pPr>
              <w:spacing w:after="0" w:before="0" w:line="252"/>
            </w:pPr>
            <w:r>
              <w:rPr>
                <w:sz w:val="19"/>
                <w:szCs w:val="19"/>
              </w:rPr>
              <w:t xml:space="preserve">The model view excludes hidden regions and stripped characters; reviewers see markers</w:t>
            </w:r>
          </w:p>
        </w:tc>
      </w:tr>
      <w:tr>
        <w:trPr>
          <w:tblHeader w:val="off"/>
        </w:trPr>
        <w:tc>
          <w:tcPr>
            <w:tcW w:type="dxa" w:w="3590"/>
            <w:tcMar>
              <w:top w:type="dxa" w:w="60"/>
              <w:left w:type="dxa" w:w="100"/>
              <w:bottom w:type="dxa" w:w="60"/>
              <w:right w:type="dxa" w:w="100"/>
            </w:tcMar>
          </w:tcPr>
          <w:p>
            <w:pPr>
              <w:spacing w:after="0" w:before="0" w:line="252"/>
            </w:pPr>
            <w:r>
              <w:rPr>
                <w:sz w:val="19"/>
                <w:szCs w:val="19"/>
              </w:rPr>
              <w:t xml:space="preserve">Stage-outcome strata, 90-day retention</w:t>
            </w:r>
          </w:p>
        </w:tc>
        <w:tc>
          <w:tcPr>
            <w:tcW w:type="dxa" w:w="5770"/>
            <w:tcMar>
              <w:top w:type="dxa" w:w="60"/>
              <w:left w:type="dxa" w:w="100"/>
              <w:bottom w:type="dxa" w:w="60"/>
              <w:right w:type="dxa" w:w="100"/>
            </w:tcMar>
          </w:tcPr>
          <w:p>
            <w:pPr>
              <w:spacing w:after="0" w:before="0" w:line="252"/>
            </w:pPr>
            <w:r>
              <w:rPr>
                <w:sz w:val="19"/>
                <w:szCs w:val="19"/>
              </w:rPr>
              <w:t xml:space="preserve">The SUP‑06 sampler, including pre-filter drops</w:t>
            </w:r>
          </w:p>
        </w:tc>
      </w:tr>
    </w:tbl>
    <w:p>
      <w:pPr>
        <w:spacing w:after="60"/>
      </w:pPr>
    </w:p>
    <w:p>
      <w:r>
        <w:t xml:space="preserve">Supported beta inputs follow §18.1:</w:t>
      </w:r>
    </w:p>
    <w:p>
      <w:pPr>
        <w:pStyle w:val="ListParagraph"/>
        <w:numPr>
          <w:ilvl w:val="0"/>
          <w:numId w:val="2"/>
        </w:numPr>
        <w:spacing w:after="60" w:before="0"/>
      </w:pPr>
      <w:r>
        <w:t xml:space="preserve">the user's own mailbox, and shared mailboxes they can read;</w:t>
      </w:r>
    </w:p>
    <w:p>
      <w:pPr>
        <w:pStyle w:val="ListParagraph"/>
        <w:numPr>
          <w:ilvl w:val="0"/>
          <w:numId w:val="2"/>
        </w:numPr>
        <w:spacing w:after="60" w:before="0"/>
      </w:pPr>
      <w:r>
        <w:t xml:space="preserve">selected folders, within a 90-day monitored window;</w:t>
      </w:r>
    </w:p>
    <w:p>
      <w:pPr>
        <w:pStyle w:val="ListParagraph"/>
        <w:numPr>
          <w:ilvl w:val="0"/>
          <w:numId w:val="2"/>
        </w:numPr>
        <w:spacing w:after="60" w:before="0"/>
      </w:pPr>
      <w:r>
        <w:t xml:space="preserve">attachments up to 10 MB (PDF, DOCX, XLSX);</w:t>
      </w:r>
    </w:p>
    <w:p>
      <w:pPr>
        <w:pStyle w:val="ListParagraph"/>
        <w:numPr>
          <w:ilvl w:val="0"/>
          <w:numId w:val="2"/>
        </w:numPr>
        <w:spacing w:after="60" w:before="0"/>
      </w:pPr>
      <w:r>
        <w:t xml:space="preserve">English only.</w:t>
      </w:r>
    </w:p>
    <w:p>
      <w:pPr>
        <w:spacing w:after="0"/>
      </w:pPr>
    </w:p>
    <w:p>
      <w:pPr>
        <w:pStyle w:val="Heading1"/>
        <w:keepNext/>
      </w:pPr>
      <w:r>
        <w:t xml:space="preserve">12.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2"/>
        <w:gridCol w:w="3459"/>
        <w:gridCol w:w="4139"/>
      </w:tblGrid>
      <w:tr>
        <w:trPr>
          <w:tblHeader/>
        </w:trPr>
        <w:tc>
          <w:tcPr>
            <w:tcW w:type="dxa" w:w="176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459"/>
            <w:shd w:fill="F2F2F2" w:color="auto" w:val="clear"/>
            <w:tcMar>
              <w:top w:type="dxa" w:w="60"/>
              <w:left w:type="dxa" w:w="100"/>
              <w:bottom w:type="dxa" w:w="60"/>
              <w:right w:type="dxa" w:w="100"/>
            </w:tcMar>
          </w:tcPr>
          <w:p>
            <w:pPr>
              <w:spacing w:after="0" w:before="0" w:line="252"/>
            </w:pPr>
            <w:r>
              <w:rPr>
                <w:b/>
                <w:bCs/>
                <w:sz w:val="19"/>
                <w:szCs w:val="19"/>
              </w:rPr>
              <w:t xml:space="preserve">Tables</w:t>
            </w:r>
          </w:p>
        </w:tc>
        <w:tc>
          <w:tcPr>
            <w:tcW w:type="dxa" w:w="4139"/>
            <w:shd w:fill="F2F2F2" w:color="auto" w:val="clear"/>
            <w:tcMar>
              <w:top w:type="dxa" w:w="60"/>
              <w:left w:type="dxa" w:w="100"/>
              <w:bottom w:type="dxa" w:w="60"/>
              <w:right w:type="dxa" w:w="100"/>
            </w:tcMar>
          </w:tcPr>
          <w:p>
            <w:pPr>
              <w:spacing w:after="0" w:before="0" w:line="252"/>
            </w:pPr>
            <w:r>
              <w:rPr>
                <w:b/>
                <w:bCs/>
                <w:sz w:val="19"/>
                <w:szCs w:val="19"/>
              </w:rPr>
              <w:t xml:space="preserve">Columns that carry the invariants</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Tenancy and identity</w:t>
            </w:r>
          </w:p>
        </w:tc>
        <w:tc>
          <w:tcPr>
            <w:tcW w:type="dxa" w:w="3459"/>
            <w:tcMar>
              <w:top w:type="dxa" w:w="60"/>
              <w:left w:type="dxa" w:w="100"/>
              <w:bottom w:type="dxa" w:w="60"/>
              <w:right w:type="dxa" w:w="100"/>
            </w:tcMar>
          </w:tcPr>
          <w:p>
            <w:pPr>
              <w:spacing w:after="0" w:before="0" w:line="252"/>
            </w:pPr>
            <w:r>
              <w:rPr>
                <w:rStyle w:val="CodeChar"/>
                <w:sz w:val="17"/>
                <w:szCs w:val="17"/>
              </w:rPr>
              <w:t xml:space="preserve">tenant</w:t>
            </w:r>
            <w:r>
              <w:rPr>
                <w:sz w:val="19"/>
                <w:szCs w:val="19"/>
              </w:rPr>
              <w:t xml:space="preserve">, </w:t>
            </w:r>
            <w:r>
              <w:rPr>
                <w:rStyle w:val="CodeChar"/>
                <w:sz w:val="17"/>
                <w:szCs w:val="17"/>
              </w:rPr>
              <w:t xml:space="preserve">principal</w:t>
            </w:r>
            <w:r>
              <w:rPr>
                <w:sz w:val="19"/>
                <w:szCs w:val="19"/>
              </w:rPr>
              <w:t xml:space="preserve">, </w:t>
            </w:r>
            <w:r>
              <w:rPr>
                <w:rStyle w:val="CodeChar"/>
                <w:sz w:val="17"/>
                <w:szCs w:val="17"/>
              </w:rPr>
              <w:t xml:space="preserve">group</w:t>
            </w:r>
            <w:r>
              <w:rPr>
                <w:sz w:val="19"/>
                <w:szCs w:val="19"/>
              </w:rPr>
              <w:t xml:space="preserve">, </w:t>
            </w:r>
            <w:r>
              <w:rPr>
                <w:rStyle w:val="CodeChar"/>
                <w:sz w:val="17"/>
                <w:szCs w:val="17"/>
              </w:rPr>
              <w:t xml:space="preserve">role_grant</w:t>
            </w:r>
          </w:p>
        </w:tc>
        <w:tc>
          <w:tcPr>
            <w:tcW w:type="dxa" w:w="4139"/>
            <w:tcMar>
              <w:top w:type="dxa" w:w="60"/>
              <w:left w:type="dxa" w:w="100"/>
              <w:bottom w:type="dxa" w:w="60"/>
              <w:right w:type="dxa" w:w="100"/>
            </w:tcMar>
          </w:tcPr>
          <w:p>
            <w:pPr>
              <w:spacing w:after="0" w:before="0" w:line="252"/>
            </w:pPr>
            <w:r>
              <w:rPr>
                <w:rStyle w:val="CodeChar"/>
                <w:sz w:val="17"/>
                <w:szCs w:val="17"/>
              </w:rPr>
              <w:t xml:space="preserve">home_region</w:t>
            </w:r>
            <w:r>
              <w:rPr>
                <w:sz w:val="19"/>
                <w:szCs w:val="19"/>
              </w:rPr>
              <w:t xml:space="preserve">; </w:t>
            </w:r>
            <w:r>
              <w:rPr>
                <w:rStyle w:val="CodeChar"/>
                <w:sz w:val="17"/>
                <w:szCs w:val="17"/>
              </w:rPr>
              <w:t xml:space="preserve">principal.status</w:t>
            </w:r>
            <w:r>
              <w:rPr>
                <w:sz w:val="19"/>
                <w:szCs w:val="19"/>
              </w:rPr>
              <w:t xml:space="preserve">, </w:t>
            </w:r>
            <w:r>
              <w:rPr>
                <w:rStyle w:val="CodeChar"/>
                <w:sz w:val="17"/>
                <w:szCs w:val="17"/>
              </w:rPr>
              <w:t xml:space="preserve">kind</w:t>
            </w:r>
            <w:r>
              <w:rPr>
                <w:sz w:val="19"/>
                <w:szCs w:val="19"/>
              </w:rPr>
              <w:t xml:space="preserve"> (person or service), </w:t>
            </w:r>
            <w:r>
              <w:rPr>
                <w:rStyle w:val="CodeChar"/>
                <w:sz w:val="17"/>
                <w:szCs w:val="17"/>
              </w:rPr>
              <w:t xml:space="preserve">epoch</w:t>
            </w:r>
            <w:r>
              <w:rPr>
                <w:sz w:val="19"/>
                <w:szCs w:val="19"/>
              </w:rPr>
              <w:t xml:space="preserve">, </w:t>
            </w:r>
            <w:r>
              <w:rPr>
                <w:rStyle w:val="CodeChar"/>
                <w:sz w:val="17"/>
                <w:szCs w:val="17"/>
              </w:rPr>
              <w:t xml:space="preserve">idp_subject</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Standing instructions</w:t>
            </w:r>
          </w:p>
        </w:tc>
        <w:tc>
          <w:tcPr>
            <w:tcW w:type="dxa" w:w="3459"/>
            <w:tcMar>
              <w:top w:type="dxa" w:w="60"/>
              <w:left w:type="dxa" w:w="100"/>
              <w:bottom w:type="dxa" w:w="60"/>
              <w:right w:type="dxa" w:w="100"/>
            </w:tcMar>
          </w:tcPr>
          <w:p>
            <w:pPr>
              <w:spacing w:after="0" w:before="0" w:line="252"/>
            </w:pPr>
            <w:r>
              <w:rPr>
                <w:rStyle w:val="CodeChar"/>
                <w:sz w:val="17"/>
                <w:szCs w:val="17"/>
              </w:rPr>
              <w:t xml:space="preserve">assignment</w:t>
            </w:r>
            <w:r>
              <w:rPr>
                <w:sz w:val="19"/>
                <w:szCs w:val="19"/>
              </w:rPr>
              <w:t xml:space="preserve">, </w:t>
            </w:r>
            <w:r>
              <w:rPr>
                <w:rStyle w:val="CodeChar"/>
                <w:sz w:val="17"/>
                <w:szCs w:val="17"/>
              </w:rPr>
              <w:t xml:space="preserve">assignment_version</w:t>
            </w:r>
            <w:r>
              <w:rPr>
                <w:sz w:val="19"/>
                <w:szCs w:val="19"/>
              </w:rPr>
              <w:t xml:space="preserve">, </w:t>
            </w:r>
            <w:r>
              <w:rPr>
                <w:rStyle w:val="CodeChar"/>
                <w:sz w:val="17"/>
                <w:szCs w:val="17"/>
              </w:rPr>
              <w:t xml:space="preserve">version_acceptance</w:t>
            </w:r>
          </w:p>
        </w:tc>
        <w:tc>
          <w:tcPr>
            <w:tcW w:type="dxa" w:w="4139"/>
            <w:tcMar>
              <w:top w:type="dxa" w:w="60"/>
              <w:left w:type="dxa" w:w="100"/>
              <w:bottom w:type="dxa" w:w="60"/>
              <w:right w:type="dxa" w:w="100"/>
            </w:tcMar>
          </w:tcPr>
          <w:p>
            <w:pPr>
              <w:spacing w:after="0" w:before="0" w:line="252"/>
            </w:pPr>
            <w:r>
              <w:rPr>
                <w:sz w:val="19"/>
                <w:szCs w:val="19"/>
              </w:rPr>
              <w:t xml:space="preserve">Immutable task graph, grants, budgets, manifest pins, content hash, taint; </w:t>
            </w:r>
            <w:r>
              <w:rPr>
                <w:rStyle w:val="CodeChar"/>
                <w:sz w:val="17"/>
                <w:szCs w:val="17"/>
              </w:rPr>
              <w:t xml:space="preserve">accepted_by</w:t>
            </w:r>
            <w:r>
              <w:rPr>
                <w:sz w:val="19"/>
                <w:szCs w:val="19"/>
              </w:rPr>
              <w:t xml:space="preserve"> (a person); widening diff</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Connectors</w:t>
            </w:r>
          </w:p>
        </w:tc>
        <w:tc>
          <w:tcPr>
            <w:tcW w:type="dxa" w:w="3459"/>
            <w:tcMar>
              <w:top w:type="dxa" w:w="60"/>
              <w:left w:type="dxa" w:w="100"/>
              <w:bottom w:type="dxa" w:w="60"/>
              <w:right w:type="dxa" w:w="100"/>
            </w:tcMar>
          </w:tcPr>
          <w:p>
            <w:pPr>
              <w:spacing w:after="0" w:before="0" w:line="252"/>
            </w:pPr>
            <w:r>
              <w:rPr>
                <w:rStyle w:val="CodeChar"/>
                <w:sz w:val="17"/>
                <w:szCs w:val="17"/>
              </w:rPr>
              <w:t xml:space="preserve">connector_manifest</w:t>
            </w:r>
            <w:r>
              <w:rPr>
                <w:sz w:val="19"/>
                <w:szCs w:val="19"/>
              </w:rPr>
              <w:t xml:space="preserve">, </w:t>
            </w:r>
            <w:r>
              <w:rPr>
                <w:rStyle w:val="CodeChar"/>
                <w:sz w:val="17"/>
                <w:szCs w:val="17"/>
              </w:rPr>
              <w:t xml:space="preserve">connection</w:t>
            </w:r>
            <w:r>
              <w:rPr>
                <w:sz w:val="19"/>
                <w:szCs w:val="19"/>
              </w:rPr>
              <w:t xml:space="preserve">, </w:t>
            </w:r>
            <w:r>
              <w:rPr>
                <w:rStyle w:val="CodeChar"/>
                <w:sz w:val="17"/>
                <w:szCs w:val="17"/>
              </w:rPr>
              <w:t xml:space="preserve">vault.token</w:t>
            </w:r>
            <w:r>
              <w:rPr>
                <w:sz w:val="19"/>
                <w:szCs w:val="19"/>
              </w:rPr>
              <w:t xml:space="preserve">, </w:t>
            </w:r>
            <w:r>
              <w:rPr>
                <w:rStyle w:val="CodeChar"/>
                <w:sz w:val="17"/>
                <w:szCs w:val="17"/>
              </w:rPr>
              <w:t xml:space="preserve">step_grant</w:t>
            </w:r>
            <w:r>
              <w:rPr>
                <w:sz w:val="19"/>
                <w:szCs w:val="19"/>
              </w:rPr>
              <w:t xml:space="preserve">, </w:t>
            </w:r>
            <w:r>
              <w:rPr>
                <w:rStyle w:val="CodeChar"/>
                <w:sz w:val="17"/>
                <w:szCs w:val="17"/>
              </w:rPr>
              <w:t xml:space="preserve">capability_usage</w:t>
            </w:r>
          </w:p>
        </w:tc>
        <w:tc>
          <w:tcPr>
            <w:tcW w:type="dxa" w:w="4139"/>
            <w:tcMar>
              <w:top w:type="dxa" w:w="60"/>
              <w:left w:type="dxa" w:w="100"/>
              <w:bottom w:type="dxa" w:w="60"/>
              <w:right w:type="dxa" w:w="100"/>
            </w:tcMar>
          </w:tcPr>
          <w:p>
            <w:pPr>
              <w:spacing w:after="0" w:before="0" w:line="252"/>
            </w:pPr>
            <w:r>
              <w:rPr>
                <w:sz w:val="19"/>
                <w:szCs w:val="19"/>
              </w:rPr>
              <w:t xml:space="preserve">Signed manifest (action classes, recovery and duplicate-prevention classes, resource parameters, cost model, replay window, hosts); bound </w:t>
            </w:r>
            <w:r>
              <w:rPr>
                <w:rStyle w:val="CodeChar"/>
                <w:sz w:val="17"/>
                <w:szCs w:val="17"/>
              </w:rPr>
              <w:t xml:space="preserve">tid</w:t>
            </w:r>
            <w:r>
              <w:rPr>
                <w:sz w:val="19"/>
                <w:szCs w:val="19"/>
              </w:rPr>
              <w:t xml:space="preserve">/</w:t>
            </w:r>
            <w:r>
              <w:rPr>
                <w:rStyle w:val="CodeChar"/>
                <w:sz w:val="17"/>
                <w:szCs w:val="17"/>
              </w:rPr>
              <w:t xml:space="preserve">oid</w:t>
            </w:r>
            <w:r>
              <w:rPr>
                <w:sz w:val="19"/>
                <w:szCs w:val="19"/>
              </w:rPr>
              <w:t xml:space="preserve"> and consented scopes; ciphertext readable only by </w:t>
            </w:r>
            <w:r>
              <w:rPr>
                <w:rStyle w:val="CodeChar"/>
                <w:sz w:val="17"/>
                <w:szCs w:val="17"/>
              </w:rPr>
              <w:t xml:space="preserve">gw</w:t>
            </w:r>
            <w:r>
              <w:rPr>
                <w:sz w:val="19"/>
                <w:szCs w:val="19"/>
              </w:rPr>
              <w:t xml:space="preserve">; grant expiry and epochs; </w:t>
            </w:r>
            <w:r>
              <w:rPr>
                <w:rStyle w:val="CodeChar"/>
                <w:sz w:val="17"/>
                <w:szCs w:val="17"/>
              </w:rPr>
              <w:t xml:space="preserve">used ≤ limit</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Execution</w:t>
            </w:r>
          </w:p>
        </w:tc>
        <w:tc>
          <w:tcPr>
            <w:tcW w:type="dxa" w:w="3459"/>
            <w:tcMar>
              <w:top w:type="dxa" w:w="60"/>
              <w:left w:type="dxa" w:w="100"/>
              <w:bottom w:type="dxa" w:w="60"/>
              <w:right w:type="dxa" w:w="100"/>
            </w:tcMar>
          </w:tcPr>
          <w:p>
            <w:pPr>
              <w:spacing w:after="0" w:before="0" w:line="252"/>
            </w:pPr>
            <w:r>
              <w:rPr>
                <w:rStyle w:val="CodeChar"/>
                <w:sz w:val="17"/>
                <w:szCs w:val="17"/>
              </w:rPr>
              <w:t xml:space="preserve">run</w:t>
            </w:r>
            <w:r>
              <w:rPr>
                <w:sz w:val="19"/>
                <w:szCs w:val="19"/>
              </w:rPr>
              <w:t xml:space="preserve">, </w:t>
            </w:r>
            <w:r>
              <w:rPr>
                <w:rStyle w:val="CodeChar"/>
                <w:sz w:val="17"/>
                <w:szCs w:val="17"/>
              </w:rPr>
              <w:t xml:space="preserve">run_step</w:t>
            </w:r>
            <w:r>
              <w:rPr>
                <w:sz w:val="19"/>
                <w:szCs w:val="19"/>
              </w:rPr>
              <w:t xml:space="preserve">, </w:t>
            </w:r>
            <w:r>
              <w:rPr>
                <w:rStyle w:val="CodeChar"/>
                <w:sz w:val="17"/>
                <w:szCs w:val="17"/>
              </w:rPr>
              <w:t xml:space="preserve">trigger_event</w:t>
            </w:r>
            <w:r>
              <w:rPr>
                <w:sz w:val="19"/>
                <w:szCs w:val="19"/>
              </w:rPr>
              <w:t xml:space="preserve">, </w:t>
            </w:r>
            <w:r>
              <w:rPr>
                <w:rStyle w:val="CodeChar"/>
                <w:sz w:val="17"/>
                <w:szCs w:val="17"/>
              </w:rPr>
              <w:t xml:space="preserve">effect</w:t>
            </w:r>
            <w:r>
              <w:rPr>
                <w:sz w:val="19"/>
                <w:szCs w:val="19"/>
              </w:rPr>
              <w:t xml:space="preserve">, </w:t>
            </w:r>
            <w:r>
              <w:rPr>
                <w:rStyle w:val="CodeChar"/>
                <w:sz w:val="17"/>
                <w:szCs w:val="17"/>
              </w:rPr>
              <w:t xml:space="preserve">repair_item</w:t>
            </w:r>
          </w:p>
        </w:tc>
        <w:tc>
          <w:tcPr>
            <w:tcW w:type="dxa" w:w="4139"/>
            <w:tcMar>
              <w:top w:type="dxa" w:w="60"/>
              <w:left w:type="dxa" w:w="100"/>
              <w:bottom w:type="dxa" w:w="60"/>
              <w:right w:type="dxa" w:w="100"/>
            </w:tcMar>
          </w:tcPr>
          <w:p>
            <w:pPr>
              <w:spacing w:after="0" w:before="0" w:line="252"/>
            </w:pPr>
            <w:r>
              <w:rPr>
                <w:rStyle w:val="CodeChar"/>
                <w:sz w:val="17"/>
                <w:szCs w:val="17"/>
              </w:rPr>
              <w:t xml:space="preserve">state</w:t>
            </w:r>
            <w:r>
              <w:rPr>
                <w:sz w:val="19"/>
                <w:szCs w:val="19"/>
              </w:rPr>
              <w:t xml:space="preserve">, </w:t>
            </w:r>
            <w:r>
              <w:rPr>
                <w:rStyle w:val="CodeChar"/>
                <w:sz w:val="17"/>
                <w:szCs w:val="17"/>
              </w:rPr>
              <w:t xml:space="preserve">state_version</w:t>
            </w:r>
            <w:r>
              <w:rPr>
                <w:sz w:val="19"/>
                <w:szCs w:val="19"/>
              </w:rPr>
              <w:t xml:space="preserve">, </w:t>
            </w:r>
            <w:r>
              <w:rPr>
                <w:rStyle w:val="CodeChar"/>
                <w:sz w:val="17"/>
                <w:szCs w:val="17"/>
              </w:rPr>
              <w:t xml:space="preserve">segment_no</w:t>
            </w:r>
            <w:r>
              <w:rPr>
                <w:sz w:val="19"/>
                <w:szCs w:val="19"/>
              </w:rPr>
              <w:t xml:space="preserve">, </w:t>
            </w:r>
            <w:r>
              <w:rPr>
                <w:rStyle w:val="CodeChar"/>
                <w:sz w:val="17"/>
                <w:szCs w:val="17"/>
              </w:rPr>
              <w:t xml:space="preserve">continuation</w:t>
            </w:r>
            <w:r>
              <w:rPr>
                <w:sz w:val="19"/>
                <w:szCs w:val="19"/>
              </w:rPr>
              <w:t xml:space="preserve">, </w:t>
            </w:r>
            <w:r>
              <w:rPr>
                <w:rStyle w:val="CodeChar"/>
                <w:sz w:val="17"/>
                <w:szCs w:val="17"/>
              </w:rPr>
              <w:t xml:space="preserve">price_version</w:t>
            </w:r>
            <w:r>
              <w:rPr>
                <w:sz w:val="19"/>
                <w:szCs w:val="19"/>
              </w:rPr>
              <w:t xml:space="preserve">; unique dedup key with expiry; unique idempotency key, </w:t>
            </w:r>
            <w:r>
              <w:rPr>
                <w:rStyle w:val="CodeChar"/>
                <w:sz w:val="17"/>
                <w:szCs w:val="17"/>
              </w:rPr>
              <w:t xml:space="preserve">params_hash</w:t>
            </w:r>
            <w:r>
              <w:rPr>
                <w:sz w:val="19"/>
                <w:szCs w:val="19"/>
              </w:rPr>
              <w:t xml:space="preserve">, class, outcome (sending, applied, unknown, failed, compensated), prior values</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Approvals</w:t>
            </w:r>
          </w:p>
        </w:tc>
        <w:tc>
          <w:tcPr>
            <w:tcW w:type="dxa" w:w="3459"/>
            <w:tcMar>
              <w:top w:type="dxa" w:w="60"/>
              <w:left w:type="dxa" w:w="100"/>
              <w:bottom w:type="dxa" w:w="60"/>
              <w:right w:type="dxa" w:w="100"/>
            </w:tcMar>
          </w:tcPr>
          <w:p>
            <w:pPr>
              <w:spacing w:after="0" w:before="0" w:line="252"/>
            </w:pPr>
            <w:r>
              <w:rPr>
                <w:rStyle w:val="CodeChar"/>
                <w:sz w:val="17"/>
                <w:szCs w:val="17"/>
              </w:rPr>
              <w:t xml:space="preserve">approval_request</w:t>
            </w:r>
          </w:p>
        </w:tc>
        <w:tc>
          <w:tcPr>
            <w:tcW w:type="dxa" w:w="4139"/>
            <w:tcMar>
              <w:top w:type="dxa" w:w="60"/>
              <w:left w:type="dxa" w:w="100"/>
              <w:bottom w:type="dxa" w:w="60"/>
              <w:right w:type="dxa" w:w="100"/>
            </w:tcMar>
          </w:tcPr>
          <w:p>
            <w:pPr>
              <w:spacing w:after="0" w:before="0" w:line="252"/>
            </w:pPr>
            <w:r>
              <w:rPr>
                <w:sz w:val="19"/>
                <w:szCs w:val="19"/>
              </w:rPr>
              <w:t xml:space="preserve">Canonical parameters and hash; both base versions; bound compensation; visibility set; state (including </w:t>
            </w:r>
            <w:r>
              <w:rPr>
                <w:rStyle w:val="CodeChar"/>
                <w:sz w:val="17"/>
                <w:szCs w:val="17"/>
              </w:rPr>
              <w:t xml:space="preserve">expired</w:t>
            </w:r>
            <w:r>
              <w:rPr>
                <w:sz w:val="19"/>
                <w:szCs w:val="19"/>
              </w:rPr>
              <w:t xml:space="preserve">); </w:t>
            </w:r>
            <w:r>
              <w:rPr>
                <w:rStyle w:val="CodeChar"/>
                <w:sz w:val="17"/>
                <w:szCs w:val="17"/>
              </w:rPr>
              <w:t xml:space="preserve">expires_at</w:t>
            </w:r>
            <w:r>
              <w:rPr>
                <w:sz w:val="19"/>
                <w:szCs w:val="19"/>
              </w:rPr>
              <w:t xml:space="preserve">; </w:t>
            </w:r>
            <w:r>
              <w:rPr>
                <w:rStyle w:val="CodeChar"/>
                <w:sz w:val="17"/>
                <w:szCs w:val="17"/>
              </w:rPr>
              <w:t xml:space="preserve">consumed_at</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Intake and queue</w:t>
            </w:r>
          </w:p>
        </w:tc>
        <w:tc>
          <w:tcPr>
            <w:tcW w:type="dxa" w:w="3459"/>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w:t>
            </w:r>
            <w:r>
              <w:rPr>
                <w:rStyle w:val="CodeChar"/>
                <w:sz w:val="17"/>
                <w:szCs w:val="17"/>
              </w:rPr>
              <w:t xml:space="preserve">scope_sync</w:t>
            </w:r>
            <w:r>
              <w:rPr>
                <w:sz w:val="19"/>
                <w:szCs w:val="19"/>
              </w:rPr>
              <w:t xml:space="preserve">, </w:t>
            </w:r>
            <w:r>
              <w:rPr>
                <w:rStyle w:val="CodeChar"/>
                <w:sz w:val="17"/>
                <w:szCs w:val="17"/>
              </w:rPr>
              <w:t xml:space="preserve">sync_gap</w:t>
            </w:r>
            <w:r>
              <w:rPr>
                <w:sz w:val="19"/>
                <w:szCs w:val="19"/>
              </w:rPr>
              <w:t xml:space="preserve">, </w:t>
            </w:r>
            <w:r>
              <w:rPr>
                <w:rStyle w:val="CodeChar"/>
                <w:sz w:val="17"/>
                <w:szCs w:val="17"/>
              </w:rPr>
              <w:t xml:space="preserve">queue_item</w:t>
            </w:r>
            <w:r>
              <w:rPr>
                <w:sz w:val="19"/>
                <w:szCs w:val="19"/>
              </w:rPr>
              <w:t xml:space="preserve">, </w:t>
            </w:r>
            <w:r>
              <w:rPr>
                <w:rStyle w:val="CodeChar"/>
                <w:sz w:val="17"/>
                <w:szCs w:val="17"/>
              </w:rPr>
              <w:t xml:space="preserve">evidence_link</w:t>
            </w:r>
            <w:r>
              <w:rPr>
                <w:sz w:val="19"/>
                <w:szCs w:val="19"/>
              </w:rPr>
              <w:t xml:space="preserve">, </w:t>
            </w:r>
            <w:r>
              <w:rPr>
                <w:rStyle w:val="CodeChar"/>
                <w:sz w:val="17"/>
                <w:szCs w:val="17"/>
              </w:rPr>
              <w:t xml:space="preserve">review_decision</w:t>
            </w:r>
            <w:r>
              <w:rPr>
                <w:sz w:val="19"/>
                <w:szCs w:val="19"/>
              </w:rPr>
              <w:t xml:space="preserve">, </w:t>
            </w:r>
            <w:r>
              <w:rPr>
                <w:rStyle w:val="CodeChar"/>
                <w:sz w:val="17"/>
                <w:szCs w:val="17"/>
              </w:rPr>
              <w:t xml:space="preserve">sender_counter</w:t>
            </w:r>
          </w:p>
        </w:tc>
        <w:tc>
          <w:tcPr>
            <w:tcW w:type="dxa" w:w="4139"/>
            <w:tcMar>
              <w:top w:type="dxa" w:w="60"/>
              <w:left w:type="dxa" w:w="100"/>
              <w:bottom w:type="dxa" w:w="60"/>
              <w:right w:type="dxa" w:w="100"/>
            </w:tcMar>
          </w:tcPr>
          <w:p>
            <w:pPr>
              <w:spacing w:after="0" w:before="0" w:line="252"/>
            </w:pPr>
            <w:r>
              <w:rPr>
                <w:rStyle w:val="CodeChar"/>
                <w:sz w:val="17"/>
                <w:szCs w:val="17"/>
              </w:rPr>
              <w:t xml:space="preserve">current_acl</w:t>
            </w:r>
            <w:r>
              <w:rPr>
                <w:sz w:val="19"/>
                <w:szCs w:val="19"/>
              </w:rPr>
              <w:t xml:space="preserve">; identity confidence, content flags, references to the model view and offset map, stage outcome; item status, </w:t>
            </w:r>
            <w:r>
              <w:rPr>
                <w:rStyle w:val="CodeChar"/>
                <w:sz w:val="17"/>
                <w:szCs w:val="17"/>
              </w:rPr>
              <w:t xml:space="preserve">assignment_status</w:t>
            </w:r>
            <w:r>
              <w:rPr>
                <w:sz w:val="19"/>
                <w:szCs w:val="19"/>
              </w:rPr>
              <w:t xml:space="preserve">, </w:t>
            </w:r>
            <w:r>
              <w:rPr>
                <w:rStyle w:val="CodeChar"/>
                <w:sz w:val="17"/>
                <w:szCs w:val="17"/>
              </w:rPr>
              <w:t xml:space="preserve">repair_status</w:t>
            </w:r>
            <w:r>
              <w:rPr>
                <w:sz w:val="19"/>
                <w:szCs w:val="19"/>
              </w:rPr>
              <w:t xml:space="preserve">, approved fields, revisions</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Lineage and visibility</w:t>
            </w:r>
          </w:p>
        </w:tc>
        <w:tc>
          <w:tcPr>
            <w:tcW w:type="dxa" w:w="3459"/>
            <w:tcMar>
              <w:top w:type="dxa" w:w="60"/>
              <w:left w:type="dxa" w:w="100"/>
              <w:bottom w:type="dxa" w:w="60"/>
              <w:right w:type="dxa" w:w="100"/>
            </w:tcMar>
          </w:tcPr>
          <w:p>
            <w:pPr>
              <w:spacing w:after="0" w:before="0" w:line="252"/>
            </w:pPr>
            <w:r>
              <w:rPr>
                <w:rStyle w:val="CodeChar"/>
                <w:sz w:val="17"/>
                <w:szCs w:val="17"/>
              </w:rPr>
              <w:t xml:space="preserve">lineage</w:t>
            </w:r>
            <w:r>
              <w:rPr>
                <w:sz w:val="19"/>
                <w:szCs w:val="19"/>
              </w:rPr>
              <w:t xml:space="preserve">, </w:t>
            </w:r>
            <w:r>
              <w:rPr>
                <w:rStyle w:val="CodeChar"/>
                <w:sz w:val="17"/>
                <w:szCs w:val="17"/>
              </w:rPr>
              <w:t xml:space="preserve">visibility_set</w:t>
            </w:r>
            <w:r>
              <w:rPr>
                <w:sz w:val="19"/>
                <w:szCs w:val="19"/>
              </w:rPr>
              <w:t xml:space="preserve">, </w:t>
            </w:r>
            <w:r>
              <w:rPr>
                <w:rStyle w:val="CodeChar"/>
                <w:sz w:val="17"/>
                <w:szCs w:val="17"/>
              </w:rPr>
              <w:t xml:space="preserve">visibility_member</w:t>
            </w:r>
          </w:p>
        </w:tc>
        <w:tc>
          <w:tcPr>
            <w:tcW w:type="dxa" w:w="4139"/>
            <w:tcMar>
              <w:top w:type="dxa" w:w="60"/>
              <w:left w:type="dxa" w:w="100"/>
              <w:bottom w:type="dxa" w:w="60"/>
              <w:right w:type="dxa" w:w="100"/>
            </w:tcMar>
          </w:tcPr>
          <w:p>
            <w:pPr>
              <w:spacing w:after="0" w:before="0" w:line="252"/>
            </w:pPr>
            <w:r>
              <w:rPr>
                <w:sz w:val="19"/>
                <w:szCs w:val="19"/>
              </w:rPr>
              <w:t xml:space="preserve">Sources and taint; the RLS predicate for </w:t>
            </w:r>
            <w:r>
              <w:rPr>
                <w:rStyle w:val="CodeChar"/>
                <w:sz w:val="17"/>
                <w:szCs w:val="17"/>
              </w:rPr>
              <w:t xml:space="preserve">app_user</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Budget</w:t>
            </w:r>
          </w:p>
        </w:tc>
        <w:tc>
          <w:tcPr>
            <w:tcW w:type="dxa" w:w="3459"/>
            <w:tcMar>
              <w:top w:type="dxa" w:w="60"/>
              <w:left w:type="dxa" w:w="100"/>
              <w:bottom w:type="dxa" w:w="60"/>
              <w:right w:type="dxa" w:w="100"/>
            </w:tcMar>
          </w:tcPr>
          <w:p>
            <w:pPr>
              <w:spacing w:after="0" w:before="0" w:line="252"/>
            </w:pPr>
            <w:r>
              <w:rPr>
                <w:rStyle w:val="CodeChar"/>
                <w:sz w:val="17"/>
                <w:szCs w:val="17"/>
              </w:rPr>
              <w:t xml:space="preserve">ledger_account</w:t>
            </w:r>
            <w:r>
              <w:rPr>
                <w:sz w:val="19"/>
                <w:szCs w:val="19"/>
              </w:rPr>
              <w:t xml:space="preserve">, </w:t>
            </w:r>
            <w:r>
              <w:rPr>
                <w:rStyle w:val="CodeChar"/>
                <w:sz w:val="17"/>
                <w:szCs w:val="17"/>
              </w:rPr>
              <w:t xml:space="preserve">reservation</w:t>
            </w:r>
            <w:r>
              <w:rPr>
                <w:sz w:val="19"/>
                <w:szCs w:val="19"/>
              </w:rPr>
              <w:t xml:space="preserve">, </w:t>
            </w:r>
            <w:r>
              <w:rPr>
                <w:rStyle w:val="CodeChar"/>
                <w:sz w:val="17"/>
                <w:szCs w:val="17"/>
              </w:rPr>
              <w:t xml:space="preserve">ledger_entry</w:t>
            </w:r>
            <w:r>
              <w:rPr>
                <w:sz w:val="19"/>
                <w:szCs w:val="19"/>
              </w:rPr>
              <w:t xml:space="preserve">, </w:t>
            </w:r>
            <w:r>
              <w:rPr>
                <w:rStyle w:val="CodeChar"/>
                <w:sz w:val="17"/>
                <w:szCs w:val="17"/>
              </w:rPr>
              <w:t xml:space="preserve">limit_change</w:t>
            </w:r>
            <w:r>
              <w:rPr>
                <w:sz w:val="19"/>
                <w:szCs w:val="19"/>
              </w:rPr>
              <w:t xml:space="preserve">, </w:t>
            </w:r>
            <w:r>
              <w:rPr>
                <w:rStyle w:val="CodeChar"/>
                <w:sz w:val="17"/>
                <w:szCs w:val="17"/>
              </w:rPr>
              <w:t xml:space="preserve">price_version</w:t>
            </w:r>
          </w:p>
        </w:tc>
        <w:tc>
          <w:tcPr>
            <w:tcW w:type="dxa" w:w="4139"/>
            <w:tcMar>
              <w:top w:type="dxa" w:w="60"/>
              <w:left w:type="dxa" w:w="100"/>
              <w:bottom w:type="dxa" w:w="60"/>
              <w:right w:type="dxa" w:w="100"/>
            </w:tcMar>
          </w:tcPr>
          <w:p>
            <w:pPr>
              <w:spacing w:after="0" w:before="0" w:line="252"/>
            </w:pPr>
            <w:r>
              <w:rPr>
                <w:sz w:val="19"/>
                <w:szCs w:val="19"/>
              </w:rPr>
              <w:t xml:space="preserve">Limit, spent, reserved, lock rank, alerts sent; reservation state</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Models and quality</w:t>
            </w:r>
          </w:p>
        </w:tc>
        <w:tc>
          <w:tcPr>
            <w:tcW w:type="dxa" w:w="3459"/>
            <w:tcMar>
              <w:top w:type="dxa" w:w="60"/>
              <w:left w:type="dxa" w:w="100"/>
              <w:bottom w:type="dxa" w:w="60"/>
              <w:right w:type="dxa" w:w="100"/>
            </w:tcMar>
          </w:tcPr>
          <w:p>
            <w:pPr>
              <w:spacing w:after="0" w:before="0" w:line="252"/>
            </w:pPr>
            <w:r>
              <w:rPr>
                <w:rStyle w:val="CodeChar"/>
                <w:sz w:val="17"/>
                <w:szCs w:val="17"/>
              </w:rPr>
              <w:t xml:space="preserve">model_catalog</w:t>
            </w:r>
            <w:r>
              <w:rPr>
                <w:sz w:val="19"/>
                <w:szCs w:val="19"/>
              </w:rPr>
              <w:t xml:space="preserve">, </w:t>
            </w:r>
            <w:r>
              <w:rPr>
                <w:rStyle w:val="CodeChar"/>
                <w:sz w:val="17"/>
                <w:szCs w:val="17"/>
              </w:rPr>
              <w:t xml:space="preserve">router_decision</w:t>
            </w:r>
            <w:r>
              <w:rPr>
                <w:sz w:val="19"/>
                <w:szCs w:val="19"/>
              </w:rPr>
              <w:t xml:space="preserve">, </w:t>
            </w:r>
            <w:r>
              <w:rPr>
                <w:rStyle w:val="CodeChar"/>
                <w:sz w:val="17"/>
                <w:szCs w:val="17"/>
              </w:rPr>
              <w:t xml:space="preserve">model_call</w:t>
            </w:r>
            <w:r>
              <w:rPr>
                <w:sz w:val="19"/>
                <w:szCs w:val="19"/>
              </w:rPr>
              <w:t xml:space="preserve">, </w:t>
            </w:r>
            <w:r>
              <w:rPr>
                <w:rStyle w:val="CodeChar"/>
                <w:sz w:val="17"/>
                <w:szCs w:val="17"/>
              </w:rPr>
              <w:t xml:space="preserve">evidence_record</w:t>
            </w:r>
            <w:r>
              <w:rPr>
                <w:sz w:val="19"/>
                <w:szCs w:val="19"/>
              </w:rPr>
              <w:t xml:space="preserve">, </w:t>
            </w:r>
            <w:r>
              <w:rPr>
                <w:rStyle w:val="CodeChar"/>
                <w:sz w:val="17"/>
                <w:szCs w:val="17"/>
              </w:rPr>
              <w:t xml:space="preserve">attempt</w:t>
            </w:r>
            <w:r>
              <w:rPr>
                <w:sz w:val="19"/>
                <w:szCs w:val="19"/>
              </w:rPr>
              <w:t xml:space="preserve">, </w:t>
            </w:r>
            <w:r>
              <w:rPr>
                <w:rStyle w:val="CodeChar"/>
                <w:sz w:val="17"/>
                <w:szCs w:val="17"/>
              </w:rPr>
              <w:t xml:space="preserve">adjudication</w:t>
            </w:r>
          </w:p>
        </w:tc>
        <w:tc>
          <w:tcPr>
            <w:tcW w:type="dxa" w:w="4139"/>
            <w:tcMar>
              <w:top w:type="dxa" w:w="60"/>
              <w:left w:type="dxa" w:w="100"/>
              <w:bottom w:type="dxa" w:w="60"/>
              <w:right w:type="dxa" w:w="100"/>
            </w:tcMar>
          </w:tcPr>
          <w:p>
            <w:pPr>
              <w:spacing w:after="0" w:before="0" w:line="252"/>
            </w:pPr>
            <w:r>
              <w:rPr>
                <w:sz w:val="19"/>
                <w:szCs w:val="19"/>
              </w:rPr>
              <w:t xml:space="preserve">Provider terms (retention, zero data retention, region); labels provisional until the outcome window closes</w:t>
            </w:r>
          </w:p>
        </w:tc>
      </w:tr>
      <w:tr>
        <w:trPr>
          <w:tblHeader w:val="off"/>
        </w:trPr>
        <w:tc>
          <w:tcPr>
            <w:tcW w:type="dxa" w:w="1762"/>
            <w:tcMar>
              <w:top w:type="dxa" w:w="60"/>
              <w:left w:type="dxa" w:w="100"/>
              <w:bottom w:type="dxa" w:w="60"/>
              <w:right w:type="dxa" w:w="100"/>
            </w:tcMar>
          </w:tcPr>
          <w:p>
            <w:pPr>
              <w:spacing w:after="0" w:before="0" w:line="252"/>
            </w:pPr>
            <w:r>
              <w:rPr>
                <w:sz w:val="19"/>
                <w:szCs w:val="19"/>
              </w:rPr>
              <w:t xml:space="preserve">Audit and outbox</w:t>
            </w:r>
          </w:p>
        </w:tc>
        <w:tc>
          <w:tcPr>
            <w:tcW w:type="dxa" w:w="3459"/>
            <w:tcMar>
              <w:top w:type="dxa" w:w="60"/>
              <w:left w:type="dxa" w:w="100"/>
              <w:bottom w:type="dxa" w:w="60"/>
              <w:right w:type="dxa" w:w="100"/>
            </w:tcMar>
          </w:tcPr>
          <w:p>
            <w:pPr>
              <w:spacing w:after="0" w:before="0" w:line="252"/>
            </w:pPr>
            <w:r>
              <w:rPr>
                <w:rStyle w:val="CodeChar"/>
                <w:sz w:val="17"/>
                <w:szCs w:val="17"/>
              </w:rPr>
              <w:t xml:space="preserve">audit.record</w:t>
            </w:r>
            <w:r>
              <w:rPr>
                <w:sz w:val="19"/>
                <w:szCs w:val="19"/>
              </w:rPr>
              <w:t xml:space="preserve">, </w:t>
            </w:r>
            <w:r>
              <w:rPr>
                <w:rStyle w:val="CodeChar"/>
                <w:sz w:val="17"/>
                <w:szCs w:val="17"/>
              </w:rPr>
              <w:t xml:space="preserve">audit.seal</w:t>
            </w:r>
            <w:r>
              <w:rPr>
                <w:sz w:val="19"/>
                <w:szCs w:val="19"/>
              </w:rPr>
              <w:t xml:space="preserve">, </w:t>
            </w:r>
            <w:r>
              <w:rPr>
                <w:rStyle w:val="CodeChar"/>
                <w:sz w:val="17"/>
                <w:szCs w:val="17"/>
              </w:rPr>
              <w:t xml:space="preserve">audit.anchor</w:t>
            </w:r>
            <w:r>
              <w:rPr>
                <w:sz w:val="19"/>
                <w:szCs w:val="19"/>
              </w:rPr>
              <w:t xml:space="preserve">, </w:t>
            </w:r>
            <w:r>
              <w:rPr>
                <w:rStyle w:val="CodeChar"/>
                <w:sz w:val="17"/>
                <w:szCs w:val="17"/>
              </w:rPr>
              <w:t xml:space="preserve">person_key</w:t>
            </w:r>
            <w:r>
              <w:rPr>
                <w:sz w:val="19"/>
                <w:szCs w:val="19"/>
              </w:rPr>
              <w:t xml:space="preserve">, </w:t>
            </w:r>
            <w:r>
              <w:rPr>
                <w:rStyle w:val="CodeChar"/>
                <w:sz w:val="17"/>
                <w:szCs w:val="17"/>
              </w:rPr>
              <w:t xml:space="preserve">outbox_event</w:t>
            </w:r>
          </w:p>
        </w:tc>
        <w:tc>
          <w:tcPr>
            <w:tcW w:type="dxa" w:w="4139"/>
            <w:tcMar>
              <w:top w:type="dxa" w:w="60"/>
              <w:left w:type="dxa" w:w="100"/>
              <w:bottom w:type="dxa" w:w="60"/>
              <w:right w:type="dxa" w:w="100"/>
            </w:tcMar>
          </w:tcPr>
          <w:p>
            <w:pPr>
              <w:spacing w:after="0" w:before="0" w:line="252"/>
            </w:pPr>
            <w:r>
              <w:rPr>
                <w:sz w:val="19"/>
                <w:szCs w:val="19"/>
              </w:rPr>
              <w:t xml:space="preserve">INSERT-only; chain hashes; sequence assigned at publish; visibility set</w:t>
            </w:r>
          </w:p>
        </w:tc>
      </w:tr>
    </w:tbl>
    <w:p>
      <w:pPr>
        <w:spacing w:after="60"/>
      </w:pPr>
    </w:p>
    <w:p>
      <w:r>
        <w:rPr>
          <w:b/>
          <w:bCs/>
        </w:rPr>
        <w:t xml:space="preserve">Retention and deletion (SEC‑04).</w:t>
      </w:r>
      <w:r>
        <w:t xml:space="preserve"> Retention jobs enforce the spec's §15 data-class table:</w:t>
      </w:r>
    </w:p>
    <w:p>
      <w:pPr>
        <w:pStyle w:val="ListParagraph"/>
        <w:numPr>
          <w:ilvl w:val="0"/>
          <w:numId w:val="2"/>
        </w:numPr>
        <w:spacing w:after="60" w:before="0"/>
      </w:pPr>
      <w:r>
        <w:t xml:space="preserve">connector payloads are kept for the run plus 7 days, or 90 days for discarded items and the evaluation set;</w:t>
      </w:r>
    </w:p>
    <w:p>
      <w:pPr>
        <w:pStyle w:val="ListParagraph"/>
        <w:numPr>
          <w:ilvl w:val="0"/>
          <w:numId w:val="2"/>
        </w:numPr>
        <w:spacing w:after="60" w:before="0"/>
      </w:pPr>
      <w:r>
        <w:t xml:space="preserve">prompts and model outputs, 30 days by default;</w:t>
      </w:r>
    </w:p>
    <w:p>
      <w:pPr>
        <w:pStyle w:val="ListParagraph"/>
        <w:numPr>
          <w:ilvl w:val="0"/>
          <w:numId w:val="2"/>
        </w:numPr>
        <w:spacing w:after="60" w:before="0"/>
      </w:pPr>
      <w:r>
        <w:t xml:space="preserve">derived metadata is pseudonymized when a person is removed;</w:t>
      </w:r>
    </w:p>
    <w:p>
      <w:pPr>
        <w:pStyle w:val="ListParagraph"/>
        <w:numPr>
          <w:ilvl w:val="0"/>
          <w:numId w:val="2"/>
        </w:numPr>
        <w:spacing w:after="60" w:before="0"/>
      </w:pPr>
      <w:r>
        <w:t xml:space="preserve">audit records follow §10.</w:t>
      </w:r>
    </w:p>
    <w:p>
      <w:pPr>
        <w:spacing w:after="0"/>
      </w:pPr>
    </w:p>
    <w:p>
      <w:r>
        <w:t xml:space="preserve">A person's export and deletion requests run per class.</w:t>
      </w:r>
    </w:p>
    <w:p>
      <w:pPr>
        <w:pStyle w:val="Heading1"/>
        <w:keepNext/>
      </w:pPr>
      <w:r>
        <w:t xml:space="preserve">13. Repository and environments</w:t>
      </w:r>
    </w:p>
    <w:p>
      <w:pPr>
        <w:pStyle w:val="Code"/>
        <w:spacing w:after="0" w:before="60"/>
      </w:pPr>
      <w:r>
        <w:t xml:space="preserve">apps/web                     Vite + React single-page app (client and admin console)</w:t>
      </w:r>
    </w:p>
    <w:p>
      <w:pPr>
        <w:pStyle w:val="Code"/>
        <w:spacing w:after="0" w:before="0"/>
      </w:pPr>
      <w:r>
        <w:t xml:space="preserve">packages/ui, api-client      React Aria design system; client generated from OpenAPI</w:t>
      </w:r>
    </w:p>
    <w:p>
      <w:pPr>
        <w:pStyle w:val="Code"/>
        <w:spacing w:after="0" w:before="0"/>
      </w:pPr>
      <w:r>
        <w:t xml:space="preserve">python/                      uv workspace</w:t>
      </w:r>
    </w:p>
    <w:p>
      <w:pPr>
        <w:pStyle w:val="Code"/>
        <w:spacing w:after="0" w:before="0"/>
      </w:pPr>
      <w:r>
        <w:t xml:space="preserve">  services/                  app, worker, gateway, extract</w:t>
      </w:r>
    </w:p>
    <w:p>
      <w:pPr>
        <w:pStyle w:val="Code"/>
        <w:spacing w:after="0" w:before="0"/>
      </w:pPr>
      <w:r>
        <w:t xml:space="preserve">  libs/                      core, db (RLS sessions, Alembic), ledger, grants, broker, llm, router,</w:t>
      </w:r>
    </w:p>
    <w:p>
      <w:pPr>
        <w:pStyle w:val="Code"/>
        <w:spacing w:after="0" w:before="0"/>
      </w:pPr>
      <w:r>
        <w:t xml:space="preserve">                             supervisor, connectors (graph, partner ticketing), intake, untrusted,</w:t>
      </w:r>
    </w:p>
    <w:p>
      <w:pPr>
        <w:pStyle w:val="Code"/>
        <w:spacing w:after="0" w:before="0"/>
      </w:pPr>
      <w:r>
        <w:t xml:space="preserve">                             lineage, audit</w:t>
      </w:r>
    </w:p>
    <w:p>
      <w:pPr>
        <w:pStyle w:val="Code"/>
        <w:spacing w:after="0" w:before="0"/>
      </w:pPr>
      <w:r>
        <w:t xml:space="preserve">  testing/                   fake Graph, fake ticketing, external receivers, scripted and malicious</w:t>
      </w:r>
    </w:p>
    <w:p>
      <w:pPr>
        <w:pStyle w:val="Code"/>
        <w:spacing w:after="0" w:before="0"/>
      </w:pPr>
      <w:r>
        <w:t xml:space="preserve">                             model stubs, honeytokens</w:t>
      </w:r>
    </w:p>
    <w:p>
      <w:pPr>
        <w:pStyle w:val="Code"/>
        <w:spacing w:after="0" w:before="0"/>
      </w:pPr>
      <w:r>
        <w:t xml:space="preserve">schemas/                     connector manifest, capability grant, assignment DSL, events (JSON Schema)</w:t>
      </w:r>
    </w:p>
    <w:p>
      <w:pPr>
        <w:pStyle w:val="Code"/>
        <w:spacing w:after="0" w:before="0"/>
      </w:pPr>
      <w:r>
        <w:t xml:space="preserve">infra/terraform              VPC (three egress tiers), Aurora, ECS, Lambda, KMS, S3, CloudFront, WAF,</w:t>
      </w:r>
    </w:p>
    <w:p>
      <w:pPr>
        <w:pStyle w:val="Code"/>
        <w:spacing w:after="0" w:before="0"/>
      </w:pPr>
      <w:r>
        <w:t xml:space="preserve">                             Network Firewall, Temporal PrivateLink</w:t>
      </w:r>
    </w:p>
    <w:p>
      <w:pPr>
        <w:pStyle w:val="Code"/>
        <w:spacing w:after="160" w:before="0"/>
      </w:pPr>
      <w:r>
        <w:t xml:space="preserve">tests/                       invariants, redteam, acceptance, e2e</w:t>
      </w:r>
    </w:p>
    <w:p>
      <w:pPr>
        <w:pStyle w:val="ListParagraph"/>
        <w:numPr>
          <w:ilvl w:val="0"/>
          <w:numId w:val="2"/>
        </w:numPr>
        <w:spacing w:after="60" w:before="0"/>
      </w:pPr>
      <w:r>
        <w:rPr>
          <w:b/>
          <w:bCs/>
        </w:rPr>
        <w:t xml:space="preserve">Local development.</w:t>
      </w:r>
      <w:r>
        <w:t xml:space="preserve"> </w:t>
      </w:r>
      <w:r>
        <w:rPr>
          <w:rStyle w:val="CodeChar"/>
          <w:sz w:val="20"/>
          <w:szCs w:val="20"/>
        </w:rPr>
        <w:t xml:space="preserve">just dev</w:t>
      </w:r>
      <w:r>
        <w:t xml:space="preserve"> starts Postgres, the Temporal dev server, LocalStack (S3, KMS, Lambda) and the fakes in Docker Compose.</w:t>
      </w:r>
    </w:p>
    <w:p>
      <w:pPr>
        <w:pStyle w:val="ListParagraph"/>
        <w:numPr>
          <w:ilvl w:val="0"/>
          <w:numId w:val="2"/>
        </w:numPr>
        <w:spacing w:after="60" w:before="0"/>
      </w:pPr>
      <w:r>
        <w:rPr>
          <w:b/>
          <w:bCs/>
        </w:rPr>
        <w:t xml:space="preserve">Environments.</w:t>
      </w:r>
      <w:r>
        <w:t xml:space="preserve"> dev, staging and prod in the beta region, with prod-eu at GA. Configuration comes from the environment and feature flags, never from code branches.</w:t>
      </w:r>
    </w:p>
    <w:p>
      <w:pPr>
        <w:pStyle w:val="ListParagraph"/>
        <w:numPr>
          <w:ilvl w:val="0"/>
          <w:numId w:val="2"/>
        </w:numPr>
        <w:spacing w:after="60" w:before="0"/>
      </w:pPr>
      <w:r>
        <w:rPr>
          <w:b/>
          <w:bCs/>
        </w:rPr>
        <w:t xml:space="preserve">CI.</w:t>
      </w:r>
    </w:p>
    <w:p>
      <w:pPr>
        <w:pStyle w:val="ListParagraph"/>
        <w:numPr>
          <w:ilvl w:val="1"/>
          <w:numId w:val="2"/>
        </w:numPr>
        <w:spacing w:after="60" w:before="0"/>
      </w:pPr>
      <w:r>
        <w:t xml:space="preserve">Lint and types: ruff, pyright and Biome.</w:t>
      </w:r>
    </w:p>
    <w:p>
      <w:pPr>
        <w:pStyle w:val="ListParagraph"/>
        <w:numPr>
          <w:ilvl w:val="1"/>
          <w:numId w:val="2"/>
        </w:numPr>
        <w:spacing w:after="60" w:before="0"/>
      </w:pPr>
      <w:r>
        <w:t xml:space="preserve">Tests: pytest with Hypothesis and testcontainers; Temporal replay tests; Playwright with axe.</w:t>
      </w:r>
    </w:p>
    <w:p>
      <w:pPr>
        <w:pStyle w:val="ListParagraph"/>
        <w:numPr>
          <w:ilvl w:val="1"/>
          <w:numId w:val="2"/>
        </w:numPr>
        <w:spacing w:after="60" w:before="0"/>
      </w:pPr>
      <w:r>
        <w:t xml:space="preserve">Security (SEC‑02): Semgrep, Dependabot, gitleaks, Syft SBOMs and cosign signatures.</w:t>
      </w:r>
    </w:p>
    <w:p>
      <w:pPr>
        <w:pStyle w:val="ListParagraph"/>
        <w:numPr>
          <w:ilvl w:val="1"/>
          <w:numId w:val="2"/>
        </w:numPr>
        <w:spacing w:after="60" w:before="0"/>
      </w:pPr>
      <w:r>
        <w:t xml:space="preserve">The invariant and red-team suites run on every change to a prompt, the model registry or a manifest.</w:t>
      </w:r>
    </w:p>
    <w:p>
      <w:pPr>
        <w:spacing w:after="0"/>
      </w:pPr>
    </w:p>
    <w:p>
      <w:pPr>
        <w:pStyle w:val="Heading1"/>
        <w:keepNext/>
      </w:pPr>
      <w:r>
        <w:t xml:space="preserve">14. Build plan</w:t>
      </w:r>
    </w:p>
    <w:p>
      <w:r>
        <w:t xml:space="preserve">Buy everything that isn't the product, build the enforcement and runtime core thin, and defer anything the Beta column doesn't require.</w:t>
      </w:r>
    </w:p>
    <w:p>
      <w:pPr>
        <w:pStyle w:val="ListParagraph"/>
        <w:numPr>
          <w:ilvl w:val="0"/>
          <w:numId w:val="2"/>
        </w:numPr>
        <w:spacing w:after="60" w:before="0"/>
      </w:pPr>
      <w:r>
        <w:rPr>
          <w:b/>
          <w:bCs/>
        </w:rPr>
        <w:t xml:space="preserve">Buy:</w:t>
      </w:r>
    </w:p>
    <w:p>
      <w:pPr>
        <w:pStyle w:val="ListParagraph"/>
        <w:numPr>
          <w:ilvl w:val="1"/>
          <w:numId w:val="2"/>
        </w:numPr>
        <w:spacing w:after="60" w:before="0"/>
      </w:pPr>
      <w:r>
        <w:t xml:space="preserve">WorkOS and Temporal Cloud;</w:t>
      </w:r>
    </w:p>
    <w:p>
      <w:pPr>
        <w:pStyle w:val="ListParagraph"/>
        <w:numPr>
          <w:ilvl w:val="1"/>
          <w:numId w:val="2"/>
        </w:numPr>
        <w:spacing w:after="60" w:before="0"/>
      </w:pPr>
      <w:r>
        <w:t xml:space="preserve">AWS managed services: Aurora, ECS Fargate, Lambda, KMS, Secrets Manager, SES, CloudFront, WAF, Network Firewall;</w:t>
      </w:r>
    </w:p>
    <w:p>
      <w:pPr>
        <w:pStyle w:val="ListParagraph"/>
        <w:numPr>
          <w:ilvl w:val="1"/>
          <w:numId w:val="2"/>
        </w:numPr>
        <w:spacing w:after="60" w:before="0"/>
      </w:pPr>
      <w:r>
        <w:t xml:space="preserve">Sentry and PostHog;</w:t>
      </w:r>
    </w:p>
    <w:p>
      <w:pPr>
        <w:pStyle w:val="ListParagraph"/>
        <w:numPr>
          <w:ilvl w:val="1"/>
          <w:numId w:val="2"/>
        </w:numPr>
        <w:spacing w:after="60" w:before="0"/>
      </w:pPr>
      <w:r>
        <w:t xml:space="preserve">an external AI red team for gate 0;</w:t>
      </w:r>
    </w:p>
    <w:p>
      <w:pPr>
        <w:pStyle w:val="ListParagraph"/>
        <w:numPr>
          <w:ilvl w:val="1"/>
          <w:numId w:val="2"/>
        </w:numPr>
        <w:spacing w:after="60" w:before="0"/>
      </w:pPr>
      <w:r>
        <w:t xml:space="preserve">for GA, Vanta or Drata and a penetration test.</w:t>
      </w:r>
    </w:p>
    <w:p>
      <w:pPr>
        <w:pStyle w:val="ListParagraph"/>
        <w:numPr>
          <w:ilvl w:val="0"/>
          <w:numId w:val="2"/>
        </w:numPr>
        <w:spacing w:after="60" w:before="0"/>
      </w:pPr>
      <w:r>
        <w:rPr>
          <w:b/>
          <w:bCs/>
        </w:rPr>
        <w:t xml:space="preserve">Build thin:</w:t>
      </w:r>
      <w:r>
        <w:t xml:space="preserve"> the gateway, run engine, ledger, intake, </w:t>
      </w:r>
      <w:r>
        <w:rPr>
          <w:rStyle w:val="CodeChar"/>
          <w:sz w:val="20"/>
          <w:szCs w:val="20"/>
        </w:rPr>
        <w:t xml:space="preserve">untrusted</w:t>
      </w:r>
      <w:r>
        <w:t xml:space="preserve">, the queue UI and the adjudication UI.</w:t>
      </w:r>
    </w:p>
    <w:p>
      <w:pPr>
        <w:pStyle w:val="ListParagraph"/>
        <w:numPr>
          <w:ilvl w:val="0"/>
          <w:numId w:val="2"/>
        </w:numPr>
        <w:spacing w:after="60" w:before="0"/>
      </w:pPr>
      <w:r>
        <w:rPr>
          <w:b/>
          <w:bCs/>
        </w:rPr>
        <w:t xml:space="preserve">Defer:</w:t>
      </w:r>
      <w:r>
        <w:t xml:space="preserve"> everything marked Defer in §2.</w:t>
      </w:r>
    </w:p>
    <w:p>
      <w:pPr>
        <w:pStyle w:val="ListParagraph"/>
        <w:numPr>
          <w:ilvl w:val="0"/>
          <w:numId w:val="2"/>
        </w:numPr>
        <w:spacing w:after="60" w:before="0"/>
      </w:pPr>
      <w:r>
        <w:rPr>
          <w:b/>
          <w:bCs/>
        </w:rPr>
        <w:t xml:space="preserve">Lanes:</w:t>
      </w:r>
      <w:r>
        <w:t xml:space="preserve"> A is platform and execution, B is connectors and intake, C is web.</w:t>
      </w:r>
    </w:p>
    <w:p>
      <w:pPr>
        <w:spacing w:after="0"/>
      </w:pPr>
    </w:p>
    <w:p>
      <w:pPr>
        <w:spacing w:after="200" w:before="120"/>
        <w:jc w:val="center"/>
      </w:pPr>
      <w:r>
        <w:drawing>
          <wp:inline distT="0" distB="0" distL="0" distR="0">
            <wp:extent cx="5943600" cy="3629025"/>
            <wp:effectExtent t="0" r="0" b="0" l="0"/>
            <wp:docPr id="4" name="tech-build-plan.png" descr="Build plan · indicative schedule for a team of three" title="Build plan · indicative schedule for a team of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29025"/>
                    </a:xfrm>
                    <a:prstGeom prst="rect">
                      <a:avLst/>
                    </a:prstGeom>
                  </pic:spPr>
                </pic:pic>
              </a:graphicData>
            </a:graphic>
          </wp:inline>
        </w:drawing>
      </w:r>
    </w:p>
    <w:p>
      <w:pPr>
        <w:pStyle w:val="Heading2"/>
        <w:keepNext/>
      </w:pPr>
      <w:r>
        <w:t xml:space="preserve">14.1 Phase 0 — foundations to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5"/>
        <w:gridCol w:w="3469"/>
        <w:gridCol w:w="757"/>
        <w:gridCol w:w="1385"/>
        <w:gridCol w:w="3034"/>
      </w:tblGrid>
      <w:tr>
        <w:trPr>
          <w:tblHeader/>
        </w:trPr>
        <w:tc>
          <w:tcPr>
            <w:tcW w:type="dxa" w:w="715"/>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469"/>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57"/>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385"/>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3034"/>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P0.1</w:t>
            </w:r>
          </w:p>
        </w:tc>
        <w:tc>
          <w:tcPr>
            <w:tcW w:type="dxa" w:w="3469"/>
            <w:tcMar>
              <w:top w:type="dxa" w:w="60"/>
              <w:left w:type="dxa" w:w="100"/>
              <w:bottom w:type="dxa" w:w="60"/>
              <w:right w:type="dxa" w:w="100"/>
            </w:tcMar>
          </w:tcPr>
          <w:p>
            <w:pPr>
              <w:spacing w:after="0" w:before="0" w:line="252"/>
            </w:pPr>
            <w:r>
              <w:rPr>
                <w:sz w:val="19"/>
                <w:szCs w:val="19"/>
              </w:rPr>
              <w:t xml:space="preserve">Terraform with three egress tiers; CI and SEC‑02 scanning; database roles and RLS (SEC‑09); WorkOS SSO and SCIM (ADM‑01); SEC‑01, SEC‑03</w:t>
            </w:r>
          </w:p>
        </w:tc>
        <w:tc>
          <w:tcPr>
            <w:tcW w:type="dxa" w:w="757"/>
            <w:tcMar>
              <w:top w:type="dxa" w:w="60"/>
              <w:left w:type="dxa" w:w="100"/>
              <w:bottom w:type="dxa" w:w="60"/>
              <w:right w:type="dxa" w:w="100"/>
            </w:tcMar>
          </w:tcPr>
          <w:p>
            <w:pPr>
              <w:spacing w:after="0" w:before="0" w:line="252"/>
            </w:pPr>
            <w:r>
              <w:rPr>
                <w:sz w:val="19"/>
                <w:szCs w:val="19"/>
              </w:rPr>
              <w:t xml:space="preserve">A</w:t>
            </w:r>
          </w:p>
        </w:tc>
        <w:tc>
          <w:tcPr>
            <w:tcW w:type="dxa" w:w="1385"/>
            <w:tcMar>
              <w:top w:type="dxa" w:w="60"/>
              <w:left w:type="dxa" w:w="100"/>
              <w:bottom w:type="dxa" w:w="60"/>
              <w:right w:type="dxa" w:w="100"/>
            </w:tcMar>
          </w:tcPr>
          <w:p>
            <w:pPr>
              <w:spacing w:after="0" w:before="0" w:line="252"/>
            </w:pPr>
            <w:r>
              <w:rPr>
                <w:sz w:val="19"/>
                <w:szCs w:val="19"/>
              </w:rPr>
              <w:t xml:space="preserve">4–5</w:t>
            </w:r>
          </w:p>
        </w:tc>
        <w:tc>
          <w:tcPr>
            <w:tcW w:type="dxa" w:w="3034"/>
            <w:tcMar>
              <w:top w:type="dxa" w:w="60"/>
              <w:left w:type="dxa" w:w="100"/>
              <w:bottom w:type="dxa" w:w="60"/>
              <w:right w:type="dxa" w:w="100"/>
            </w:tcMar>
          </w:tcPr>
          <w:p>
            <w:pPr>
              <w:spacing w:after="0" w:before="0" w:line="252"/>
            </w:pPr>
            <w:r>
              <w:rPr>
                <w:sz w:val="19"/>
                <w:szCs w:val="19"/>
              </w:rPr>
              <w:t xml:space="preserve">Two tenants sign in; cross-tenant and wrong-role tests pass</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P0.2</w:t>
            </w:r>
          </w:p>
        </w:tc>
        <w:tc>
          <w:tcPr>
            <w:tcW w:type="dxa" w:w="3469"/>
            <w:tcMar>
              <w:top w:type="dxa" w:w="60"/>
              <w:left w:type="dxa" w:w="100"/>
              <w:bottom w:type="dxa" w:w="60"/>
              <w:right w:type="dxa" w:w="100"/>
            </w:tcMar>
          </w:tcPr>
          <w:p>
            <w:pPr>
              <w:spacing w:after="0" w:before="0" w:line="252"/>
            </w:pPr>
            <w:r>
              <w:rPr>
                <w:sz w:val="19"/>
                <w:szCs w:val="19"/>
              </w:rPr>
              <w:t xml:space="preserve">Spikes S1–S8 (§14.4)</w:t>
            </w:r>
          </w:p>
        </w:tc>
        <w:tc>
          <w:tcPr>
            <w:tcW w:type="dxa" w:w="757"/>
            <w:tcMar>
              <w:top w:type="dxa" w:w="60"/>
              <w:left w:type="dxa" w:w="100"/>
              <w:bottom w:type="dxa" w:w="60"/>
              <w:right w:type="dxa" w:w="100"/>
            </w:tcMar>
          </w:tcPr>
          <w:p>
            <w:pPr>
              <w:spacing w:after="0" w:before="0" w:line="252"/>
            </w:pPr>
            <w:r>
              <w:rPr>
                <w:sz w:val="19"/>
                <w:szCs w:val="19"/>
              </w:rPr>
              <w:t xml:space="preserve">All</w:t>
            </w:r>
          </w:p>
        </w:tc>
        <w:tc>
          <w:tcPr>
            <w:tcW w:type="dxa" w:w="1385"/>
            <w:tcMar>
              <w:top w:type="dxa" w:w="60"/>
              <w:left w:type="dxa" w:w="100"/>
              <w:bottom w:type="dxa" w:w="60"/>
              <w:right w:type="dxa" w:w="100"/>
            </w:tcMar>
          </w:tcPr>
          <w:p>
            <w:pPr>
              <w:spacing w:after="0" w:before="0" w:line="252"/>
            </w:pPr>
            <w:r>
              <w:rPr>
                <w:sz w:val="19"/>
                <w:szCs w:val="19"/>
              </w:rPr>
              <w:t xml:space="preserve">3–4</w:t>
            </w:r>
          </w:p>
        </w:tc>
        <w:tc>
          <w:tcPr>
            <w:tcW w:type="dxa" w:w="3034"/>
            <w:tcMar>
              <w:top w:type="dxa" w:w="60"/>
              <w:left w:type="dxa" w:w="100"/>
              <w:bottom w:type="dxa" w:w="60"/>
              <w:right w:type="dxa" w:w="100"/>
            </w:tcMar>
          </w:tcPr>
          <w:p>
            <w:pPr>
              <w:spacing w:after="0" w:before="0" w:line="252"/>
            </w:pPr>
            <w:r>
              <w:rPr>
                <w:sz w:val="19"/>
                <w:szCs w:val="19"/>
              </w:rPr>
              <w:t xml:space="preserve">Spike memos; each beta action's duplicate-prevention and recovery class confirmed</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P0.3</w:t>
            </w:r>
          </w:p>
        </w:tc>
        <w:tc>
          <w:tcPr>
            <w:tcW w:type="dxa" w:w="3469"/>
            <w:tcMar>
              <w:top w:type="dxa" w:w="60"/>
              <w:left w:type="dxa" w:w="100"/>
              <w:bottom w:type="dxa" w:w="60"/>
              <w:right w:type="dxa" w:w="100"/>
            </w:tcMar>
          </w:tcPr>
          <w:p>
            <w:pPr>
              <w:spacing w:after="0" w:before="0" w:line="252"/>
            </w:pPr>
            <w:r>
              <w:rPr>
                <w:sz w:val="19"/>
                <w:szCs w:val="19"/>
              </w:rPr>
              <w:t xml:space="preserve">Fake Graph (mail, delta, 410, Excel, lists, drafts), fake ticketing and external receivers, all with fault injection</w:t>
            </w:r>
          </w:p>
        </w:tc>
        <w:tc>
          <w:tcPr>
            <w:tcW w:type="dxa" w:w="757"/>
            <w:tcMar>
              <w:top w:type="dxa" w:w="60"/>
              <w:left w:type="dxa" w:w="100"/>
              <w:bottom w:type="dxa" w:w="60"/>
              <w:right w:type="dxa" w:w="100"/>
            </w:tcMar>
          </w:tcPr>
          <w:p>
            <w:pPr>
              <w:spacing w:after="0" w:before="0" w:line="252"/>
            </w:pPr>
            <w:r>
              <w:rPr>
                <w:sz w:val="19"/>
                <w:szCs w:val="19"/>
              </w:rPr>
              <w:t xml:space="preserve">B</w:t>
            </w:r>
          </w:p>
        </w:tc>
        <w:tc>
          <w:tcPr>
            <w:tcW w:type="dxa" w:w="1385"/>
            <w:tcMar>
              <w:top w:type="dxa" w:w="60"/>
              <w:left w:type="dxa" w:w="100"/>
              <w:bottom w:type="dxa" w:w="60"/>
              <w:right w:type="dxa" w:w="100"/>
            </w:tcMar>
          </w:tcPr>
          <w:p>
            <w:pPr>
              <w:spacing w:after="0" w:before="0" w:line="252"/>
            </w:pPr>
            <w:r>
              <w:rPr>
                <w:sz w:val="19"/>
                <w:szCs w:val="19"/>
              </w:rPr>
              <w:t xml:space="preserve">3</w:t>
            </w:r>
          </w:p>
        </w:tc>
        <w:tc>
          <w:tcPr>
            <w:tcW w:type="dxa" w:w="3034"/>
            <w:tcMar>
              <w:top w:type="dxa" w:w="60"/>
              <w:left w:type="dxa" w:w="100"/>
              <w:bottom w:type="dxa" w:w="60"/>
              <w:right w:type="dxa" w:w="100"/>
            </w:tcMar>
          </w:tcPr>
          <w:p>
            <w:pPr>
              <w:spacing w:after="0" w:before="0" w:line="252"/>
            </w:pPr>
            <w:r>
              <w:rPr>
                <w:sz w:val="19"/>
                <w:szCs w:val="19"/>
              </w:rPr>
              <w:t xml:space="preserve">Every RUN‑07 failure mode can be triggered</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P0.4</w:t>
            </w:r>
          </w:p>
        </w:tc>
        <w:tc>
          <w:tcPr>
            <w:tcW w:type="dxa" w:w="3469"/>
            <w:tcMar>
              <w:top w:type="dxa" w:w="60"/>
              <w:left w:type="dxa" w:w="100"/>
              <w:bottom w:type="dxa" w:w="60"/>
              <w:right w:type="dxa" w:w="100"/>
            </w:tcMar>
          </w:tcPr>
          <w:p>
            <w:pPr>
              <w:spacing w:after="0" w:before="0" w:line="252"/>
            </w:pPr>
            <w:r>
              <w:rPr>
                <w:sz w:val="19"/>
                <w:szCs w:val="19"/>
              </w:rPr>
              <w:t xml:space="preserve">Price catalog and ledger (BUD‑01, 03, 08, 10; BUD‑06 without groups); model adapter (PRV‑01, 03, 05; PRV‑02 only for a partner's own cloud)</w:t>
            </w:r>
          </w:p>
        </w:tc>
        <w:tc>
          <w:tcPr>
            <w:tcW w:type="dxa" w:w="757"/>
            <w:tcMar>
              <w:top w:type="dxa" w:w="60"/>
              <w:left w:type="dxa" w:w="100"/>
              <w:bottom w:type="dxa" w:w="60"/>
              <w:right w:type="dxa" w:w="100"/>
            </w:tcMar>
          </w:tcPr>
          <w:p>
            <w:pPr>
              <w:spacing w:after="0" w:before="0" w:line="252"/>
            </w:pPr>
            <w:r>
              <w:rPr>
                <w:sz w:val="19"/>
                <w:szCs w:val="19"/>
              </w:rPr>
              <w:t xml:space="preserve">A</w:t>
            </w:r>
          </w:p>
        </w:tc>
        <w:tc>
          <w:tcPr>
            <w:tcW w:type="dxa" w:w="1385"/>
            <w:tcMar>
              <w:top w:type="dxa" w:w="60"/>
              <w:left w:type="dxa" w:w="100"/>
              <w:bottom w:type="dxa" w:w="60"/>
              <w:right w:type="dxa" w:w="100"/>
            </w:tcMar>
          </w:tcPr>
          <w:p>
            <w:pPr>
              <w:spacing w:after="0" w:before="0" w:line="252"/>
            </w:pPr>
            <w:r>
              <w:rPr>
                <w:sz w:val="19"/>
                <w:szCs w:val="19"/>
              </w:rPr>
              <w:t xml:space="preserve">4</w:t>
            </w:r>
          </w:p>
        </w:tc>
        <w:tc>
          <w:tcPr>
            <w:tcW w:type="dxa" w:w="3034"/>
            <w:tcMar>
              <w:top w:type="dxa" w:w="60"/>
              <w:left w:type="dxa" w:w="100"/>
              <w:bottom w:type="dxa" w:w="60"/>
              <w:right w:type="dxa" w:w="100"/>
            </w:tcMar>
          </w:tcPr>
          <w:p>
            <w:pPr>
              <w:spacing w:after="0" w:before="0" w:line="252"/>
            </w:pPr>
            <w:r>
              <w:rPr>
                <w:sz w:val="19"/>
                <w:szCs w:val="19"/>
              </w:rPr>
              <w:t xml:space="preserve">A call without a reservation is refused; concurrency property tests pass</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P0.5</w:t>
            </w:r>
          </w:p>
        </w:tc>
        <w:tc>
          <w:tcPr>
            <w:tcW w:type="dxa" w:w="3469"/>
            <w:tcMar>
              <w:top w:type="dxa" w:w="60"/>
              <w:left w:type="dxa" w:w="100"/>
              <w:bottom w:type="dxa" w:w="60"/>
              <w:right w:type="dxa" w:w="100"/>
            </w:tcMar>
          </w:tcPr>
          <w:p>
            <w:pPr>
              <w:spacing w:after="0" w:before="0" w:line="252"/>
            </w:pPr>
            <w:r>
              <w:rPr>
                <w:sz w:val="19"/>
                <w:szCs w:val="19"/>
              </w:rPr>
              <w:t xml:space="preserve">Connector adapters with full CON‑12 manifests; broker with account binding (CON‑01, 04, 08); grant evaluator (CON‑02, 03); CON‑06, 07; effect journal; write-ahead audit and sealer (ADM‑07, SEC‑07); CON‑05 only if a partner needs it</w:t>
            </w:r>
          </w:p>
        </w:tc>
        <w:tc>
          <w:tcPr>
            <w:tcW w:type="dxa" w:w="757"/>
            <w:tcMar>
              <w:top w:type="dxa" w:w="60"/>
              <w:left w:type="dxa" w:w="100"/>
              <w:bottom w:type="dxa" w:w="60"/>
              <w:right w:type="dxa" w:w="100"/>
            </w:tcMar>
          </w:tcPr>
          <w:p>
            <w:pPr>
              <w:spacing w:after="0" w:before="0" w:line="252"/>
            </w:pPr>
            <w:r>
              <w:rPr>
                <w:sz w:val="19"/>
                <w:szCs w:val="19"/>
              </w:rPr>
              <w:t xml:space="preserve">B</w:t>
            </w:r>
          </w:p>
        </w:tc>
        <w:tc>
          <w:tcPr>
            <w:tcW w:type="dxa" w:w="1385"/>
            <w:tcMar>
              <w:top w:type="dxa" w:w="60"/>
              <w:left w:type="dxa" w:w="100"/>
              <w:bottom w:type="dxa" w:w="60"/>
              <w:right w:type="dxa" w:w="100"/>
            </w:tcMar>
          </w:tcPr>
          <w:p>
            <w:pPr>
              <w:spacing w:after="0" w:before="0" w:line="252"/>
            </w:pPr>
            <w:r>
              <w:rPr>
                <w:sz w:val="19"/>
                <w:szCs w:val="19"/>
              </w:rPr>
              <w:t xml:space="preserve">7–8</w:t>
            </w:r>
          </w:p>
        </w:tc>
        <w:tc>
          <w:tcPr>
            <w:tcW w:type="dxa" w:w="3034"/>
            <w:tcMar>
              <w:top w:type="dxa" w:w="60"/>
              <w:left w:type="dxa" w:w="100"/>
              <w:bottom w:type="dxa" w:w="60"/>
              <w:right w:type="dxa" w:w="100"/>
            </w:tcMar>
          </w:tcPr>
          <w:p>
            <w:pPr>
              <w:spacing w:after="0" w:before="0" w:line="252"/>
            </w:pPr>
            <w:r>
              <w:rPr>
                <w:sz w:val="19"/>
                <w:szCs w:val="19"/>
              </w:rPr>
              <w:t xml:space="preserve">Red-team cases for every grant element pass; the chain still verifies after crypto-shredding</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P0.6</w:t>
            </w:r>
          </w:p>
        </w:tc>
        <w:tc>
          <w:tcPr>
            <w:tcW w:type="dxa" w:w="346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and </w:t>
            </w:r>
            <w:r>
              <w:rPr>
                <w:rStyle w:val="CodeChar"/>
                <w:sz w:val="17"/>
                <w:szCs w:val="17"/>
              </w:rPr>
              <w:t xml:space="preserve">untrusted</w:t>
            </w:r>
            <w:r>
              <w:rPr>
                <w:sz w:val="19"/>
                <w:szCs w:val="19"/>
              </w:rPr>
              <w:t xml:space="preserve"> (CON‑10)</w:t>
            </w:r>
          </w:p>
        </w:tc>
        <w:tc>
          <w:tcPr>
            <w:tcW w:type="dxa" w:w="757"/>
            <w:tcMar>
              <w:top w:type="dxa" w:w="60"/>
              <w:left w:type="dxa" w:w="100"/>
              <w:bottom w:type="dxa" w:w="60"/>
              <w:right w:type="dxa" w:w="100"/>
            </w:tcMar>
          </w:tcPr>
          <w:p>
            <w:pPr>
              <w:spacing w:after="0" w:before="0" w:line="252"/>
            </w:pPr>
            <w:r>
              <w:rPr>
                <w:sz w:val="19"/>
                <w:szCs w:val="19"/>
              </w:rPr>
              <w:t xml:space="preserve">C</w:t>
            </w:r>
          </w:p>
        </w:tc>
        <w:tc>
          <w:tcPr>
            <w:tcW w:type="dxa" w:w="1385"/>
            <w:tcMar>
              <w:top w:type="dxa" w:w="60"/>
              <w:left w:type="dxa" w:w="100"/>
              <w:bottom w:type="dxa" w:w="60"/>
              <w:right w:type="dxa" w:w="100"/>
            </w:tcMar>
          </w:tcPr>
          <w:p>
            <w:pPr>
              <w:spacing w:after="0" w:before="0" w:line="252"/>
            </w:pPr>
            <w:r>
              <w:rPr>
                <w:sz w:val="19"/>
                <w:szCs w:val="19"/>
              </w:rPr>
              <w:t xml:space="preserve">3–4</w:t>
            </w:r>
          </w:p>
        </w:tc>
        <w:tc>
          <w:tcPr>
            <w:tcW w:type="dxa" w:w="3034"/>
            <w:tcMar>
              <w:top w:type="dxa" w:w="60"/>
              <w:left w:type="dxa" w:w="100"/>
              <w:bottom w:type="dxa" w:w="60"/>
              <w:right w:type="dxa" w:w="100"/>
            </w:tcMar>
          </w:tcPr>
          <w:p>
            <w:pPr>
              <w:spacing w:after="0" w:before="0" w:line="252"/>
            </w:pPr>
            <w:r>
              <w:rPr>
                <w:sz w:val="19"/>
                <w:szCs w:val="19"/>
              </w:rPr>
              <w:t xml:space="preserve">100% of the CON‑10 corpus flagged</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P0.7</w:t>
            </w:r>
          </w:p>
        </w:tc>
        <w:tc>
          <w:tcPr>
            <w:tcW w:type="dxa" w:w="3469"/>
            <w:tcMar>
              <w:top w:type="dxa" w:w="60"/>
              <w:left w:type="dxa" w:w="100"/>
              <w:bottom w:type="dxa" w:w="60"/>
              <w:right w:type="dxa" w:w="100"/>
            </w:tcMar>
          </w:tcPr>
          <w:p>
            <w:pPr>
              <w:spacing w:after="0" w:before="0" w:line="252"/>
            </w:pPr>
            <w:r>
              <w:rPr>
                <w:sz w:val="19"/>
                <w:szCs w:val="19"/>
              </w:rPr>
              <w:t xml:space="preserve">Run engine: segments, §7.6 states, ASG‑09–11, 13; RUN‑01–07; epochs; deprovisioning</w:t>
            </w:r>
          </w:p>
        </w:tc>
        <w:tc>
          <w:tcPr>
            <w:tcW w:type="dxa" w:w="757"/>
            <w:tcMar>
              <w:top w:type="dxa" w:w="60"/>
              <w:left w:type="dxa" w:w="100"/>
              <w:bottom w:type="dxa" w:w="60"/>
              <w:right w:type="dxa" w:w="100"/>
            </w:tcMar>
          </w:tcPr>
          <w:p>
            <w:pPr>
              <w:spacing w:after="0" w:before="0" w:line="252"/>
            </w:pPr>
            <w:r>
              <w:rPr>
                <w:sz w:val="19"/>
                <w:szCs w:val="19"/>
              </w:rPr>
              <w:t xml:space="preserve">A</w:t>
            </w:r>
          </w:p>
        </w:tc>
        <w:tc>
          <w:tcPr>
            <w:tcW w:type="dxa" w:w="1385"/>
            <w:tcMar>
              <w:top w:type="dxa" w:w="60"/>
              <w:left w:type="dxa" w:w="100"/>
              <w:bottom w:type="dxa" w:w="60"/>
              <w:right w:type="dxa" w:w="100"/>
            </w:tcMar>
          </w:tcPr>
          <w:p>
            <w:pPr>
              <w:spacing w:after="0" w:before="0" w:line="252"/>
            </w:pPr>
            <w:r>
              <w:rPr>
                <w:sz w:val="19"/>
                <w:szCs w:val="19"/>
              </w:rPr>
              <w:t xml:space="preserve">6–7</w:t>
            </w:r>
          </w:p>
        </w:tc>
        <w:tc>
          <w:tcPr>
            <w:tcW w:type="dxa" w:w="3034"/>
            <w:tcMar>
              <w:top w:type="dxa" w:w="60"/>
              <w:left w:type="dxa" w:w="100"/>
              <w:bottom w:type="dxa" w:w="60"/>
              <w:right w:type="dxa" w:w="100"/>
            </w:tcMar>
          </w:tcPr>
          <w:p>
            <w:pPr>
              <w:spacing w:after="0" w:before="0" w:line="252"/>
            </w:pPr>
            <w:r>
              <w:rPr>
                <w:sz w:val="19"/>
                <w:szCs w:val="19"/>
              </w:rPr>
              <w:t xml:space="preserve">Fault injection: 0 duplicates for classes (a)–(c). After deprovisioning: no calls within 10 s; runs paused within 60 s</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P0.8</w:t>
            </w:r>
          </w:p>
        </w:tc>
        <w:tc>
          <w:tcPr>
            <w:tcW w:type="dxa" w:w="3469"/>
            <w:tcMar>
              <w:top w:type="dxa" w:w="60"/>
              <w:left w:type="dxa" w:w="100"/>
              <w:bottom w:type="dxa" w:w="60"/>
              <w:right w:type="dxa" w:w="100"/>
            </w:tcMar>
          </w:tcPr>
          <w:p>
            <w:pPr>
              <w:spacing w:after="0" w:before="0" w:line="252"/>
            </w:pPr>
            <w:r>
              <w:rPr>
                <w:sz w:val="19"/>
                <w:szCs w:val="19"/>
              </w:rPr>
              <w:t xml:space="preserve">Web shell (PLT‑01 web, PLT‑06): React Aria design system, approval card, run timeline (ASG‑12), SSE resync, SEC‑11 renderer and CSP</w:t>
            </w:r>
          </w:p>
        </w:tc>
        <w:tc>
          <w:tcPr>
            <w:tcW w:type="dxa" w:w="757"/>
            <w:tcMar>
              <w:top w:type="dxa" w:w="60"/>
              <w:left w:type="dxa" w:w="100"/>
              <w:bottom w:type="dxa" w:w="60"/>
              <w:right w:type="dxa" w:w="100"/>
            </w:tcMar>
          </w:tcPr>
          <w:p>
            <w:pPr>
              <w:spacing w:after="0" w:before="0" w:line="252"/>
            </w:pPr>
            <w:r>
              <w:rPr>
                <w:sz w:val="19"/>
                <w:szCs w:val="19"/>
              </w:rPr>
              <w:t xml:space="preserve">C</w:t>
            </w:r>
          </w:p>
        </w:tc>
        <w:tc>
          <w:tcPr>
            <w:tcW w:type="dxa" w:w="1385"/>
            <w:tcMar>
              <w:top w:type="dxa" w:w="60"/>
              <w:left w:type="dxa" w:w="100"/>
              <w:bottom w:type="dxa" w:w="60"/>
              <w:right w:type="dxa" w:w="100"/>
            </w:tcMar>
          </w:tcPr>
          <w:p>
            <w:pPr>
              <w:spacing w:after="0" w:before="0" w:line="252"/>
            </w:pPr>
            <w:r>
              <w:rPr>
                <w:sz w:val="19"/>
                <w:szCs w:val="19"/>
              </w:rPr>
              <w:t xml:space="preserve">4–5</w:t>
            </w:r>
          </w:p>
        </w:tc>
        <w:tc>
          <w:tcPr>
            <w:tcW w:type="dxa" w:w="3034"/>
            <w:tcMar>
              <w:top w:type="dxa" w:w="60"/>
              <w:left w:type="dxa" w:w="100"/>
              <w:bottom w:type="dxa" w:w="60"/>
              <w:right w:type="dxa" w:w="100"/>
            </w:tcMar>
          </w:tcPr>
          <w:p>
            <w:pPr>
              <w:spacing w:after="0" w:before="0" w:line="252"/>
            </w:pPr>
            <w:r>
              <w:rPr>
                <w:sz w:val="19"/>
                <w:szCs w:val="19"/>
              </w:rPr>
              <w:t xml:space="preserve">An action approved end to end; a poisoned item makes 0 cross-origin requests</w:t>
            </w:r>
          </w:p>
        </w:tc>
      </w:tr>
      <w:tr>
        <w:trPr>
          <w:tblHeader w:val="off"/>
        </w:trPr>
        <w:tc>
          <w:tcPr>
            <w:tcW w:type="dxa" w:w="715"/>
            <w:tcMar>
              <w:top w:type="dxa" w:w="60"/>
              <w:left w:type="dxa" w:w="100"/>
              <w:bottom w:type="dxa" w:w="60"/>
              <w:right w:type="dxa" w:w="100"/>
            </w:tcMar>
          </w:tcPr>
          <w:p>
            <w:pPr>
              <w:spacing w:after="0" w:before="0" w:line="252"/>
            </w:pPr>
            <w:r>
              <w:rPr>
                <w:sz w:val="19"/>
                <w:szCs w:val="19"/>
              </w:rPr>
              <w:t xml:space="preserve">P0.9</w:t>
            </w:r>
          </w:p>
        </w:tc>
        <w:tc>
          <w:tcPr>
            <w:tcW w:type="dxa" w:w="3469"/>
            <w:tcMar>
              <w:top w:type="dxa" w:w="60"/>
              <w:left w:type="dxa" w:w="100"/>
              <w:bottom w:type="dxa" w:w="60"/>
              <w:right w:type="dxa" w:w="100"/>
            </w:tcMar>
          </w:tcPr>
          <w:p>
            <w:pPr>
              <w:spacing w:after="0" w:before="0" w:line="252"/>
            </w:pPr>
            <w:r>
              <w:rPr>
                <w:sz w:val="19"/>
                <w:szCs w:val="19"/>
              </w:rPr>
              <w:t xml:space="preserve">Thin end-to-end slice; invariant suites; injection suite with honeytokens; external red team</w:t>
            </w:r>
          </w:p>
        </w:tc>
        <w:tc>
          <w:tcPr>
            <w:tcW w:type="dxa" w:w="757"/>
            <w:tcMar>
              <w:top w:type="dxa" w:w="60"/>
              <w:left w:type="dxa" w:w="100"/>
              <w:bottom w:type="dxa" w:w="60"/>
              <w:right w:type="dxa" w:w="100"/>
            </w:tcMar>
          </w:tcPr>
          <w:p>
            <w:pPr>
              <w:spacing w:after="0" w:before="0" w:line="252"/>
            </w:pPr>
            <w:r>
              <w:rPr>
                <w:sz w:val="19"/>
                <w:szCs w:val="19"/>
              </w:rPr>
              <w:t xml:space="preserve">All</w:t>
            </w:r>
          </w:p>
        </w:tc>
        <w:tc>
          <w:tcPr>
            <w:tcW w:type="dxa" w:w="1385"/>
            <w:tcMar>
              <w:top w:type="dxa" w:w="60"/>
              <w:left w:type="dxa" w:w="100"/>
              <w:bottom w:type="dxa" w:w="60"/>
              <w:right w:type="dxa" w:w="100"/>
            </w:tcMar>
          </w:tcPr>
          <w:p>
            <w:pPr>
              <w:spacing w:after="0" w:before="0" w:line="252"/>
            </w:pPr>
            <w:r>
              <w:rPr>
                <w:sz w:val="19"/>
                <w:szCs w:val="19"/>
              </w:rPr>
              <w:t xml:space="preserve">4–5</w:t>
            </w:r>
          </w:p>
        </w:tc>
        <w:tc>
          <w:tcPr>
            <w:tcW w:type="dxa" w:w="3034"/>
            <w:tcMar>
              <w:top w:type="dxa" w:w="60"/>
              <w:left w:type="dxa" w:w="100"/>
              <w:bottom w:type="dxa" w:w="60"/>
              <w:right w:type="dxa" w:w="100"/>
            </w:tcMar>
          </w:tcPr>
          <w:p>
            <w:pPr>
              <w:spacing w:after="0" w:before="0" w:line="252"/>
            </w:pPr>
            <w:r>
              <w:rPr>
                <w:b/>
                <w:bCs/>
                <w:sz w:val="19"/>
                <w:szCs w:val="19"/>
              </w:rPr>
              <w:t xml:space="preserve">Gate 0 report</w:t>
            </w:r>
          </w:p>
        </w:tc>
      </w:tr>
    </w:tbl>
    <w:p>
      <w:pPr>
        <w:spacing w:after="60"/>
      </w:pPr>
    </w:p>
    <w:p>
      <w:r>
        <w:t xml:space="preserve">Lane A carries the critical path (P0.1, P0.4, P0.7). Lane C joins it on P0.7's tests once the web shell is done.</w:t>
      </w:r>
    </w:p>
    <w:p>
      <w:pPr>
        <w:pStyle w:val="Heading2"/>
        <w:keepNext/>
      </w:pPr>
      <w:r>
        <w:t xml:space="preserve">14.2 Phase 1 — Enterprise beta to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4"/>
        <w:gridCol w:w="4157"/>
        <w:gridCol w:w="776"/>
        <w:gridCol w:w="1512"/>
        <w:gridCol w:w="2181"/>
      </w:tblGrid>
      <w:tr>
        <w:trPr>
          <w:tblHeader/>
        </w:trPr>
        <w:tc>
          <w:tcPr>
            <w:tcW w:type="dxa" w:w="734"/>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4157"/>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76"/>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512"/>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2181"/>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P1.1</w:t>
            </w:r>
          </w:p>
        </w:tc>
        <w:tc>
          <w:tcPr>
            <w:tcW w:type="dxa" w:w="4157"/>
            <w:tcMar>
              <w:top w:type="dxa" w:w="60"/>
              <w:left w:type="dxa" w:w="100"/>
              <w:bottom w:type="dxa" w:w="60"/>
              <w:right w:type="dxa" w:w="100"/>
            </w:tcMar>
          </w:tcPr>
          <w:p>
            <w:pPr>
              <w:spacing w:after="0" w:before="0" w:line="252"/>
            </w:pPr>
            <w:r>
              <w:rPr>
                <w:sz w:val="19"/>
                <w:szCs w:val="19"/>
              </w:rPr>
              <w:t xml:space="preserve">Full intake (SCH‑03): subscriptions, resync, reconciliation, sync gaps; ASG‑15; ASG‑17</w:t>
            </w:r>
          </w:p>
        </w:tc>
        <w:tc>
          <w:tcPr>
            <w:tcW w:type="dxa" w:w="776"/>
            <w:tcMar>
              <w:top w:type="dxa" w:w="60"/>
              <w:left w:type="dxa" w:w="100"/>
              <w:bottom w:type="dxa" w:w="60"/>
              <w:right w:type="dxa" w:w="100"/>
            </w:tcMar>
          </w:tcPr>
          <w:p>
            <w:pPr>
              <w:spacing w:after="0" w:before="0" w:line="252"/>
            </w:pPr>
            <w:r>
              <w:rPr>
                <w:sz w:val="19"/>
                <w:szCs w:val="19"/>
              </w:rPr>
              <w:t xml:space="preserve">B</w:t>
            </w:r>
          </w:p>
        </w:tc>
        <w:tc>
          <w:tcPr>
            <w:tcW w:type="dxa" w:w="1512"/>
            <w:tcMar>
              <w:top w:type="dxa" w:w="60"/>
              <w:left w:type="dxa" w:w="100"/>
              <w:bottom w:type="dxa" w:w="60"/>
              <w:right w:type="dxa" w:w="100"/>
            </w:tcMar>
          </w:tcPr>
          <w:p>
            <w:pPr>
              <w:spacing w:after="0" w:before="0" w:line="252"/>
            </w:pPr>
            <w:r>
              <w:rPr>
                <w:sz w:val="19"/>
                <w:szCs w:val="19"/>
              </w:rPr>
              <w:t xml:space="preserve">6–7</w:t>
            </w:r>
          </w:p>
        </w:tc>
        <w:tc>
          <w:tcPr>
            <w:tcW w:type="dxa" w:w="2181"/>
            <w:tcMar>
              <w:top w:type="dxa" w:w="60"/>
              <w:left w:type="dxa" w:w="100"/>
              <w:bottom w:type="dxa" w:w="60"/>
              <w:right w:type="dxa" w:w="100"/>
            </w:tcMar>
          </w:tcPr>
          <w:p>
            <w:pPr>
              <w:spacing w:after="0" w:before="0" w:line="252"/>
            </w:pPr>
            <w:r>
              <w:rPr>
                <w:sz w:val="19"/>
                <w:szCs w:val="19"/>
              </w:rPr>
              <w:t xml:space="preserve">AC‑07–09 and the ASG‑17 cases pass; soak test on a real tenant</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P1.2</w:t>
            </w:r>
          </w:p>
        </w:tc>
        <w:tc>
          <w:tcPr>
            <w:tcW w:type="dxa" w:w="4157"/>
            <w:tcMar>
              <w:top w:type="dxa" w:w="60"/>
              <w:left w:type="dxa" w:w="100"/>
              <w:bottom w:type="dxa" w:w="60"/>
              <w:right w:type="dxa" w:w="100"/>
            </w:tcMar>
          </w:tcPr>
          <w:p>
            <w:pPr>
              <w:spacing w:after="0" w:before="0" w:line="252"/>
            </w:pPr>
            <w:r>
              <w:rPr>
                <w:sz w:val="19"/>
                <w:szCs w:val="19"/>
              </w:rPr>
              <w:t xml:space="preserve">Queue domain (ASG‑14, §18.1); visibility RLS and cache purge (SEC‑08); delegates; follow-up mail and merges; lineage (SEC‑12); target lookup (CON‑09)</w:t>
            </w:r>
          </w:p>
        </w:tc>
        <w:tc>
          <w:tcPr>
            <w:tcW w:type="dxa" w:w="776"/>
            <w:tcMar>
              <w:top w:type="dxa" w:w="60"/>
              <w:left w:type="dxa" w:w="100"/>
              <w:bottom w:type="dxa" w:w="60"/>
              <w:right w:type="dxa" w:w="100"/>
            </w:tcMar>
          </w:tcPr>
          <w:p>
            <w:pPr>
              <w:spacing w:after="0" w:before="0" w:line="252"/>
            </w:pPr>
            <w:r>
              <w:rPr>
                <w:sz w:val="19"/>
                <w:szCs w:val="19"/>
              </w:rPr>
              <w:t xml:space="preserve">A+C</w:t>
            </w:r>
          </w:p>
        </w:tc>
        <w:tc>
          <w:tcPr>
            <w:tcW w:type="dxa" w:w="1512"/>
            <w:tcMar>
              <w:top w:type="dxa" w:w="60"/>
              <w:left w:type="dxa" w:w="100"/>
              <w:bottom w:type="dxa" w:w="60"/>
              <w:right w:type="dxa" w:w="100"/>
            </w:tcMar>
          </w:tcPr>
          <w:p>
            <w:pPr>
              <w:spacing w:after="0" w:before="0" w:line="252"/>
            </w:pPr>
            <w:r>
              <w:rPr>
                <w:sz w:val="19"/>
                <w:szCs w:val="19"/>
              </w:rPr>
              <w:t xml:space="preserve">6–7</w:t>
            </w:r>
          </w:p>
        </w:tc>
        <w:tc>
          <w:tcPr>
            <w:tcW w:type="dxa" w:w="2181"/>
            <w:tcMar>
              <w:top w:type="dxa" w:w="60"/>
              <w:left w:type="dxa" w:w="100"/>
              <w:bottom w:type="dxa" w:w="60"/>
              <w:right w:type="dxa" w:w="100"/>
            </w:tcMar>
          </w:tcPr>
          <w:p>
            <w:pPr>
              <w:spacing w:after="0" w:before="0" w:line="252"/>
            </w:pPr>
            <w:r>
              <w:rPr>
                <w:sz w:val="19"/>
                <w:szCs w:val="19"/>
              </w:rPr>
              <w:t xml:space="preserve">AC‑01–06, 10–14 and 17–21 pass</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P1.3</w:t>
            </w:r>
          </w:p>
        </w:tc>
        <w:tc>
          <w:tcPr>
            <w:tcW w:type="dxa" w:w="4157"/>
            <w:tcMar>
              <w:top w:type="dxa" w:w="60"/>
              <w:left w:type="dxa" w:w="100"/>
              <w:bottom w:type="dxa" w:w="60"/>
              <w:right w:type="dxa" w:w="100"/>
            </w:tcMar>
          </w:tcPr>
          <w:p>
            <w:pPr>
              <w:spacing w:after="0" w:before="0" w:line="252"/>
            </w:pPr>
            <w:r>
              <w:rPr>
                <w:sz w:val="19"/>
                <w:szCs w:val="19"/>
              </w:rPr>
              <w:t xml:space="preserve">Supervisor (SUP‑01–04); router with its fallback (RTR‑01–05, 07); inventory (INV‑01–03, 06, 07)</w:t>
            </w:r>
          </w:p>
        </w:tc>
        <w:tc>
          <w:tcPr>
            <w:tcW w:type="dxa" w:w="776"/>
            <w:tcMar>
              <w:top w:type="dxa" w:w="60"/>
              <w:left w:type="dxa" w:w="100"/>
              <w:bottom w:type="dxa" w:w="60"/>
              <w:right w:type="dxa" w:w="100"/>
            </w:tcMar>
          </w:tcPr>
          <w:p>
            <w:pPr>
              <w:spacing w:after="0" w:before="0" w:line="252"/>
            </w:pPr>
            <w:r>
              <w:rPr>
                <w:sz w:val="19"/>
                <w:szCs w:val="19"/>
              </w:rPr>
              <w:t xml:space="preserve">A</w:t>
            </w:r>
          </w:p>
        </w:tc>
        <w:tc>
          <w:tcPr>
            <w:tcW w:type="dxa" w:w="1512"/>
            <w:tcMar>
              <w:top w:type="dxa" w:w="60"/>
              <w:left w:type="dxa" w:w="100"/>
              <w:bottom w:type="dxa" w:w="60"/>
              <w:right w:type="dxa" w:w="100"/>
            </w:tcMar>
          </w:tcPr>
          <w:p>
            <w:pPr>
              <w:spacing w:after="0" w:before="0" w:line="252"/>
            </w:pPr>
            <w:r>
              <w:rPr>
                <w:sz w:val="19"/>
                <w:szCs w:val="19"/>
              </w:rPr>
              <w:t xml:space="preserve">4–5</w:t>
            </w:r>
          </w:p>
        </w:tc>
        <w:tc>
          <w:tcPr>
            <w:tcW w:type="dxa" w:w="2181"/>
            <w:tcMar>
              <w:top w:type="dxa" w:w="60"/>
              <w:left w:type="dxa" w:w="100"/>
              <w:bottom w:type="dxa" w:w="60"/>
              <w:right w:type="dxa" w:w="100"/>
            </w:tcMar>
          </w:tcPr>
          <w:p>
            <w:pPr>
              <w:spacing w:after="0" w:before="0" w:line="252"/>
            </w:pPr>
            <w:r>
              <w:rPr>
                <w:sz w:val="19"/>
                <w:szCs w:val="19"/>
              </w:rPr>
              <w:t xml:space="preserve">RTR‑04 decision records; posteriors computed</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P1.4</w:t>
            </w:r>
          </w:p>
        </w:tc>
        <w:tc>
          <w:tcPr>
            <w:tcW w:type="dxa" w:w="4157"/>
            <w:tcMar>
              <w:top w:type="dxa" w:w="60"/>
              <w:left w:type="dxa" w:w="100"/>
              <w:bottom w:type="dxa" w:w="60"/>
              <w:right w:type="dxa" w:w="100"/>
            </w:tcMar>
          </w:tcPr>
          <w:p>
            <w:pPr>
              <w:spacing w:after="0" w:before="0" w:line="252"/>
            </w:pPr>
            <w:r>
              <w:rPr>
                <w:sz w:val="19"/>
                <w:szCs w:val="19"/>
              </w:rPr>
              <w:t xml:space="preserve">Admin console (ADM‑02, 03, 05, 06 without SIEM, 07); budgets UI (BUD‑02, 04, 05); Q&amp;A (QA‑01–03); outline builder (ASG‑01, 02, 04–06); snapshots (SEC‑10)</w:t>
            </w:r>
          </w:p>
        </w:tc>
        <w:tc>
          <w:tcPr>
            <w:tcW w:type="dxa" w:w="776"/>
            <w:tcMar>
              <w:top w:type="dxa" w:w="60"/>
              <w:left w:type="dxa" w:w="100"/>
              <w:bottom w:type="dxa" w:w="60"/>
              <w:right w:type="dxa" w:w="100"/>
            </w:tcMar>
          </w:tcPr>
          <w:p>
            <w:pPr>
              <w:spacing w:after="0" w:before="0" w:line="252"/>
            </w:pPr>
            <w:r>
              <w:rPr>
                <w:sz w:val="19"/>
                <w:szCs w:val="19"/>
              </w:rPr>
              <w:t xml:space="preserve">C+A</w:t>
            </w:r>
          </w:p>
        </w:tc>
        <w:tc>
          <w:tcPr>
            <w:tcW w:type="dxa" w:w="1512"/>
            <w:tcMar>
              <w:top w:type="dxa" w:w="60"/>
              <w:left w:type="dxa" w:w="100"/>
              <w:bottom w:type="dxa" w:w="60"/>
              <w:right w:type="dxa" w:w="100"/>
            </w:tcMar>
          </w:tcPr>
          <w:p>
            <w:pPr>
              <w:spacing w:after="0" w:before="0" w:line="252"/>
            </w:pPr>
            <w:r>
              <w:rPr>
                <w:sz w:val="19"/>
                <w:szCs w:val="19"/>
              </w:rPr>
              <w:t xml:space="preserve">8–10</w:t>
            </w:r>
          </w:p>
        </w:tc>
        <w:tc>
          <w:tcPr>
            <w:tcW w:type="dxa" w:w="2181"/>
            <w:tcMar>
              <w:top w:type="dxa" w:w="60"/>
              <w:left w:type="dxa" w:w="100"/>
              <w:bottom w:type="dxa" w:w="60"/>
              <w:right w:type="dxa" w:w="100"/>
            </w:tcMar>
          </w:tcPr>
          <w:p>
            <w:pPr>
              <w:spacing w:after="0" w:before="0" w:line="252"/>
            </w:pPr>
            <w:r>
              <w:rPr>
                <w:sz w:val="19"/>
                <w:szCs w:val="19"/>
              </w:rPr>
              <w:t xml:space="preserve">A partner admin can onboard without our help</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P1.5</w:t>
            </w:r>
          </w:p>
        </w:tc>
        <w:tc>
          <w:tcPr>
            <w:tcW w:type="dxa" w:w="4157"/>
            <w:tcMar>
              <w:top w:type="dxa" w:w="60"/>
              <w:left w:type="dxa" w:w="100"/>
              <w:bottom w:type="dxa" w:w="60"/>
              <w:right w:type="dxa" w:w="100"/>
            </w:tcMar>
          </w:tcPr>
          <w:p>
            <w:pPr>
              <w:spacing w:after="0" w:before="0" w:line="252"/>
            </w:pPr>
            <w:r>
              <w:rPr>
                <w:sz w:val="19"/>
                <w:szCs w:val="19"/>
              </w:rPr>
              <w:t xml:space="preserve">SUP‑06 sampler, blind adjudication, recall and precision, guardrail dashboards</w:t>
            </w:r>
          </w:p>
        </w:tc>
        <w:tc>
          <w:tcPr>
            <w:tcW w:type="dxa" w:w="776"/>
            <w:tcMar>
              <w:top w:type="dxa" w:w="60"/>
              <w:left w:type="dxa" w:w="100"/>
              <w:bottom w:type="dxa" w:w="60"/>
              <w:right w:type="dxa" w:w="100"/>
            </w:tcMar>
          </w:tcPr>
          <w:p>
            <w:pPr>
              <w:spacing w:after="0" w:before="0" w:line="252"/>
            </w:pPr>
            <w:r>
              <w:rPr>
                <w:sz w:val="19"/>
                <w:szCs w:val="19"/>
              </w:rPr>
              <w:t xml:space="preserve">B</w:t>
            </w:r>
          </w:p>
        </w:tc>
        <w:tc>
          <w:tcPr>
            <w:tcW w:type="dxa" w:w="1512"/>
            <w:tcMar>
              <w:top w:type="dxa" w:w="60"/>
              <w:left w:type="dxa" w:w="100"/>
              <w:bottom w:type="dxa" w:w="60"/>
              <w:right w:type="dxa" w:w="100"/>
            </w:tcMar>
          </w:tcPr>
          <w:p>
            <w:pPr>
              <w:spacing w:after="0" w:before="0" w:line="252"/>
            </w:pPr>
            <w:r>
              <w:rPr>
                <w:sz w:val="19"/>
                <w:szCs w:val="19"/>
              </w:rPr>
              <w:t xml:space="preserve">3–4</w:t>
            </w:r>
          </w:p>
        </w:tc>
        <w:tc>
          <w:tcPr>
            <w:tcW w:type="dxa" w:w="2181"/>
            <w:tcMar>
              <w:top w:type="dxa" w:w="60"/>
              <w:left w:type="dxa" w:w="100"/>
              <w:bottom w:type="dxa" w:w="60"/>
              <w:right w:type="dxa" w:w="100"/>
            </w:tcMar>
          </w:tcPr>
          <w:p>
            <w:pPr>
              <w:spacing w:after="0" w:before="0" w:line="252"/>
            </w:pPr>
            <w:r>
              <w:rPr>
                <w:sz w:val="19"/>
                <w:szCs w:val="19"/>
              </w:rPr>
              <w:t xml:space="preserve">AC‑15 and AC‑16 pass on seeded data</w:t>
            </w:r>
          </w:p>
        </w:tc>
      </w:tr>
      <w:tr>
        <w:trPr>
          <w:tblHeader w:val="off"/>
        </w:trPr>
        <w:tc>
          <w:tcPr>
            <w:tcW w:type="dxa" w:w="734"/>
            <w:tcMar>
              <w:top w:type="dxa" w:w="60"/>
              <w:left w:type="dxa" w:w="100"/>
              <w:bottom w:type="dxa" w:w="60"/>
              <w:right w:type="dxa" w:w="100"/>
            </w:tcMar>
          </w:tcPr>
          <w:p>
            <w:pPr>
              <w:spacing w:after="0" w:before="0" w:line="252"/>
            </w:pPr>
            <w:r>
              <w:rPr>
                <w:sz w:val="19"/>
                <w:szCs w:val="19"/>
              </w:rPr>
              <w:t xml:space="preserve">P1.6</w:t>
            </w:r>
          </w:p>
        </w:tc>
        <w:tc>
          <w:tcPr>
            <w:tcW w:type="dxa" w:w="4157"/>
            <w:tcMar>
              <w:top w:type="dxa" w:w="60"/>
              <w:left w:type="dxa" w:w="100"/>
              <w:bottom w:type="dxa" w:w="60"/>
              <w:right w:type="dxa" w:w="100"/>
            </w:tcMar>
          </w:tcPr>
          <w:p>
            <w:pPr>
              <w:spacing w:after="0" w:before="0" w:line="252"/>
            </w:pPr>
            <w:r>
              <w:rPr>
                <w:sz w:val="19"/>
                <w:szCs w:val="19"/>
              </w:rPr>
              <w:t xml:space="preserve">Onboarding; retention, export and deletion (SEC‑04); restore drill (§17); 8 weeks of partner use</w:t>
            </w:r>
          </w:p>
        </w:tc>
        <w:tc>
          <w:tcPr>
            <w:tcW w:type="dxa" w:w="776"/>
            <w:tcMar>
              <w:top w:type="dxa" w:w="60"/>
              <w:left w:type="dxa" w:w="100"/>
              <w:bottom w:type="dxa" w:w="60"/>
              <w:right w:type="dxa" w:w="100"/>
            </w:tcMar>
          </w:tcPr>
          <w:p>
            <w:pPr>
              <w:spacing w:after="0" w:before="0" w:line="252"/>
            </w:pPr>
            <w:r>
              <w:rPr>
                <w:sz w:val="19"/>
                <w:szCs w:val="19"/>
              </w:rPr>
              <w:t xml:space="preserve">All</w:t>
            </w:r>
          </w:p>
        </w:tc>
        <w:tc>
          <w:tcPr>
            <w:tcW w:type="dxa" w:w="1512"/>
            <w:tcMar>
              <w:top w:type="dxa" w:w="60"/>
              <w:left w:type="dxa" w:w="100"/>
              <w:bottom w:type="dxa" w:w="60"/>
              <w:right w:type="dxa" w:w="100"/>
            </w:tcMar>
          </w:tcPr>
          <w:p>
            <w:pPr>
              <w:spacing w:after="0" w:before="0" w:line="252"/>
            </w:pPr>
            <w:r>
              <w:rPr>
                <w:sz w:val="19"/>
                <w:szCs w:val="19"/>
              </w:rPr>
              <w:t xml:space="preserve">2–3, plus the window</w:t>
            </w:r>
          </w:p>
        </w:tc>
        <w:tc>
          <w:tcPr>
            <w:tcW w:type="dxa" w:w="2181"/>
            <w:tcMar>
              <w:top w:type="dxa" w:w="60"/>
              <w:left w:type="dxa" w:w="100"/>
              <w:bottom w:type="dxa" w:w="60"/>
              <w:right w:type="dxa" w:w="100"/>
            </w:tcMar>
          </w:tcPr>
          <w:p>
            <w:pPr>
              <w:spacing w:after="0" w:before="0" w:line="252"/>
            </w:pPr>
            <w:r>
              <w:rPr>
                <w:b/>
                <w:bCs/>
                <w:sz w:val="19"/>
                <w:szCs w:val="19"/>
              </w:rPr>
              <w:t xml:space="preserve">Gate 1 report</w:t>
            </w:r>
          </w:p>
        </w:tc>
      </w:tr>
    </w:tbl>
    <w:p>
      <w:pPr>
        <w:spacing w:after="60"/>
      </w:pPr>
    </w:p>
    <w:p>
      <w:pPr>
        <w:pStyle w:val="Heading2"/>
        <w:keepNext/>
      </w:pPr>
      <w:r>
        <w:t xml:space="preserve">14.3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0"/>
        <w:gridCol w:w="2157"/>
        <w:gridCol w:w="2653"/>
        <w:gridCol w:w="2160"/>
      </w:tblGrid>
      <w:tr>
        <w:trPr>
          <w:tblHeader/>
        </w:trPr>
        <w:tc>
          <w:tcPr>
            <w:tcW w:type="dxa" w:w="2390"/>
            <w:shd w:fill="F2F2F2" w:color="auto" w:val="clear"/>
            <w:tcMar>
              <w:top w:type="dxa" w:w="60"/>
              <w:left w:type="dxa" w:w="100"/>
              <w:bottom w:type="dxa" w:w="60"/>
              <w:right w:type="dxa" w:w="100"/>
            </w:tcMar>
          </w:tcPr>
          <w:p>
            <w:pPr>
              <w:spacing w:after="0" w:before="0" w:line="252"/>
            </w:pPr>
            <w:r>
              <w:rPr>
                <w:b/>
                <w:bCs/>
                <w:sz w:val="19"/>
                <w:szCs w:val="19"/>
              </w:rPr>
              <w:t xml:space="preserve">Team</w:t>
            </w:r>
          </w:p>
        </w:tc>
        <w:tc>
          <w:tcPr>
            <w:tcW w:type="dxa" w:w="2157"/>
            <w:shd w:fill="F2F2F2" w:color="auto" w:val="clear"/>
            <w:tcMar>
              <w:top w:type="dxa" w:w="60"/>
              <w:left w:type="dxa" w:w="100"/>
              <w:bottom w:type="dxa" w:w="60"/>
              <w:right w:type="dxa" w:w="100"/>
            </w:tcMar>
          </w:tcPr>
          <w:p>
            <w:pPr>
              <w:spacing w:after="0" w:before="0" w:line="252"/>
            </w:pPr>
            <w:r>
              <w:rPr>
                <w:b/>
                <w:bCs/>
                <w:sz w:val="19"/>
                <w:szCs w:val="19"/>
              </w:rPr>
              <w:t xml:space="preserve">Gate 0</w:t>
            </w:r>
          </w:p>
        </w:tc>
        <w:tc>
          <w:tcPr>
            <w:tcW w:type="dxa" w:w="2653"/>
            <w:shd w:fill="F2F2F2" w:color="auto" w:val="clear"/>
            <w:tcMar>
              <w:top w:type="dxa" w:w="60"/>
              <w:left w:type="dxa" w:w="100"/>
              <w:bottom w:type="dxa" w:w="60"/>
              <w:right w:type="dxa" w:w="100"/>
            </w:tcMar>
          </w:tcPr>
          <w:p>
            <w:pPr>
              <w:spacing w:after="0" w:before="0" w:line="252"/>
            </w:pPr>
            <w:r>
              <w:rPr>
                <w:b/>
                <w:bCs/>
                <w:sz w:val="19"/>
                <w:szCs w:val="19"/>
              </w:rPr>
              <w:t xml:space="preserve">Partners live</w:t>
            </w:r>
          </w:p>
        </w:tc>
        <w:tc>
          <w:tcPr>
            <w:tcW w:type="dxa" w:w="2160"/>
            <w:shd w:fill="F2F2F2" w:color="auto" w:val="clear"/>
            <w:tcMar>
              <w:top w:type="dxa" w:w="60"/>
              <w:left w:type="dxa" w:w="100"/>
              <w:bottom w:type="dxa" w:w="60"/>
              <w:right w:type="dxa" w:w="100"/>
            </w:tcMar>
          </w:tcPr>
          <w:p>
            <w:pPr>
              <w:spacing w:after="0" w:before="0" w:line="252"/>
            </w:pPr>
            <w:r>
              <w:rPr>
                <w:b/>
                <w:bCs/>
                <w:sz w:val="19"/>
                <w:szCs w:val="19"/>
              </w:rPr>
              <w:t xml:space="preserve">Gate 1</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Three engineers</w:t>
            </w:r>
          </w:p>
        </w:tc>
        <w:tc>
          <w:tcPr>
            <w:tcW w:type="dxa" w:w="2157"/>
            <w:tcMar>
              <w:top w:type="dxa" w:w="60"/>
              <w:left w:type="dxa" w:w="100"/>
              <w:bottom w:type="dxa" w:w="60"/>
              <w:right w:type="dxa" w:w="100"/>
            </w:tcMar>
          </w:tcPr>
          <w:p>
            <w:pPr>
              <w:spacing w:after="0" w:before="0" w:line="252"/>
            </w:pPr>
            <w:r>
              <w:rPr>
                <w:sz w:val="19"/>
                <w:szCs w:val="19"/>
              </w:rPr>
              <w:t xml:space="preserve">About week 13–15</w:t>
            </w:r>
          </w:p>
        </w:tc>
        <w:tc>
          <w:tcPr>
            <w:tcW w:type="dxa" w:w="2653"/>
            <w:tcMar>
              <w:top w:type="dxa" w:w="60"/>
              <w:left w:type="dxa" w:w="100"/>
              <w:bottom w:type="dxa" w:w="60"/>
              <w:right w:type="dxa" w:w="100"/>
            </w:tcMar>
          </w:tcPr>
          <w:p>
            <w:pPr>
              <w:spacing w:after="0" w:before="0" w:line="252"/>
            </w:pPr>
            <w:r>
              <w:rPr>
                <w:sz w:val="19"/>
                <w:szCs w:val="19"/>
              </w:rPr>
              <w:t xml:space="preserve">About week 22–26</w:t>
            </w:r>
          </w:p>
        </w:tc>
        <w:tc>
          <w:tcPr>
            <w:tcW w:type="dxa" w:w="2160"/>
            <w:tcMar>
              <w:top w:type="dxa" w:w="60"/>
              <w:left w:type="dxa" w:w="100"/>
              <w:bottom w:type="dxa" w:w="60"/>
              <w:right w:type="dxa" w:w="100"/>
            </w:tcMar>
          </w:tcPr>
          <w:p>
            <w:pPr>
              <w:spacing w:after="0" w:before="0" w:line="252"/>
            </w:pPr>
            <w:r>
              <w:rPr>
                <w:sz w:val="19"/>
                <w:szCs w:val="19"/>
              </w:rPr>
              <w:t xml:space="preserve">About week 30–34</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Two engineers</w:t>
            </w:r>
          </w:p>
        </w:tc>
        <w:tc>
          <w:tcPr>
            <w:tcW w:type="dxa" w:w="2157"/>
            <w:tcMar>
              <w:top w:type="dxa" w:w="60"/>
              <w:left w:type="dxa" w:w="100"/>
              <w:bottom w:type="dxa" w:w="60"/>
              <w:right w:type="dxa" w:w="100"/>
            </w:tcMar>
          </w:tcPr>
          <w:p>
            <w:pPr>
              <w:spacing w:after="0" w:before="0" w:line="252"/>
            </w:pPr>
            <w:r>
              <w:rPr>
                <w:sz w:val="19"/>
                <w:szCs w:val="19"/>
              </w:rPr>
              <w:t xml:space="preserve">About week 18–21</w:t>
            </w:r>
          </w:p>
        </w:tc>
        <w:tc>
          <w:tcPr>
            <w:tcW w:type="dxa" w:w="2653"/>
            <w:tcMar>
              <w:top w:type="dxa" w:w="60"/>
              <w:left w:type="dxa" w:w="100"/>
              <w:bottom w:type="dxa" w:w="60"/>
              <w:right w:type="dxa" w:w="100"/>
            </w:tcMar>
          </w:tcPr>
          <w:p>
            <w:pPr>
              <w:spacing w:after="0" w:before="0" w:line="252"/>
            </w:pPr>
            <w:r>
              <w:rPr>
                <w:sz w:val="19"/>
                <w:szCs w:val="19"/>
              </w:rPr>
              <w:t xml:space="preserve">About week 31–36</w:t>
            </w:r>
          </w:p>
        </w:tc>
        <w:tc>
          <w:tcPr>
            <w:tcW w:type="dxa" w:w="2160"/>
            <w:tcMar>
              <w:top w:type="dxa" w:w="60"/>
              <w:left w:type="dxa" w:w="100"/>
              <w:bottom w:type="dxa" w:w="60"/>
              <w:right w:type="dxa" w:w="100"/>
            </w:tcMar>
          </w:tcPr>
          <w:p>
            <w:pPr>
              <w:spacing w:after="0" w:before="0" w:line="252"/>
            </w:pPr>
            <w:r>
              <w:rPr>
                <w:sz w:val="19"/>
                <w:szCs w:val="19"/>
              </w:rPr>
              <w:t xml:space="preserve">About week 39–44</w:t>
            </w:r>
          </w:p>
        </w:tc>
      </w:tr>
      <w:tr>
        <w:trPr>
          <w:tblHeader w:val="off"/>
        </w:trPr>
        <w:tc>
          <w:tcPr>
            <w:tcW w:type="dxa" w:w="2390"/>
            <w:tcMar>
              <w:top w:type="dxa" w:w="60"/>
              <w:left w:type="dxa" w:w="100"/>
              <w:bottom w:type="dxa" w:w="60"/>
              <w:right w:type="dxa" w:w="100"/>
            </w:tcMar>
          </w:tcPr>
          <w:p>
            <w:pPr>
              <w:spacing w:after="0" w:before="0" w:line="252"/>
            </w:pPr>
            <w:r>
              <w:rPr>
                <w:sz w:val="19"/>
                <w:szCs w:val="19"/>
              </w:rPr>
              <w:t xml:space="preserve">One engineer</w:t>
            </w:r>
          </w:p>
        </w:tc>
        <w:tc>
          <w:tcPr>
            <w:tcW w:type="dxa" w:w="2157"/>
            <w:tcMar>
              <w:top w:type="dxa" w:w="60"/>
              <w:left w:type="dxa" w:w="100"/>
              <w:bottom w:type="dxa" w:w="60"/>
              <w:right w:type="dxa" w:w="100"/>
            </w:tcMar>
          </w:tcPr>
          <w:p>
            <w:pPr>
              <w:spacing w:after="0" w:before="0" w:line="252"/>
            </w:pPr>
            <w:r>
              <w:rPr>
                <w:sz w:val="19"/>
                <w:szCs w:val="19"/>
              </w:rPr>
              <w:t xml:space="preserve">About week 30–35</w:t>
            </w:r>
          </w:p>
        </w:tc>
        <w:tc>
          <w:tcPr>
            <w:tcW w:type="dxa" w:w="2653"/>
            <w:tcMar>
              <w:top w:type="dxa" w:w="60"/>
              <w:left w:type="dxa" w:w="100"/>
              <w:bottom w:type="dxa" w:w="60"/>
              <w:right w:type="dxa" w:w="100"/>
            </w:tcMar>
          </w:tcPr>
          <w:p>
            <w:pPr>
              <w:spacing w:after="0" w:before="0" w:line="252"/>
            </w:pPr>
            <w:r>
              <w:rPr>
                <w:sz w:val="19"/>
                <w:szCs w:val="19"/>
              </w:rPr>
              <w:t xml:space="preserve">About week 51–60</w:t>
            </w:r>
          </w:p>
        </w:tc>
        <w:tc>
          <w:tcPr>
            <w:tcW w:type="dxa" w:w="2160"/>
            <w:tcMar>
              <w:top w:type="dxa" w:w="60"/>
              <w:left w:type="dxa" w:w="100"/>
              <w:bottom w:type="dxa" w:w="60"/>
              <w:right w:type="dxa" w:w="100"/>
            </w:tcMar>
          </w:tcPr>
          <w:p>
            <w:pPr>
              <w:spacing w:after="0" w:before="0" w:line="252"/>
            </w:pPr>
            <w:r>
              <w:rPr>
                <w:sz w:val="19"/>
                <w:szCs w:val="19"/>
              </w:rPr>
              <w:t xml:space="preserve">About week 59–68</w:t>
            </w:r>
          </w:p>
        </w:tc>
      </w:tr>
    </w:tbl>
    <w:p>
      <w:pPr>
        <w:spacing w:after="60"/>
      </w:pPr>
    </w:p>
    <w:p>
      <w:r>
        <w:t xml:space="preserve">These are rough estimates, to be recalibrated after the spikes (P0.2):</w:t>
      </w:r>
    </w:p>
    <w:p>
      <w:pPr>
        <w:pStyle w:val="ListParagraph"/>
        <w:numPr>
          <w:ilvl w:val="0"/>
          <w:numId w:val="2"/>
        </w:numPr>
        <w:spacing w:after="60" w:before="0"/>
      </w:pPr>
      <w:r>
        <w:t xml:space="preserve">Build time scales by about 1.4× for two engineers and 2.3× for one.</w:t>
      </w:r>
    </w:p>
    <w:p>
      <w:pPr>
        <w:pStyle w:val="ListParagraph"/>
        <w:numPr>
          <w:ilvl w:val="0"/>
          <w:numId w:val="2"/>
        </w:numPr>
        <w:spacing w:after="60" w:before="0"/>
      </w:pPr>
      <w:r>
        <w:t xml:space="preserve">The 8-week gate 1 window doesn't scale.</w:t>
      </w:r>
    </w:p>
    <w:p>
      <w:pPr>
        <w:pStyle w:val="ListParagraph"/>
        <w:numPr>
          <w:ilvl w:val="0"/>
          <w:numId w:val="2"/>
        </w:numPr>
        <w:spacing w:after="60" w:before="0"/>
      </w:pPr>
      <w:r>
        <w:t xml:space="preserve">P1.4 can finish during that window.</w:t>
      </w:r>
    </w:p>
    <w:p>
      <w:pPr>
        <w:spacing w:after="0"/>
      </w:pPr>
    </w:p>
    <w:p>
      <w:r>
        <w:rPr>
          <w:b/>
          <w:bCs/>
        </w:rPr>
        <w:t xml:space="preserve">Scope levers (the product owner's call):</w:t>
      </w:r>
    </w:p>
    <w:p>
      <w:pPr>
        <w:pStyle w:val="ListParagraph"/>
        <w:numPr>
          <w:ilvl w:val="0"/>
          <w:numId w:val="2"/>
        </w:numPr>
        <w:spacing w:after="60" w:before="0"/>
      </w:pPr>
      <w:r>
        <w:t xml:space="preserve">one partner connector instead of two;</w:t>
      </w:r>
    </w:p>
    <w:p>
      <w:pPr>
        <w:pStyle w:val="ListParagraph"/>
        <w:numPr>
          <w:ilvl w:val="0"/>
          <w:numId w:val="2"/>
        </w:numPr>
        <w:spacing w:after="60" w:before="0"/>
      </w:pPr>
      <w:r>
        <w:t xml:space="preserve">the outline builder, already chosen over a canvas;</w:t>
      </w:r>
    </w:p>
    <w:p>
      <w:pPr>
        <w:pStyle w:val="ListParagraph"/>
        <w:numPr>
          <w:ilvl w:val="0"/>
          <w:numId w:val="2"/>
        </w:numPr>
        <w:spacing w:after="60" w:before="0"/>
      </w:pPr>
      <w:r>
        <w:t xml:space="preserve">QA‑01–03 and SEC‑10 moved to GA, if the design partners don't need them.</w:t>
      </w:r>
    </w:p>
    <w:p>
      <w:pPr>
        <w:spacing w:after="0"/>
      </w:pPr>
    </w:p>
    <w:p>
      <w:pPr>
        <w:pStyle w:val="Heading2"/>
        <w:keepNext/>
      </w:pPr>
      <w:r>
        <w:t xml:space="preserve">14.4 Spikes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5733"/>
        <w:gridCol w:w="3049"/>
      </w:tblGrid>
      <w:tr>
        <w:trPr>
          <w:tblHeader/>
        </w:trPr>
        <w:tc>
          <w:tcPr>
            <w:tcW w:type="dxa" w:w="578"/>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733"/>
            <w:shd w:fill="F2F2F2" w:color="auto" w:val="clear"/>
            <w:tcMar>
              <w:top w:type="dxa" w:w="60"/>
              <w:left w:type="dxa" w:w="100"/>
              <w:bottom w:type="dxa" w:w="60"/>
              <w:right w:type="dxa" w:w="100"/>
            </w:tcMar>
          </w:tcPr>
          <w:p>
            <w:pPr>
              <w:spacing w:after="0" w:before="0" w:line="252"/>
            </w:pPr>
            <w:r>
              <w:rPr>
                <w:b/>
                <w:bCs/>
                <w:sz w:val="19"/>
                <w:szCs w:val="19"/>
              </w:rPr>
              <w:t xml:space="preserve">What to prove</w:t>
            </w:r>
          </w:p>
        </w:tc>
        <w:tc>
          <w:tcPr>
            <w:tcW w:type="dxa" w:w="3049"/>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S1</w:t>
            </w:r>
          </w:p>
        </w:tc>
        <w:tc>
          <w:tcPr>
            <w:tcW w:type="dxa" w:w="5733"/>
            <w:tcMar>
              <w:top w:type="dxa" w:w="60"/>
              <w:left w:type="dxa" w:w="100"/>
              <w:bottom w:type="dxa" w:w="60"/>
              <w:right w:type="dxa" w:w="100"/>
            </w:tcMar>
          </w:tcPr>
          <w:p>
            <w:pPr>
              <w:spacing w:after="0" w:before="0" w:line="252"/>
            </w:pPr>
            <w:r>
              <w:rPr>
                <w:sz w:val="19"/>
                <w:szCs w:val="19"/>
              </w:rPr>
              <w:t xml:space="preserve">Entra consent in partner tenants (admin consent likely needed); account binding; CAE and claims challenges; refresh tokens held outside MSAL's cache</w:t>
            </w:r>
          </w:p>
        </w:tc>
        <w:tc>
          <w:tcPr>
            <w:tcW w:type="dxa" w:w="3049"/>
            <w:tcMar>
              <w:top w:type="dxa" w:w="60"/>
              <w:left w:type="dxa" w:w="100"/>
              <w:bottom w:type="dxa" w:w="60"/>
              <w:right w:type="dxa" w:w="100"/>
            </w:tcMar>
          </w:tcPr>
          <w:p>
            <w:pPr>
              <w:spacing w:after="0" w:before="0" w:line="252"/>
            </w:pPr>
            <w:r>
              <w:rPr>
                <w:sz w:val="19"/>
                <w:szCs w:val="19"/>
              </w:rPr>
              <w:t xml:space="preserve">Plain authorization code with PKCE</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S2</w:t>
            </w:r>
          </w:p>
        </w:tc>
        <w:tc>
          <w:tcPr>
            <w:tcW w:type="dxa" w:w="5733"/>
            <w:tcMar>
              <w:top w:type="dxa" w:w="60"/>
              <w:left w:type="dxa" w:w="100"/>
              <w:bottom w:type="dxa" w:w="60"/>
              <w:right w:type="dxa" w:w="100"/>
            </w:tcMar>
          </w:tcPr>
          <w:p>
            <w:pPr>
              <w:spacing w:after="0" w:before="0" w:line="252"/>
            </w:pPr>
            <w:r>
              <w:rPr>
                <w:sz w:val="19"/>
                <w:szCs w:val="19"/>
              </w:rPr>
              <w:t xml:space="preserve">Deprovisioning latency from Entra and Okta through WorkOS; how fast CAE rejects a disabled user</w:t>
            </w:r>
          </w:p>
        </w:tc>
        <w:tc>
          <w:tcPr>
            <w:tcW w:type="dxa" w:w="3049"/>
            <w:tcMar>
              <w:top w:type="dxa" w:w="60"/>
              <w:left w:type="dxa" w:w="100"/>
              <w:bottom w:type="dxa" w:w="60"/>
              <w:right w:type="dxa" w:w="100"/>
            </w:tcMar>
          </w:tcPr>
          <w:p>
            <w:pPr>
              <w:spacing w:after="0" w:before="0" w:line="252"/>
            </w:pPr>
            <w:r>
              <w:rPr>
                <w:sz w:val="19"/>
                <w:szCs w:val="19"/>
              </w:rPr>
              <w:t xml:space="preserve">Graph user-delta polling; measure from receipt of the signal</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S3</w:t>
            </w:r>
          </w:p>
        </w:tc>
        <w:tc>
          <w:tcPr>
            <w:tcW w:type="dxa" w:w="5733"/>
            <w:tcMar>
              <w:top w:type="dxa" w:w="60"/>
              <w:left w:type="dxa" w:w="100"/>
              <w:bottom w:type="dxa" w:w="60"/>
              <w:right w:type="dxa" w:w="100"/>
            </w:tcMar>
          </w:tcPr>
          <w:p>
            <w:pPr>
              <w:spacing w:after="0" w:before="0" w:line="252"/>
            </w:pPr>
            <w:r>
              <w:rPr>
                <w:sz w:val="19"/>
                <w:szCs w:val="19"/>
              </w:rPr>
              <w:t xml:space="preserve">Per beta action: If-Match on Excel rows and list items; formula handling; filtering on a correlation ID; Reply-To behavior; read-after-write lag; idempotency in the ticketing system</w:t>
            </w:r>
          </w:p>
        </w:tc>
        <w:tc>
          <w:tcPr>
            <w:tcW w:type="dxa" w:w="3049"/>
            <w:tcMar>
              <w:top w:type="dxa" w:w="60"/>
              <w:left w:type="dxa" w:w="100"/>
              <w:bottom w:type="dxa" w:w="60"/>
              <w:right w:type="dxa" w:w="100"/>
            </w:tcMar>
          </w:tcPr>
          <w:p>
            <w:pPr>
              <w:spacing w:after="0" w:before="0" w:line="252"/>
            </w:pPr>
            <w:r>
              <w:rPr>
                <w:sz w:val="19"/>
                <w:szCs w:val="19"/>
              </w:rPr>
              <w:t xml:space="preserve">Class (c), or class (d) with approval every time</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S4</w:t>
            </w:r>
          </w:p>
        </w:tc>
        <w:tc>
          <w:tcPr>
            <w:tcW w:type="dxa" w:w="5733"/>
            <w:tcMar>
              <w:top w:type="dxa" w:w="60"/>
              <w:left w:type="dxa" w:w="100"/>
              <w:bottom w:type="dxa" w:w="60"/>
              <w:right w:type="dxa" w:w="100"/>
            </w:tcMar>
          </w:tcPr>
          <w:p>
            <w:pPr>
              <w:spacing w:after="0" w:before="0" w:line="252"/>
            </w:pPr>
            <w:r>
              <w:rPr>
                <w:sz w:val="19"/>
                <w:szCs w:val="19"/>
              </w:rPr>
              <w:t xml:space="preserve">Temporal segments on ECS: PrivateLink, replay tests, killing a worker and deploying mid-segment</w:t>
            </w:r>
          </w:p>
        </w:tc>
        <w:tc>
          <w:tcPr>
            <w:tcW w:type="dxa" w:w="3049"/>
            <w:tcMar>
              <w:top w:type="dxa" w:w="60"/>
              <w:left w:type="dxa" w:w="100"/>
              <w:bottom w:type="dxa" w:w="60"/>
              <w:right w:type="dxa" w:w="100"/>
            </w:tcMar>
          </w:tcPr>
          <w:p>
            <w:pPr>
              <w:spacing w:after="0" w:before="0" w:line="252"/>
            </w:pPr>
            <w:r>
              <w:rPr>
                <w:sz w:val="19"/>
                <w:szCs w:val="19"/>
              </w:rPr>
              <w:t xml:space="preserve">DBOS</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S5</w:t>
            </w:r>
          </w:p>
        </w:tc>
        <w:tc>
          <w:tcPr>
            <w:tcW w:type="dxa" w:w="5733"/>
            <w:tcMar>
              <w:top w:type="dxa" w:w="60"/>
              <w:left w:type="dxa" w:w="100"/>
              <w:bottom w:type="dxa" w:w="60"/>
              <w:right w:type="dxa" w:w="100"/>
            </w:tcMar>
          </w:tcPr>
          <w:p>
            <w:pPr>
              <w:spacing w:after="0" w:before="0" w:line="252"/>
            </w:pPr>
            <w:r>
              <w:rPr>
                <w:sz w:val="19"/>
                <w:szCs w:val="19"/>
              </w:rPr>
              <w:t xml:space="preserve">Ledger: 500 reservations a second on one organization row, with p99 under 20 ms</w:t>
            </w:r>
          </w:p>
        </w:tc>
        <w:tc>
          <w:tcPr>
            <w:tcW w:type="dxa" w:w="3049"/>
            <w:tcMar>
              <w:top w:type="dxa" w:w="60"/>
              <w:left w:type="dxa" w:w="100"/>
              <w:bottom w:type="dxa" w:w="60"/>
              <w:right w:type="dxa" w:w="100"/>
            </w:tcMar>
          </w:tcPr>
          <w:p>
            <w:pPr>
              <w:spacing w:after="0" w:before="0" w:line="252"/>
            </w:pPr>
            <w:r>
              <w:rPr>
                <w:sz w:val="19"/>
                <w:szCs w:val="19"/>
              </w:rPr>
              <w:t xml:space="preserve">Pre-allocated budget chunks per user</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S6</w:t>
            </w:r>
          </w:p>
        </w:tc>
        <w:tc>
          <w:tcPr>
            <w:tcW w:type="dxa" w:w="5733"/>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on real partner mail and attachments: hidden-content recall, offset-map round trips, false positives</w:t>
            </w:r>
          </w:p>
        </w:tc>
        <w:tc>
          <w:tcPr>
            <w:tcW w:type="dxa" w:w="3049"/>
            <w:tcMar>
              <w:top w:type="dxa" w:w="60"/>
              <w:left w:type="dxa" w:w="100"/>
              <w:bottom w:type="dxa" w:w="60"/>
              <w:right w:type="dxa" w:w="100"/>
            </w:tcMar>
          </w:tcPr>
          <w:p>
            <w:pPr>
              <w:spacing w:after="0" w:before="0" w:line="252"/>
            </w:pPr>
            <w:r>
              <w:rPr>
                <w:sz w:val="19"/>
                <w:szCs w:val="19"/>
              </w:rPr>
              <w:t xml:space="preserve">Conservative "possibly hidden" flags; plain-text part only</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S7</w:t>
            </w:r>
          </w:p>
        </w:tc>
        <w:tc>
          <w:tcPr>
            <w:tcW w:type="dxa" w:w="5733"/>
            <w:tcMar>
              <w:top w:type="dxa" w:w="60"/>
              <w:left w:type="dxa" w:w="100"/>
              <w:bottom w:type="dxa" w:w="60"/>
              <w:right w:type="dxa" w:w="100"/>
            </w:tcMar>
          </w:tcPr>
          <w:p>
            <w:pPr>
              <w:spacing w:after="0" w:before="0" w:line="252"/>
            </w:pPr>
            <w:r>
              <w:rPr>
                <w:sz w:val="19"/>
                <w:szCs w:val="19"/>
              </w:rPr>
              <w:t xml:space="preserve">Token-counting accuracy against the invoice; refusal path; cache hits with the salt; choosing the Bedrock judge; Batches; availability of Claude Platform on AWS and Bedrock in the beta region</w:t>
            </w:r>
          </w:p>
        </w:tc>
        <w:tc>
          <w:tcPr>
            <w:tcW w:type="dxa" w:w="3049"/>
            <w:tcMar>
              <w:top w:type="dxa" w:w="60"/>
              <w:left w:type="dxa" w:w="100"/>
              <w:bottom w:type="dxa" w:w="60"/>
              <w:right w:type="dxa" w:w="100"/>
            </w:tcMar>
          </w:tcPr>
          <w:p>
            <w:pPr>
              <w:spacing w:after="0" w:before="0" w:line="252"/>
            </w:pPr>
            <w:r>
              <w:rPr>
                <w:sz w:val="19"/>
                <w:szCs w:val="19"/>
              </w:rPr>
              <w:t xml:space="preserve">A safety multiplier on reservations</w:t>
            </w:r>
          </w:p>
        </w:tc>
      </w:tr>
      <w:tr>
        <w:trPr>
          <w:tblHeader w:val="off"/>
        </w:trPr>
        <w:tc>
          <w:tcPr>
            <w:tcW w:type="dxa" w:w="578"/>
            <w:tcMar>
              <w:top w:type="dxa" w:w="60"/>
              <w:left w:type="dxa" w:w="100"/>
              <w:bottom w:type="dxa" w:w="60"/>
              <w:right w:type="dxa" w:w="100"/>
            </w:tcMar>
          </w:tcPr>
          <w:p>
            <w:pPr>
              <w:spacing w:after="0" w:before="0" w:line="252"/>
            </w:pPr>
            <w:r>
              <w:rPr>
                <w:sz w:val="19"/>
                <w:szCs w:val="19"/>
              </w:rPr>
              <w:t xml:space="preserve">S8</w:t>
            </w:r>
          </w:p>
        </w:tc>
        <w:tc>
          <w:tcPr>
            <w:tcW w:type="dxa" w:w="5733"/>
            <w:tcMar>
              <w:top w:type="dxa" w:w="60"/>
              <w:left w:type="dxa" w:w="100"/>
              <w:bottom w:type="dxa" w:w="60"/>
              <w:right w:type="dxa" w:w="100"/>
            </w:tcMar>
          </w:tcPr>
          <w:p>
            <w:pPr>
              <w:spacing w:after="0" w:before="0" w:line="252"/>
            </w:pPr>
            <w:r>
              <w:rPr>
                <w:sz w:val="19"/>
                <w:szCs w:val="19"/>
              </w:rPr>
              <w:t xml:space="preserve">Isolation of </w:t>
            </w:r>
            <w:r>
              <w:rPr>
                <w:rStyle w:val="CodeChar"/>
                <w:sz w:val="17"/>
                <w:szCs w:val="17"/>
              </w:rPr>
              <w:t xml:space="preserve">extract</w:t>
            </w:r>
            <w:r>
              <w:rPr>
                <w:sz w:val="19"/>
                <w:szCs w:val="19"/>
              </w:rPr>
              <w:t xml:space="preserve"> as a Lambda</w:t>
            </w:r>
          </w:p>
        </w:tc>
        <w:tc>
          <w:tcPr>
            <w:tcW w:type="dxa" w:w="3049"/>
            <w:tcMar>
              <w:top w:type="dxa" w:w="60"/>
              <w:left w:type="dxa" w:w="100"/>
              <w:bottom w:type="dxa" w:w="60"/>
              <w:right w:type="dxa" w:w="100"/>
            </w:tcMar>
          </w:tcPr>
          <w:p>
            <w:pPr>
              <w:spacing w:after="0" w:before="0" w:line="252"/>
            </w:pPr>
            <w:r>
              <w:rPr>
                <w:sz w:val="19"/>
                <w:szCs w:val="19"/>
              </w:rPr>
              <w:t xml:space="preserve">One Fargate task per file</w:t>
            </w:r>
          </w:p>
        </w:tc>
      </w:tr>
    </w:tbl>
    <w:p>
      <w:pPr>
        <w:spacing w:after="60"/>
      </w:pPr>
    </w:p>
    <w:p>
      <w:r>
        <w:rPr>
          <w:b/>
          <w:bCs/>
        </w:rPr>
        <w:t xml:space="preserve">Week-1 prerequisites:</w:t>
      </w:r>
    </w:p>
    <w:p>
      <w:pPr>
        <w:pStyle w:val="ListParagraph"/>
        <w:numPr>
          <w:ilvl w:val="0"/>
          <w:numId w:val="2"/>
        </w:numPr>
        <w:spacing w:after="60" w:before="0"/>
      </w:pPr>
      <w:r>
        <w:t xml:space="preserve">two Microsoft 365 E5 test tenants with CAE and shared mailboxes;</w:t>
      </w:r>
    </w:p>
    <w:p>
      <w:pPr>
        <w:pStyle w:val="ListParagraph"/>
        <w:numPr>
          <w:ilvl w:val="0"/>
          <w:numId w:val="2"/>
        </w:numPr>
        <w:spacing w:after="60" w:before="0"/>
      </w:pPr>
      <w:r>
        <w:t xml:space="preserve">the partner's ticketing system named (still blocking per spec §21);</w:t>
      </w:r>
    </w:p>
    <w:p>
      <w:pPr>
        <w:pStyle w:val="ListParagraph"/>
        <w:numPr>
          <w:ilvl w:val="0"/>
          <w:numId w:val="2"/>
        </w:numPr>
        <w:spacing w:after="60" w:before="0"/>
      </w:pPr>
      <w:r>
        <w:t xml:space="preserve">the beta region chosen by where the partners need their data.</w:t>
      </w:r>
    </w:p>
    <w:p>
      <w:pPr>
        <w:spacing w:after="0"/>
      </w:pPr>
    </w:p>
    <w:p>
      <w:pPr>
        <w:pStyle w:val="Heading2"/>
        <w:keepNext/>
      </w:pPr>
      <w:r>
        <w:t xml:space="preserve">14.5 GA and Home</w:t>
      </w:r>
    </w:p>
    <w:p>
      <w:r>
        <w:rPr>
          <w:b/>
          <w:bCs/>
        </w:rPr>
        <w:t xml:space="preserve">Enterprise GA (Phase 2)</w:t>
      </w:r>
    </w:p>
    <w:p>
      <w:pPr>
        <w:pStyle w:val="ListParagraph"/>
        <w:numPr>
          <w:ilvl w:val="0"/>
          <w:numId w:val="2"/>
        </w:numPr>
        <w:spacing w:after="60" w:before="0"/>
      </w:pPr>
      <w:r>
        <w:rPr>
          <w:b/>
          <w:bCs/>
        </w:rPr>
        <w:t xml:space="preserve">Clients:</w:t>
      </w:r>
    </w:p>
    <w:p>
      <w:pPr>
        <w:pStyle w:val="ListParagraph"/>
        <w:numPr>
          <w:ilvl w:val="1"/>
          <w:numId w:val="2"/>
        </w:numPr>
        <w:spacing w:after="60" w:before="0"/>
      </w:pPr>
      <w:r>
        <w:t xml:space="preserve">Tauri desktop, after the Phase 2 decision, and Expo mobile approvals (PLT‑01, 02, 03 approvals; PLT‑05);</w:t>
      </w:r>
    </w:p>
    <w:p>
      <w:pPr>
        <w:pStyle w:val="ListParagraph"/>
        <w:numPr>
          <w:ilvl w:val="1"/>
          <w:numId w:val="2"/>
        </w:numPr>
        <w:spacing w:after="60" w:before="0"/>
      </w:pPr>
      <w:r>
        <w:t xml:space="preserve">the Rust edge executor and the on-prem relay.</w:t>
      </w:r>
    </w:p>
    <w:p>
      <w:pPr>
        <w:pStyle w:val="ListParagraph"/>
        <w:numPr>
          <w:ilvl w:val="0"/>
          <w:numId w:val="2"/>
        </w:numPr>
        <w:spacing w:after="60" w:before="0"/>
      </w:pPr>
      <w:r>
        <w:rPr>
          <w:b/>
          <w:bCs/>
        </w:rPr>
        <w:t xml:space="preserve">Connectors:</w:t>
      </w:r>
    </w:p>
    <w:p>
      <w:pPr>
        <w:pStyle w:val="ListParagraph"/>
        <w:numPr>
          <w:ilvl w:val="1"/>
          <w:numId w:val="2"/>
        </w:numPr>
        <w:spacing w:after="60" w:before="0"/>
      </w:pPr>
      <w:r>
        <w:t xml:space="preserve">the connector SDK and custom connectors (CON‑11–15), run in Fargate microVMs with credential injection;</w:t>
      </w:r>
    </w:p>
    <w:p>
      <w:pPr>
        <w:pStyle w:val="ListParagraph"/>
        <w:numPr>
          <w:ilvl w:val="1"/>
          <w:numId w:val="2"/>
        </w:numPr>
        <w:spacing w:after="60" w:before="0"/>
      </w:pPr>
      <w:r>
        <w:t xml:space="preserve">Cedar;</w:t>
      </w:r>
    </w:p>
    <w:p>
      <w:pPr>
        <w:pStyle w:val="ListParagraph"/>
        <w:numPr>
          <w:ilvl w:val="1"/>
          <w:numId w:val="2"/>
        </w:numPr>
        <w:spacing w:after="60" w:before="0"/>
      </w:pPr>
      <w:r>
        <w:t xml:space="preserve">the posture-report connectors (Qualys, Splunk, Intune).</w:t>
      </w:r>
    </w:p>
    <w:p>
      <w:pPr>
        <w:pStyle w:val="ListParagraph"/>
        <w:numPr>
          <w:ilvl w:val="0"/>
          <w:numId w:val="2"/>
        </w:numPr>
        <w:spacing w:after="60" w:before="0"/>
      </w:pPr>
      <w:r>
        <w:rPr>
          <w:b/>
          <w:bCs/>
        </w:rPr>
        <w:t xml:space="preserve">Product:</w:t>
      </w:r>
    </w:p>
    <w:p>
      <w:pPr>
        <w:pStyle w:val="ListParagraph"/>
        <w:numPr>
          <w:ilvl w:val="1"/>
          <w:numId w:val="2"/>
        </w:numPr>
        <w:spacing w:after="60" w:before="0"/>
      </w:pPr>
      <w:r>
        <w:t xml:space="preserve">ASG‑03, 07, 08 and 16;</w:t>
      </w:r>
    </w:p>
    <w:p>
      <w:pPr>
        <w:pStyle w:val="ListParagraph"/>
        <w:numPr>
          <w:ilvl w:val="1"/>
          <w:numId w:val="2"/>
        </w:numPr>
        <w:spacing w:after="60" w:before="0"/>
      </w:pPr>
      <w:r>
        <w:t xml:space="preserve">BUD‑06 groups, 07 and 09;</w:t>
      </w:r>
    </w:p>
    <w:p>
      <w:pPr>
        <w:pStyle w:val="ListParagraph"/>
        <w:numPr>
          <w:ilvl w:val="1"/>
          <w:numId w:val="2"/>
        </w:numPr>
        <w:spacing w:after="60" w:before="0"/>
      </w:pPr>
      <w:r>
        <w:t xml:space="preserve">RTR‑06, SUP‑05, INV‑04 and SEC‑13;</w:t>
      </w:r>
    </w:p>
    <w:p>
      <w:pPr>
        <w:pStyle w:val="ListParagraph"/>
        <w:numPr>
          <w:ilvl w:val="1"/>
          <w:numId w:val="2"/>
        </w:numPr>
        <w:spacing w:after="60" w:before="0"/>
      </w:pPr>
      <w:r>
        <w:t xml:space="preserve">TPL‑01–07, using Vega-Lite charts and exports rendered with no network access;</w:t>
      </w:r>
    </w:p>
    <w:p>
      <w:pPr>
        <w:pStyle w:val="ListParagraph"/>
        <w:numPr>
          <w:ilvl w:val="1"/>
          <w:numId w:val="2"/>
        </w:numPr>
        <w:spacing w:after="60" w:before="0"/>
      </w:pPr>
      <w:r>
        <w:t xml:space="preserve">SCH‑01, 02, 07 and 08; QA‑04–06; ADM‑04 and 08.</w:t>
      </w:r>
    </w:p>
    <w:p>
      <w:pPr>
        <w:pStyle w:val="ListParagraph"/>
        <w:numPr>
          <w:ilvl w:val="0"/>
          <w:numId w:val="2"/>
        </w:numPr>
        <w:spacing w:after="60" w:before="0"/>
      </w:pPr>
      <w:r>
        <w:rPr>
          <w:b/>
          <w:bCs/>
        </w:rPr>
        <w:t xml:space="preserve">Platform:</w:t>
      </w:r>
    </w:p>
    <w:p>
      <w:pPr>
        <w:pStyle w:val="ListParagraph"/>
        <w:numPr>
          <w:ilvl w:val="1"/>
          <w:numId w:val="2"/>
        </w:numPr>
        <w:spacing w:after="60" w:before="0"/>
      </w:pPr>
      <w:r>
        <w:t xml:space="preserve">SIEM export in OCSF format (ADM‑06); PRV‑02 and 04;</w:t>
      </w:r>
    </w:p>
    <w:p>
      <w:pPr>
        <w:pStyle w:val="ListParagraph"/>
        <w:numPr>
          <w:ilvl w:val="1"/>
          <w:numId w:val="2"/>
        </w:numPr>
        <w:spacing w:after="60" w:before="0"/>
      </w:pPr>
      <w:r>
        <w:t xml:space="preserve">customer-managed keys through XKS or CloudHSM;</w:t>
      </w:r>
    </w:p>
    <w:p>
      <w:pPr>
        <w:pStyle w:val="ListParagraph"/>
        <w:numPr>
          <w:ilvl w:val="1"/>
          <w:numId w:val="2"/>
        </w:numPr>
        <w:spacing w:after="60" w:before="0"/>
      </w:pPr>
      <w:r>
        <w:t xml:space="preserve">the EU cell, using </w:t>
      </w:r>
      <w:r>
        <w:rPr>
          <w:rStyle w:val="CodeChar"/>
          <w:sz w:val="20"/>
          <w:szCs w:val="20"/>
        </w:rPr>
        <w:t xml:space="preserve">inference_geo</w:t>
      </w:r>
      <w:r>
        <w:t xml:space="preserve">;</w:t>
      </w:r>
    </w:p>
    <w:p>
      <w:pPr>
        <w:pStyle w:val="ListParagraph"/>
        <w:numPr>
          <w:ilvl w:val="1"/>
          <w:numId w:val="2"/>
        </w:numPr>
        <w:spacing w:after="60" w:before="0"/>
      </w:pPr>
      <w:r>
        <w:t xml:space="preserve">a 10,000-run load test;</w:t>
      </w:r>
    </w:p>
    <w:p>
      <w:pPr>
        <w:pStyle w:val="ListParagraph"/>
        <w:numPr>
          <w:ilvl w:val="1"/>
          <w:numId w:val="2"/>
        </w:numPr>
        <w:spacing w:after="60" w:before="0"/>
      </w:pPr>
      <w:r>
        <w:t xml:space="preserve">SOC 2 Type I and a penetration test (SEC‑05).</w:t>
      </w:r>
    </w:p>
    <w:p>
      <w:pPr>
        <w:spacing w:after="0"/>
      </w:pPr>
    </w:p>
    <w:p>
      <w:r>
        <w:rPr>
          <w:b/>
          <w:bCs/>
        </w:rPr>
        <w:t xml:space="preserve">Home (Phase 3)</w:t>
      </w:r>
    </w:p>
    <w:p>
      <w:pPr>
        <w:pStyle w:val="ListParagraph"/>
        <w:numPr>
          <w:ilvl w:val="0"/>
          <w:numId w:val="2"/>
        </w:numPr>
        <w:spacing w:after="60" w:before="0"/>
      </w:pPr>
      <w:r>
        <w:t xml:space="preserve">AuthKit consumer sign-in with passkeys and Sign in with Apple; consumer connectors.</w:t>
      </w:r>
    </w:p>
    <w:p>
      <w:pPr>
        <w:pStyle w:val="ListParagraph"/>
        <w:numPr>
          <w:ilvl w:val="0"/>
          <w:numId w:val="2"/>
        </w:numPr>
        <w:spacing w:after="60" w:before="0"/>
      </w:pPr>
      <w:r>
        <w:t xml:space="preserve">On-device geofencing (SCH‑04–06; PLT‑04) and a HomeKit module.</w:t>
      </w:r>
    </w:p>
    <w:p>
      <w:pPr>
        <w:pStyle w:val="ListParagraph"/>
        <w:numPr>
          <w:ilvl w:val="0"/>
          <w:numId w:val="2"/>
        </w:numPr>
        <w:spacing w:after="60" w:before="0"/>
      </w:pPr>
      <w:r>
        <w:t xml:space="preserve">PAY‑01–08, behind gate 3:</w:t>
      </w:r>
    </w:p>
    <w:p>
      <w:pPr>
        <w:pStyle w:val="ListParagraph"/>
        <w:numPr>
          <w:ilvl w:val="1"/>
          <w:numId w:val="2"/>
        </w:numPr>
        <w:spacing w:after="60" w:before="0"/>
      </w:pPr>
      <w:r>
        <w:t xml:space="preserve">a separate purchase ledger;</w:t>
      </w:r>
    </w:p>
    <w:p>
      <w:pPr>
        <w:pStyle w:val="ListParagraph"/>
        <w:numPr>
          <w:ilvl w:val="1"/>
          <w:numId w:val="2"/>
        </w:numPr>
        <w:spacing w:after="60" w:before="0"/>
      </w:pPr>
      <w:r>
        <w:t xml:space="preserve">approvals signed by a biometric-protected device key (PLT‑03, PAY‑02).</w:t>
      </w:r>
    </w:p>
    <w:p>
      <w:pPr>
        <w:spacing w:after="0"/>
      </w:pPr>
    </w:p>
    <w:p>
      <w:pPr>
        <w:pStyle w:val="Heading1"/>
        <w:keepNext/>
      </w:pPr>
      <w:r>
        <w:t xml:space="preserve">15. Verification</w:t>
      </w:r>
    </w:p>
    <w:p>
      <w:r>
        <w:t xml:space="preserve">Each invariant has its own automated suite that must pass at zero violations; together with the acceptance cases, these suites produce the gate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0"/>
        <w:gridCol w:w="3421"/>
        <w:gridCol w:w="3959"/>
      </w:tblGrid>
      <w:tr>
        <w:trPr>
          <w:tblHeader/>
        </w:trPr>
        <w:tc>
          <w:tcPr>
            <w:tcW w:type="dxa" w:w="1980"/>
            <w:shd w:fill="F2F2F2" w:color="auto" w:val="clear"/>
            <w:tcMar>
              <w:top w:type="dxa" w:w="60"/>
              <w:left w:type="dxa" w:w="100"/>
              <w:bottom w:type="dxa" w:w="60"/>
              <w:right w:type="dxa" w:w="100"/>
            </w:tcMar>
          </w:tcPr>
          <w:p>
            <w:pPr>
              <w:spacing w:after="0" w:before="0" w:line="252"/>
            </w:pPr>
            <w:r>
              <w:rPr>
                <w:b/>
                <w:bCs/>
                <w:sz w:val="19"/>
                <w:szCs w:val="19"/>
              </w:rPr>
              <w:t xml:space="preserve">Suite</w:t>
            </w:r>
          </w:p>
        </w:tc>
        <w:tc>
          <w:tcPr>
            <w:tcW w:type="dxa" w:w="3421"/>
            <w:shd w:fill="F2F2F2" w:color="auto" w:val="clear"/>
            <w:tcMar>
              <w:top w:type="dxa" w:w="60"/>
              <w:left w:type="dxa" w:w="100"/>
              <w:bottom w:type="dxa" w:w="60"/>
              <w:right w:type="dxa" w:w="100"/>
            </w:tcMar>
          </w:tcPr>
          <w:p>
            <w:pPr>
              <w:spacing w:after="0" w:before="0" w:line="252"/>
            </w:pPr>
            <w:r>
              <w:rPr>
                <w:b/>
                <w:bCs/>
                <w:sz w:val="19"/>
                <w:szCs w:val="19"/>
              </w:rPr>
              <w:t xml:space="preserve">What it asserts</w:t>
            </w:r>
          </w:p>
        </w:tc>
        <w:tc>
          <w:tcPr>
            <w:tcW w:type="dxa" w:w="3959"/>
            <w:shd w:fill="F2F2F2" w:color="auto" w:val="clear"/>
            <w:tcMar>
              <w:top w:type="dxa" w:w="60"/>
              <w:left w:type="dxa" w:w="100"/>
              <w:bottom w:type="dxa" w:w="60"/>
              <w:right w:type="dxa" w:w="100"/>
            </w:tcMar>
          </w:tcPr>
          <w:p>
            <w:pPr>
              <w:spacing w:after="0" w:before="0" w:line="252"/>
            </w:pPr>
            <w:r>
              <w:rPr>
                <w:b/>
                <w:bCs/>
                <w:sz w:val="19"/>
                <w:szCs w:val="19"/>
              </w:rPr>
              <w:t xml:space="preserve">How</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Invariant 1: permission ceiling</w:t>
            </w:r>
          </w:p>
        </w:tc>
        <w:tc>
          <w:tcPr>
            <w:tcW w:type="dxa" w:w="3421"/>
            <w:tcMar>
              <w:top w:type="dxa" w:w="60"/>
              <w:left w:type="dxa" w:w="100"/>
              <w:bottom w:type="dxa" w:w="60"/>
              <w:right w:type="dxa" w:w="100"/>
            </w:tcMar>
          </w:tcPr>
          <w:p>
            <w:pPr>
              <w:spacing w:after="0" w:before="0" w:line="252"/>
            </w:pPr>
            <w:r>
              <w:rPr>
                <w:sz w:val="19"/>
                <w:szCs w:val="19"/>
              </w:rPr>
              <w:t xml:space="preserve">Every out-of-policy call is denied before any token is released, for every grant element; responses are filtered; nothing is retried after a 401 or 403</w:t>
            </w:r>
          </w:p>
        </w:tc>
        <w:tc>
          <w:tcPr>
            <w:tcW w:type="dxa" w:w="3959"/>
            <w:tcMar>
              <w:top w:type="dxa" w:w="60"/>
              <w:left w:type="dxa" w:w="100"/>
              <w:bottom w:type="dxa" w:w="60"/>
              <w:right w:type="dxa" w:w="100"/>
            </w:tcMar>
          </w:tcPr>
          <w:p>
            <w:pPr>
              <w:spacing w:after="0" w:before="0" w:line="252"/>
            </w:pPr>
            <w:r>
              <w:rPr>
                <w:sz w:val="19"/>
                <w:szCs w:val="19"/>
              </w:rPr>
              <w:t xml:space="preserve">Hypothesis generates in-bounds and out-of-bounds pairs against the fakes. The broker's log shows no token for a denied call. Honeytokens in fields that weren't granted never appear downstream</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Invariant 2: authorization</w:t>
            </w:r>
          </w:p>
        </w:tc>
        <w:tc>
          <w:tcPr>
            <w:tcW w:type="dxa" w:w="3421"/>
            <w:tcMar>
              <w:top w:type="dxa" w:w="60"/>
              <w:left w:type="dxa" w:w="100"/>
              <w:bottom w:type="dxa" w:w="60"/>
              <w:right w:type="dxa" w:w="100"/>
            </w:tcMar>
          </w:tcPr>
          <w:p>
            <w:pPr>
              <w:spacing w:after="0" w:before="0" w:line="252"/>
            </w:pPr>
            <w:r>
              <w:rPr>
                <w:sz w:val="19"/>
                <w:szCs w:val="19"/>
              </w:rPr>
              <w:t xml:space="preserve">Every side effect in the fakes' logs joins to an approval with a matching hash. Changed, expired, stale and replayed approvals are denied</w:t>
            </w:r>
          </w:p>
        </w:tc>
        <w:tc>
          <w:tcPr>
            <w:tcW w:type="dxa" w:w="3959"/>
            <w:tcMar>
              <w:top w:type="dxa" w:w="60"/>
              <w:left w:type="dxa" w:w="100"/>
              <w:bottom w:type="dxa" w:w="60"/>
              <w:right w:type="dxa" w:w="100"/>
            </w:tcMar>
          </w:tcPr>
          <w:p>
            <w:pPr>
              <w:spacing w:after="0" w:before="0" w:line="252"/>
            </w:pPr>
            <w:r>
              <w:rPr>
                <w:sz w:val="19"/>
                <w:szCs w:val="19"/>
              </w:rPr>
              <w:t xml:space="preserve">Mutation tests; a nightly production join of audit records to approvals that must find 0 orphans</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Invariant 3: credentials</w:t>
            </w:r>
          </w:p>
        </w:tc>
        <w:tc>
          <w:tcPr>
            <w:tcW w:type="dxa" w:w="3421"/>
            <w:tcMar>
              <w:top w:type="dxa" w:w="60"/>
              <w:left w:type="dxa" w:w="100"/>
              <w:bottom w:type="dxa" w:w="60"/>
              <w:right w:type="dxa" w:w="100"/>
            </w:tcMar>
          </w:tcPr>
          <w:p>
            <w:pPr>
              <w:spacing w:after="0" w:before="0" w:line="252"/>
            </w:pPr>
            <w:r>
              <w:rPr>
                <w:sz w:val="19"/>
                <w:szCs w:val="19"/>
              </w:rPr>
              <w:t xml:space="preserve">No canary token appears in prompts, outputs, logs, traces, Temporal payloads, the database or S3</w:t>
            </w:r>
          </w:p>
        </w:tc>
        <w:tc>
          <w:tcPr>
            <w:tcW w:type="dxa" w:w="3959"/>
            <w:tcMar>
              <w:top w:type="dxa" w:w="60"/>
              <w:left w:type="dxa" w:w="100"/>
              <w:bottom w:type="dxa" w:w="60"/>
              <w:right w:type="dxa" w:w="100"/>
            </w:tcMar>
          </w:tcPr>
          <w:p>
            <w:pPr>
              <w:spacing w:after="0" w:before="0" w:line="252"/>
            </w:pPr>
            <w:r>
              <w:rPr>
                <w:sz w:val="19"/>
                <w:szCs w:val="19"/>
              </w:rPr>
              <w:t xml:space="preserve">Canary tokens issued by a fake identity provider; a fingerprint scanner; IAM and network tests showing </w:t>
            </w:r>
            <w:r>
              <w:rPr>
                <w:rStyle w:val="CodeChar"/>
                <w:sz w:val="17"/>
                <w:szCs w:val="17"/>
              </w:rPr>
              <w:t xml:space="preserve">worker</w:t>
            </w:r>
            <w:r>
              <w:rPr>
                <w:sz w:val="19"/>
                <w:szCs w:val="19"/>
              </w:rPr>
              <w:t xml:space="preserve"> can't decrypt tokens or reach the internet</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Invariant 4: budget</w:t>
            </w:r>
          </w:p>
        </w:tc>
        <w:tc>
          <w:tcPr>
            <w:tcW w:type="dxa" w:w="3421"/>
            <w:tcMar>
              <w:top w:type="dxa" w:w="60"/>
              <w:left w:type="dxa" w:w="100"/>
              <w:bottom w:type="dxa" w:w="60"/>
              <w:right w:type="dxa" w:w="100"/>
            </w:tcMar>
          </w:tcPr>
          <w:p>
            <w:pPr>
              <w:spacing w:after="0" w:before="0" w:line="252"/>
            </w:pPr>
            <w:r>
              <w:rPr>
                <w:sz w:val="19"/>
                <w:szCs w:val="19"/>
              </w:rPr>
              <w:t xml:space="preserve">Nothing billable runs without a reservation; no limit is exceeded under concurrency, crashes or expiry</w:t>
            </w:r>
          </w:p>
        </w:tc>
        <w:tc>
          <w:tcPr>
            <w:tcW w:type="dxa" w:w="3959"/>
            <w:tcMar>
              <w:top w:type="dxa" w:w="60"/>
              <w:left w:type="dxa" w:w="100"/>
              <w:bottom w:type="dxa" w:w="60"/>
              <w:right w:type="dxa" w:w="100"/>
            </w:tcMar>
          </w:tcPr>
          <w:p>
            <w:pPr>
              <w:spacing w:after="0" w:before="0" w:line="252"/>
            </w:pPr>
            <w:r>
              <w:rPr>
                <w:sz w:val="19"/>
                <w:szCs w:val="19"/>
              </w:rPr>
              <w:t xml:space="preserve">Hypothesis stateful tests on Postgres. Every operation billed by the fake providers or the sandbox must join to a reservation. Daily reconciliation against provider usage in production</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Invariant 5 and SEC‑02</w:t>
            </w:r>
          </w:p>
        </w:tc>
        <w:tc>
          <w:tcPr>
            <w:tcW w:type="dxa" w:w="3421"/>
            <w:tcMar>
              <w:top w:type="dxa" w:w="60"/>
              <w:left w:type="dxa" w:w="100"/>
              <w:bottom w:type="dxa" w:w="60"/>
              <w:right w:type="dxa" w:w="100"/>
            </w:tcMar>
          </w:tcPr>
          <w:p>
            <w:pPr>
              <w:spacing w:after="0" w:before="0" w:line="252"/>
            </w:pPr>
            <w:r>
              <w:rPr>
                <w:sz w:val="19"/>
                <w:szCs w:val="19"/>
              </w:rPr>
              <w:t xml:space="preserve">100% of injection cases blocked; no honeytoken leaves the test sandbox; nothing written to standing instructions</w:t>
            </w:r>
          </w:p>
        </w:tc>
        <w:tc>
          <w:tcPr>
            <w:tcW w:type="dxa" w:w="3959"/>
            <w:tcMar>
              <w:top w:type="dxa" w:w="60"/>
              <w:left w:type="dxa" w:w="100"/>
              <w:bottom w:type="dxa" w:w="60"/>
              <w:right w:type="dxa" w:w="100"/>
            </w:tcMar>
          </w:tcPr>
          <w:p>
            <w:pPr>
              <w:spacing w:after="0" w:before="0" w:line="252"/>
            </w:pPr>
            <w:r>
              <w:rPr>
                <w:sz w:val="19"/>
                <w:szCs w:val="19"/>
              </w:rPr>
              <w:t xml:space="preserve">A maintained suite (below)</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RUN‑07</w:t>
            </w:r>
          </w:p>
        </w:tc>
        <w:tc>
          <w:tcPr>
            <w:tcW w:type="dxa" w:w="3421"/>
            <w:tcMar>
              <w:top w:type="dxa" w:w="60"/>
              <w:left w:type="dxa" w:w="100"/>
              <w:bottom w:type="dxa" w:w="60"/>
              <w:right w:type="dxa" w:w="100"/>
            </w:tcMar>
          </w:tcPr>
          <w:p>
            <w:pPr>
              <w:spacing w:after="0" w:before="0" w:line="252"/>
            </w:pPr>
            <w:r>
              <w:rPr>
                <w:sz w:val="19"/>
                <w:szCs w:val="19"/>
              </w:rPr>
              <w:t xml:space="preserve">0 duplicates for classes (a)–(c); class (d) pauses</w:t>
            </w:r>
          </w:p>
        </w:tc>
        <w:tc>
          <w:tcPr>
            <w:tcW w:type="dxa" w:w="3959"/>
            <w:tcMar>
              <w:top w:type="dxa" w:w="60"/>
              <w:left w:type="dxa" w:w="100"/>
              <w:bottom w:type="dxa" w:w="60"/>
              <w:right w:type="dxa" w:w="100"/>
            </w:tcMar>
          </w:tcPr>
          <w:p>
            <w:pPr>
              <w:spacing w:after="0" w:before="0" w:line="252"/>
            </w:pPr>
            <w:r>
              <w:rPr>
                <w:sz w:val="19"/>
                <w:szCs w:val="19"/>
              </w:rPr>
              <w:t xml:space="preserve">Fakes for each class with faults: lost acknowledgement, timeout before and after commit, crash after sending, read-after-write lag</w:t>
            </w:r>
          </w:p>
        </w:tc>
      </w:tr>
      <w:tr>
        <w:trPr>
          <w:tblHeader w:val="off"/>
        </w:trPr>
        <w:tc>
          <w:tcPr>
            <w:tcW w:type="dxa" w:w="1980"/>
            <w:tcMar>
              <w:top w:type="dxa" w:w="60"/>
              <w:left w:type="dxa" w:w="100"/>
              <w:bottom w:type="dxa" w:w="60"/>
              <w:right w:type="dxa" w:w="100"/>
            </w:tcMar>
          </w:tcPr>
          <w:p>
            <w:pPr>
              <w:spacing w:after="0" w:before="0" w:line="252"/>
            </w:pPr>
            <w:r>
              <w:rPr>
                <w:sz w:val="19"/>
                <w:szCs w:val="19"/>
              </w:rPr>
              <w:t xml:space="preserve">SEC‑11 and SEC‑12</w:t>
            </w:r>
          </w:p>
        </w:tc>
        <w:tc>
          <w:tcPr>
            <w:tcW w:type="dxa" w:w="3421"/>
            <w:tcMar>
              <w:top w:type="dxa" w:w="60"/>
              <w:left w:type="dxa" w:w="100"/>
              <w:bottom w:type="dxa" w:w="60"/>
              <w:right w:type="dxa" w:w="100"/>
            </w:tcMar>
          </w:tcPr>
          <w:p>
            <w:pPr>
              <w:spacing w:after="0" w:before="0" w:line="252"/>
            </w:pPr>
            <w:r>
              <w:rPr>
                <w:sz w:val="19"/>
                <w:szCs w:val="19"/>
              </w:rPr>
              <w:t xml:space="preserve">0 cross-origin requests when rendering or exporting; taint propagates; writes from </w:t>
            </w:r>
            <w:r>
              <w:rPr>
                <w:rStyle w:val="CodeChar"/>
                <w:sz w:val="17"/>
                <w:szCs w:val="17"/>
              </w:rPr>
              <w:t xml:space="preserve">worker</w:t>
            </w:r>
            <w:r>
              <w:rPr>
                <w:sz w:val="19"/>
                <w:szCs w:val="19"/>
              </w:rPr>
              <w:t xml:space="preserve"> are denied</w:t>
            </w:r>
          </w:p>
        </w:tc>
        <w:tc>
          <w:tcPr>
            <w:tcW w:type="dxa" w:w="3959"/>
            <w:tcMar>
              <w:top w:type="dxa" w:w="60"/>
              <w:left w:type="dxa" w:w="100"/>
              <w:bottom w:type="dxa" w:w="60"/>
              <w:right w:type="dxa" w:w="100"/>
            </w:tcMar>
          </w:tcPr>
          <w:p>
            <w:pPr>
              <w:spacing w:after="0" w:before="0" w:line="252"/>
            </w:pPr>
            <w:r>
              <w:rPr>
                <w:sz w:val="19"/>
                <w:szCs w:val="19"/>
              </w:rPr>
              <w:t xml:space="preserve">Playwright with a network recorder; formula-escaping tests; database permission tests</w:t>
            </w:r>
          </w:p>
        </w:tc>
      </w:tr>
    </w:tbl>
    <w:p>
      <w:pPr>
        <w:spacing w:after="60"/>
      </w:pPr>
    </w:p>
    <w:p>
      <w:r>
        <w:rPr>
          <w:b/>
          <w:bCs/>
        </w:rPr>
        <w:t xml:space="preserve">The injection suite (invariant 5, SEC‑02)</w:t>
      </w:r>
    </w:p>
    <w:p>
      <w:pPr>
        <w:pStyle w:val="ListParagraph"/>
        <w:numPr>
          <w:ilvl w:val="0"/>
          <w:numId w:val="2"/>
        </w:numPr>
        <w:spacing w:after="60" w:before="0"/>
      </w:pPr>
      <w:r>
        <w:t xml:space="preserve">It covers direct, indirect, encoded, attachment, multi-turn (follow-up mail) and best-of-N attacks.</w:t>
      </w:r>
    </w:p>
    <w:p>
      <w:pPr>
        <w:pStyle w:val="ListParagraph"/>
        <w:numPr>
          <w:ilvl w:val="0"/>
          <w:numId w:val="2"/>
        </w:numPr>
        <w:spacing w:after="60" w:before="0"/>
      </w:pPr>
      <w:r>
        <w:t xml:space="preserve">It runs against recording stubs, with honeytokens seeded in other folders, columns and mailboxes.</w:t>
      </w:r>
    </w:p>
    <w:p>
      <w:pPr>
        <w:pStyle w:val="ListParagraph"/>
        <w:numPr>
          <w:ilvl w:val="0"/>
          <w:numId w:val="2"/>
        </w:numPr>
        <w:spacing w:after="60" w:before="0"/>
      </w:pPr>
      <w:r>
        <w:t xml:space="preserve">It runs twice: with a </w:t>
      </w:r>
      <w:r>
        <w:rPr>
          <w:b/>
          <w:bCs/>
        </w:rPr>
        <w:t xml:space="preserve">malicious model stub that always obeys the injection</w:t>
      </w:r>
      <w:r>
        <w:t xml:space="preserve">, which proves the containment is structural, and nightly with real models.</w:t>
      </w:r>
    </w:p>
    <w:p>
      <w:pPr>
        <w:spacing w:after="0"/>
      </w:pPr>
    </w:p>
    <w:p>
      <w:r>
        <w:rPr>
          <w:b/>
          <w:bCs/>
        </w:rPr>
        <w:t xml:space="preserve">Acceptance cases and gate evidence</w:t>
      </w:r>
    </w:p>
    <w:p>
      <w:pPr>
        <w:pStyle w:val="ListParagraph"/>
        <w:numPr>
          <w:ilvl w:val="0"/>
          <w:numId w:val="2"/>
        </w:numPr>
        <w:spacing w:after="60" w:before="0"/>
      </w:pPr>
      <w:r>
        <w:t xml:space="preserve">AC‑01–21 (with AC‑10 and AC‑14 as written in the v3 file) become Given/When/Then pytest scenarios over the fakes with a scripted model. AC‑10, 12 and 13 also run in Playwright.</w:t>
      </w:r>
    </w:p>
    <w:p>
      <w:pPr>
        <w:pStyle w:val="ListParagraph"/>
        <w:numPr>
          <w:ilvl w:val="0"/>
          <w:numId w:val="2"/>
        </w:numPr>
        <w:spacing w:after="60" w:before="0"/>
      </w:pPr>
      <w:r>
        <w:t xml:space="preserve">The new cases for the action half and for v0.4 become AC‑22 to AC‑32:</w:t>
      </w:r>
    </w:p>
    <w:p>
      <w:pPr>
        <w:pStyle w:val="ListParagraph"/>
        <w:numPr>
          <w:ilvl w:val="1"/>
          <w:numId w:val="2"/>
        </w:numPr>
        <w:spacing w:after="60" w:before="0"/>
      </w:pPr>
      <w:r>
        <w:t xml:space="preserve">capability violation;</w:t>
      </w:r>
    </w:p>
    <w:p>
      <w:pPr>
        <w:pStyle w:val="ListParagraph"/>
        <w:numPr>
          <w:ilvl w:val="1"/>
          <w:numId w:val="2"/>
        </w:numPr>
        <w:spacing w:after="60" w:before="0"/>
      </w:pPr>
      <w:r>
        <w:t xml:space="preserve">lost acknowledgement for each action type;</w:t>
      </w:r>
    </w:p>
    <w:p>
      <w:pPr>
        <w:pStyle w:val="ListParagraph"/>
        <w:numPr>
          <w:ilvl w:val="1"/>
          <w:numId w:val="2"/>
        </w:numPr>
        <w:spacing w:after="60" w:before="0"/>
      </w:pPr>
      <w:r>
        <w:t xml:space="preserve">compensation and partial side effects;</w:t>
      </w:r>
    </w:p>
    <w:p>
      <w:pPr>
        <w:pStyle w:val="ListParagraph"/>
        <w:numPr>
          <w:ilvl w:val="1"/>
          <w:numId w:val="2"/>
        </w:numPr>
        <w:spacing w:after="60" w:before="0"/>
      </w:pPr>
      <w:r>
        <w:t xml:space="preserve">budget pause and resume;</w:t>
      </w:r>
    </w:p>
    <w:p>
      <w:pPr>
        <w:pStyle w:val="ListParagraph"/>
        <w:numPr>
          <w:ilvl w:val="1"/>
          <w:numId w:val="2"/>
        </w:numPr>
        <w:spacing w:after="60" w:before="0"/>
      </w:pPr>
      <w:r>
        <w:t xml:space="preserve">stale approval;</w:t>
      </w:r>
    </w:p>
    <w:p>
      <w:pPr>
        <w:pStyle w:val="ListParagraph"/>
        <w:numPr>
          <w:ilvl w:val="1"/>
          <w:numId w:val="2"/>
        </w:numPr>
        <w:spacing w:after="60" w:before="0"/>
      </w:pPr>
      <w:r>
        <w:t xml:space="preserve">revocation mid-run;</w:t>
      </w:r>
    </w:p>
    <w:p>
      <w:pPr>
        <w:pStyle w:val="ListParagraph"/>
        <w:numPr>
          <w:ilvl w:val="1"/>
          <w:numId w:val="2"/>
        </w:numPr>
        <w:spacing w:after="60" w:before="0"/>
      </w:pPr>
      <w:r>
        <w:t xml:space="preserve">snapshot withdrawal;</w:t>
      </w:r>
    </w:p>
    <w:p>
      <w:pPr>
        <w:pStyle w:val="ListParagraph"/>
        <w:numPr>
          <w:ilvl w:val="1"/>
          <w:numId w:val="2"/>
        </w:numPr>
        <w:spacing w:after="60" w:before="0"/>
      </w:pPr>
      <w:r>
        <w:t xml:space="preserve">SEC‑11 and SEC‑12;</w:t>
      </w:r>
    </w:p>
    <w:p>
      <w:pPr>
        <w:pStyle w:val="ListParagraph"/>
        <w:numPr>
          <w:ilvl w:val="1"/>
          <w:numId w:val="2"/>
        </w:numPr>
        <w:spacing w:after="60" w:before="0"/>
      </w:pPr>
      <w:r>
        <w:t xml:space="preserve">CON‑10 obfuscated and attachment-hidden instructions;</w:t>
      </w:r>
    </w:p>
    <w:p>
      <w:pPr>
        <w:pStyle w:val="ListParagraph"/>
        <w:numPr>
          <w:ilvl w:val="1"/>
          <w:numId w:val="2"/>
        </w:numPr>
        <w:spacing w:after="60" w:before="0"/>
      </w:pPr>
      <w:r>
        <w:t xml:space="preserve">ASG‑17.</w:t>
      </w:r>
    </w:p>
    <w:p>
      <w:pPr>
        <w:pStyle w:val="ListParagraph"/>
        <w:numPr>
          <w:ilvl w:val="0"/>
          <w:numId w:val="2"/>
        </w:numPr>
        <w:spacing w:after="60" w:before="0"/>
      </w:pPr>
      <w:r>
        <w:t xml:space="preserve">Every test is tagged with requirement IDs, and CI generates the traceability matrix.</w:t>
      </w:r>
    </w:p>
    <w:p>
      <w:pPr>
        <w:pStyle w:val="ListParagraph"/>
        <w:numPr>
          <w:ilvl w:val="0"/>
          <w:numId w:val="2"/>
        </w:numPr>
        <w:spacing w:after="60" w:before="0"/>
      </w:pPr>
      <w:r>
        <w:t xml:space="preserve">Gate 0 evidence is the CI artifacts plus the red-team report. Gate 1 evidence is the evaluation set plus the guardrail dashboards.</w:t>
      </w:r>
    </w:p>
    <w:p>
      <w:pPr>
        <w:spacing w:after="0"/>
      </w:pPr>
    </w:p>
    <w:p>
      <w:r>
        <w:rPr>
          <w:b/>
          <w:bCs/>
        </w:rPr>
        <w:t xml:space="preserve">End-to-end check</w:t>
      </w:r>
    </w:p>
    <w:p>
      <w:pPr>
        <w:pStyle w:val="ListParagraph"/>
        <w:numPr>
          <w:ilvl w:val="0"/>
          <w:numId w:val="10"/>
        </w:numPr>
        <w:spacing w:after="60" w:before="0"/>
      </w:pPr>
      <w:r>
        <w:t xml:space="preserve">Run </w:t>
      </w:r>
      <w:r>
        <w:rPr>
          <w:rStyle w:val="CodeChar"/>
          <w:sz w:val="20"/>
          <w:szCs w:val="20"/>
        </w:rPr>
        <w:t xml:space="preserve">just dev</w:t>
      </w:r>
      <w:r>
        <w:t xml:space="preserve"> and seed a tenant.</w:t>
      </w:r>
    </w:p>
    <w:p>
      <w:pPr>
        <w:pStyle w:val="ListParagraph"/>
        <w:numPr>
          <w:ilvl w:val="0"/>
          <w:numId w:val="10"/>
        </w:numPr>
        <w:spacing w:after="60" w:before="0"/>
      </w:pPr>
      <w:r>
        <w:t xml:space="preserve">Mail the fake mailbox; a queue item appears.</w:t>
      </w:r>
    </w:p>
    <w:p>
      <w:pPr>
        <w:pStyle w:val="ListParagraph"/>
        <w:numPr>
          <w:ilvl w:val="0"/>
          <w:numId w:val="10"/>
        </w:numPr>
        <w:spacing w:after="60" w:before="0"/>
      </w:pPr>
      <w:r>
        <w:t xml:space="preserve">Approve it in the web UI.</w:t>
      </w:r>
    </w:p>
    <w:p>
      <w:pPr>
        <w:pStyle w:val="ListParagraph"/>
        <w:numPr>
          <w:ilvl w:val="0"/>
          <w:numId w:val="10"/>
        </w:numPr>
        <w:spacing w:after="60" w:before="0"/>
      </w:pPr>
      <w:r>
        <w:t xml:space="preserve">Confirm that the fake Excel row changes exactly once, the audit chain verifies and the ledger reconciles.</w:t>
      </w:r>
    </w:p>
    <w:p>
      <w:pPr>
        <w:spacing w:after="0"/>
      </w:pPr>
    </w:p>
    <w:p>
      <w:pPr>
        <w:pStyle w:val="Heading1"/>
        <w:keepNext/>
      </w:pPr>
      <w:r>
        <w:t xml:space="preserve">16. Technical risks</w:t>
      </w:r>
    </w:p>
    <w:p>
      <w:r>
        <w:t xml:space="preserve">The riskiest assumptions are tested in the first three weeks (§14.4); each has a fallback that keeps the beta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5"/>
        <w:gridCol w:w="2695"/>
        <w:gridCol w:w="3290"/>
      </w:tblGrid>
      <w:tr>
        <w:trPr>
          <w:tblHeader/>
        </w:trPr>
        <w:tc>
          <w:tcPr>
            <w:tcW w:type="dxa" w:w="337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95"/>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290"/>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Graph write semantics differ from assumptions (If-Match, Reply-To, filtering extended properties)</w:t>
            </w:r>
          </w:p>
        </w:tc>
        <w:tc>
          <w:tcPr>
            <w:tcW w:type="dxa" w:w="2695"/>
            <w:tcMar>
              <w:top w:type="dxa" w:w="60"/>
              <w:left w:type="dxa" w:w="100"/>
              <w:bottom w:type="dxa" w:w="60"/>
              <w:right w:type="dxa" w:w="100"/>
            </w:tcMar>
          </w:tcPr>
          <w:p>
            <w:pPr>
              <w:spacing w:after="0" w:before="0" w:line="252"/>
            </w:pPr>
            <w:r>
              <w:rPr>
                <w:sz w:val="19"/>
                <w:szCs w:val="19"/>
              </w:rPr>
              <w:t xml:space="preserve">Duplicate writes or misdirected drafts</w:t>
            </w:r>
          </w:p>
        </w:tc>
        <w:tc>
          <w:tcPr>
            <w:tcW w:type="dxa" w:w="3290"/>
            <w:tcMar>
              <w:top w:type="dxa" w:w="60"/>
              <w:left w:type="dxa" w:w="100"/>
              <w:bottom w:type="dxa" w:w="60"/>
              <w:right w:type="dxa" w:w="100"/>
            </w:tcMar>
          </w:tcPr>
          <w:p>
            <w:pPr>
              <w:spacing w:after="0" w:before="0" w:line="252"/>
            </w:pPr>
            <w:r>
              <w:rPr>
                <w:sz w:val="19"/>
                <w:szCs w:val="19"/>
              </w:rPr>
              <w:t xml:space="preserve">Spike S3; class (c) or (d) fallbacks; draft read-back</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Deprovisioning from Entra takes minutes, not seconds</w:t>
            </w:r>
          </w:p>
        </w:tc>
        <w:tc>
          <w:tcPr>
            <w:tcW w:type="dxa" w:w="2695"/>
            <w:tcMar>
              <w:top w:type="dxa" w:w="60"/>
              <w:left w:type="dxa" w:w="100"/>
              <w:bottom w:type="dxa" w:w="60"/>
              <w:right w:type="dxa" w:w="100"/>
            </w:tcMar>
          </w:tcPr>
          <w:p>
            <w:pPr>
              <w:spacing w:after="0" w:before="0" w:line="252"/>
            </w:pPr>
            <w:r>
              <w:rPr>
                <w:sz w:val="19"/>
                <w:szCs w:val="19"/>
              </w:rPr>
              <w:t xml:space="preserve">The 60-second target is missed when measured from the IdP</w:t>
            </w:r>
          </w:p>
        </w:tc>
        <w:tc>
          <w:tcPr>
            <w:tcW w:type="dxa" w:w="3290"/>
            <w:tcMar>
              <w:top w:type="dxa" w:w="60"/>
              <w:left w:type="dxa" w:w="100"/>
              <w:bottom w:type="dxa" w:w="60"/>
              <w:right w:type="dxa" w:w="100"/>
            </w:tcMar>
          </w:tcPr>
          <w:p>
            <w:pPr>
              <w:spacing w:after="0" w:before="0" w:line="252"/>
            </w:pPr>
            <w:r>
              <w:rPr>
                <w:sz w:val="19"/>
                <w:szCs w:val="19"/>
              </w:rPr>
              <w:t xml:space="preserve">CAE; optional user-delta polling; measure from receipt of the signal</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Temporal segments behave unexpectedly over PrivateLink or on replay</w:t>
            </w:r>
          </w:p>
        </w:tc>
        <w:tc>
          <w:tcPr>
            <w:tcW w:type="dxa" w:w="2695"/>
            <w:tcMar>
              <w:top w:type="dxa" w:w="60"/>
              <w:left w:type="dxa" w:w="100"/>
              <w:bottom w:type="dxa" w:w="60"/>
              <w:right w:type="dxa" w:w="100"/>
            </w:tcMar>
          </w:tcPr>
          <w:p>
            <w:pPr>
              <w:spacing w:after="0" w:before="0" w:line="252"/>
            </w:pPr>
            <w:r>
              <w:rPr>
                <w:sz w:val="19"/>
                <w:szCs w:val="19"/>
              </w:rPr>
              <w:t xml:space="preserve">Runtime rework</w:t>
            </w:r>
          </w:p>
        </w:tc>
        <w:tc>
          <w:tcPr>
            <w:tcW w:type="dxa" w:w="3290"/>
            <w:tcMar>
              <w:top w:type="dxa" w:w="60"/>
              <w:left w:type="dxa" w:w="100"/>
              <w:bottom w:type="dxa" w:w="60"/>
              <w:right w:type="dxa" w:w="100"/>
            </w:tcMar>
          </w:tcPr>
          <w:p>
            <w:pPr>
              <w:spacing w:after="0" w:before="0" w:line="252"/>
            </w:pPr>
            <w:r>
              <w:rPr>
                <w:sz w:val="19"/>
                <w:szCs w:val="19"/>
              </w:rPr>
              <w:t xml:space="preserve">Spike S4; DBOS fallback</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Hot ledger rows</w:t>
            </w:r>
          </w:p>
        </w:tc>
        <w:tc>
          <w:tcPr>
            <w:tcW w:type="dxa" w:w="2695"/>
            <w:tcMar>
              <w:top w:type="dxa" w:w="60"/>
              <w:left w:type="dxa" w:w="100"/>
              <w:bottom w:type="dxa" w:w="60"/>
              <w:right w:type="dxa" w:w="100"/>
            </w:tcMar>
          </w:tcPr>
          <w:p>
            <w:pPr>
              <w:spacing w:after="0" w:before="0" w:line="252"/>
            </w:pPr>
            <w:r>
              <w:rPr>
                <w:sz w:val="19"/>
                <w:szCs w:val="19"/>
              </w:rPr>
              <w:t xml:space="preserve">Reservation latency at scale</w:t>
            </w:r>
          </w:p>
        </w:tc>
        <w:tc>
          <w:tcPr>
            <w:tcW w:type="dxa" w:w="3290"/>
            <w:tcMar>
              <w:top w:type="dxa" w:w="60"/>
              <w:left w:type="dxa" w:w="100"/>
              <w:bottom w:type="dxa" w:w="60"/>
              <w:right w:type="dxa" w:w="100"/>
            </w:tcMar>
          </w:tcPr>
          <w:p>
            <w:pPr>
              <w:spacing w:after="0" w:before="0" w:line="252"/>
            </w:pPr>
            <w:r>
              <w:rPr>
                <w:sz w:val="19"/>
                <w:szCs w:val="19"/>
              </w:rPr>
              <w:t xml:space="preserve">Spike S5; budget chunks or TigerBeetle</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Hidden-content detection misses on real mail</w:t>
            </w:r>
          </w:p>
        </w:tc>
        <w:tc>
          <w:tcPr>
            <w:tcW w:type="dxa" w:w="2695"/>
            <w:tcMar>
              <w:top w:type="dxa" w:w="60"/>
              <w:left w:type="dxa" w:w="100"/>
              <w:bottom w:type="dxa" w:w="60"/>
              <w:right w:type="dxa" w:w="100"/>
            </w:tcMar>
          </w:tcPr>
          <w:p>
            <w:pPr>
              <w:spacing w:after="0" w:before="0" w:line="252"/>
            </w:pPr>
            <w:r>
              <w:rPr>
                <w:sz w:val="19"/>
                <w:szCs w:val="19"/>
              </w:rPr>
              <w:t xml:space="preserve">An injection reaches the model view</w:t>
            </w:r>
          </w:p>
        </w:tc>
        <w:tc>
          <w:tcPr>
            <w:tcW w:type="dxa" w:w="3290"/>
            <w:tcMar>
              <w:top w:type="dxa" w:w="60"/>
              <w:left w:type="dxa" w:w="100"/>
              <w:bottom w:type="dxa" w:w="60"/>
              <w:right w:type="dxa" w:w="100"/>
            </w:tcMar>
          </w:tcPr>
          <w:p>
            <w:pPr>
              <w:spacing w:after="0" w:before="0" w:line="252"/>
            </w:pPr>
            <w:r>
              <w:rPr>
                <w:sz w:val="19"/>
                <w:szCs w:val="19"/>
              </w:rPr>
              <w:t xml:space="preserve">Spike S6; conservative flags; containment doesn't depend on detection (§15)</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Cost estimates miss ±25%</w:t>
            </w:r>
          </w:p>
        </w:tc>
        <w:tc>
          <w:tcPr>
            <w:tcW w:type="dxa" w:w="2695"/>
            <w:tcMar>
              <w:top w:type="dxa" w:w="60"/>
              <w:left w:type="dxa" w:w="100"/>
              <w:bottom w:type="dxa" w:w="60"/>
              <w:right w:type="dxa" w:w="100"/>
            </w:tcMar>
          </w:tcPr>
          <w:p>
            <w:pPr>
              <w:spacing w:after="0" w:before="0" w:line="252"/>
            </w:pPr>
            <w:r>
              <w:rPr>
                <w:sz w:val="19"/>
                <w:szCs w:val="19"/>
              </w:rPr>
              <w:t xml:space="preserve">Gate 1 metric missed; needless pauses</w:t>
            </w:r>
          </w:p>
        </w:tc>
        <w:tc>
          <w:tcPr>
            <w:tcW w:type="dxa" w:w="3290"/>
            <w:tcMar>
              <w:top w:type="dxa" w:w="60"/>
              <w:left w:type="dxa" w:w="100"/>
              <w:bottom w:type="dxa" w:w="60"/>
              <w:right w:type="dxa" w:w="100"/>
            </w:tcMar>
          </w:tcPr>
          <w:p>
            <w:pPr>
              <w:spacing w:after="0" w:before="0" w:line="252"/>
            </w:pPr>
            <w:r>
              <w:rPr>
                <w:sz w:val="19"/>
                <w:szCs w:val="19"/>
              </w:rPr>
              <w:t xml:space="preserve">Spike S7; </w:t>
            </w:r>
            <w:r>
              <w:rPr>
                <w:rStyle w:val="CodeChar"/>
                <w:sz w:val="17"/>
                <w:szCs w:val="17"/>
              </w:rPr>
              <w:t xml:space="preserve">max_tokens</w:t>
            </w:r>
            <w:r>
              <w:rPr>
                <w:sz w:val="19"/>
                <w:szCs w:val="19"/>
              </w:rPr>
              <w:t xml:space="preserve"> set from p99 output; dry runs; a safety multiplier</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A weak cross-family judge</w:t>
            </w:r>
          </w:p>
        </w:tc>
        <w:tc>
          <w:tcPr>
            <w:tcW w:type="dxa" w:w="2695"/>
            <w:tcMar>
              <w:top w:type="dxa" w:w="60"/>
              <w:left w:type="dxa" w:w="100"/>
              <w:bottom w:type="dxa" w:w="60"/>
              <w:right w:type="dxa" w:w="100"/>
            </w:tcMar>
          </w:tcPr>
          <w:p>
            <w:pPr>
              <w:spacing w:after="0" w:before="0" w:line="252"/>
            </w:pPr>
            <w:r>
              <w:rPr>
                <w:sz w:val="19"/>
                <w:szCs w:val="19"/>
              </w:rPr>
              <w:t xml:space="preserve">Low supervisor precision or recall</w:t>
            </w:r>
          </w:p>
        </w:tc>
        <w:tc>
          <w:tcPr>
            <w:tcW w:type="dxa" w:w="3290"/>
            <w:tcMar>
              <w:top w:type="dxa" w:w="60"/>
              <w:left w:type="dxa" w:w="100"/>
              <w:bottom w:type="dxa" w:w="60"/>
              <w:right w:type="dxa" w:w="100"/>
            </w:tcMar>
          </w:tcPr>
          <w:p>
            <w:pPr>
              <w:spacing w:after="0" w:before="0" w:line="252"/>
            </w:pPr>
            <w:r>
              <w:rPr>
                <w:sz w:val="19"/>
                <w:szCs w:val="19"/>
              </w:rPr>
              <w:t xml:space="preserve">Choose by labeled-set evaluation; a curated default with full supervision</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The gateway is a single point of compromise</w:t>
            </w:r>
          </w:p>
        </w:tc>
        <w:tc>
          <w:tcPr>
            <w:tcW w:type="dxa" w:w="2695"/>
            <w:tcMar>
              <w:top w:type="dxa" w:w="60"/>
              <w:left w:type="dxa" w:w="100"/>
              <w:bottom w:type="dxa" w:w="60"/>
              <w:right w:type="dxa" w:w="100"/>
            </w:tcMar>
          </w:tcPr>
          <w:p>
            <w:pPr>
              <w:spacing w:after="0" w:before="0" w:line="252"/>
            </w:pPr>
            <w:r>
              <w:rPr>
                <w:sz w:val="19"/>
                <w:szCs w:val="19"/>
              </w:rPr>
              <w:t xml:space="preserve">Credentials and egress sit together</w:t>
            </w:r>
          </w:p>
        </w:tc>
        <w:tc>
          <w:tcPr>
            <w:tcW w:type="dxa" w:w="3290"/>
            <w:tcMar>
              <w:top w:type="dxa" w:w="60"/>
              <w:left w:type="dxa" w:w="100"/>
              <w:bottom w:type="dxa" w:w="60"/>
              <w:right w:type="dxa" w:w="100"/>
            </w:tcMar>
          </w:tcPr>
          <w:p>
            <w:pPr>
              <w:spacing w:after="0" w:before="0" w:line="252"/>
            </w:pPr>
            <w:r>
              <w:rPr>
                <w:sz w:val="19"/>
                <w:szCs w:val="19"/>
              </w:rPr>
              <w:t xml:space="preserve">Narrow IAM and KMS policies; Network Firewall allowlist; split the broker out at GA</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A team of 1–3 engineers</w:t>
            </w:r>
          </w:p>
        </w:tc>
        <w:tc>
          <w:tcPr>
            <w:tcW w:type="dxa" w:w="2695"/>
            <w:tcMar>
              <w:top w:type="dxa" w:w="60"/>
              <w:left w:type="dxa" w:w="100"/>
              <w:bottom w:type="dxa" w:w="60"/>
              <w:right w:type="dxa" w:w="100"/>
            </w:tcMar>
          </w:tcPr>
          <w:p>
            <w:pPr>
              <w:spacing w:after="0" w:before="0" w:line="252"/>
            </w:pPr>
            <w:r>
              <w:rPr>
                <w:sz w:val="19"/>
                <w:szCs w:val="19"/>
              </w:rPr>
              <w:t xml:space="preserve">Schedule slips</w:t>
            </w:r>
          </w:p>
        </w:tc>
        <w:tc>
          <w:tcPr>
            <w:tcW w:type="dxa" w:w="3290"/>
            <w:tcMar>
              <w:top w:type="dxa" w:w="60"/>
              <w:left w:type="dxa" w:w="100"/>
              <w:bottom w:type="dxa" w:w="60"/>
              <w:right w:type="dxa" w:w="100"/>
            </w:tcMar>
          </w:tcPr>
          <w:p>
            <w:pPr>
              <w:spacing w:after="0" w:before="0" w:line="252"/>
            </w:pPr>
            <w:r>
              <w:rPr>
                <w:sz w:val="19"/>
                <w:szCs w:val="19"/>
              </w:rPr>
              <w:t xml:space="preserve">Buy list; scope levers; lanes merge when the team is smaller</w:t>
            </w:r>
          </w:p>
        </w:tc>
      </w:tr>
      <w:tr>
        <w:trPr>
          <w:tblHeader w:val="off"/>
        </w:trPr>
        <w:tc>
          <w:tcPr>
            <w:tcW w:type="dxa" w:w="3375"/>
            <w:tcMar>
              <w:top w:type="dxa" w:w="60"/>
              <w:left w:type="dxa" w:w="100"/>
              <w:bottom w:type="dxa" w:w="60"/>
              <w:right w:type="dxa" w:w="100"/>
            </w:tcMar>
          </w:tcPr>
          <w:p>
            <w:pPr>
              <w:spacing w:after="0" w:before="0" w:line="252"/>
            </w:pPr>
            <w:r>
              <w:rPr>
                <w:sz w:val="19"/>
                <w:szCs w:val="19"/>
              </w:rPr>
              <w:t xml:space="preserve">WebKitGTK behavior in Tauri (GA)</w:t>
            </w:r>
          </w:p>
        </w:tc>
        <w:tc>
          <w:tcPr>
            <w:tcW w:type="dxa" w:w="2695"/>
            <w:tcMar>
              <w:top w:type="dxa" w:w="60"/>
              <w:left w:type="dxa" w:w="100"/>
              <w:bottom w:type="dxa" w:w="60"/>
              <w:right w:type="dxa" w:w="100"/>
            </w:tcMar>
          </w:tcPr>
          <w:p>
            <w:pPr>
              <w:spacing w:after="0" w:before="0" w:line="252"/>
            </w:pPr>
            <w:r>
              <w:rPr>
                <w:sz w:val="19"/>
                <w:szCs w:val="19"/>
              </w:rPr>
              <w:t xml:space="preserve">Desktop parity or accessibility</w:t>
            </w:r>
          </w:p>
        </w:tc>
        <w:tc>
          <w:tcPr>
            <w:tcW w:type="dxa" w:w="3290"/>
            <w:tcMar>
              <w:top w:type="dxa" w:w="60"/>
              <w:left w:type="dxa" w:w="100"/>
              <w:bottom w:type="dxa" w:w="60"/>
              <w:right w:type="dxa" w:w="100"/>
            </w:tcMar>
          </w:tcPr>
          <w:p>
            <w:pPr>
              <w:spacing w:after="0" w:before="0" w:line="252"/>
            </w:pPr>
            <w:r>
              <w:rPr>
                <w:sz w:val="19"/>
                <w:szCs w:val="19"/>
              </w:rPr>
              <w:t xml:space="preserve">One-week spike at the start of Phase 2; Electron fallback</w:t>
            </w:r>
          </w:p>
        </w:tc>
      </w:tr>
    </w:tbl>
    <w:p>
      <w:pPr>
        <w:spacing w:after="60"/>
      </w:pPr>
    </w:p>
    <w:p>
      <w:pPr>
        <w:pStyle w:val="Heading1"/>
        <w:keepNext/>
      </w:pPr>
      <w:r>
        <w:t xml:space="preserve">17. Proposed spec changes</w:t>
      </w:r>
    </w:p>
    <w:p>
      <w:r>
        <w:t xml:space="preserve">These are listed for the product owner; this document doesn't edit the specification.</w:t>
      </w:r>
    </w:p>
    <w:p>
      <w:pPr>
        <w:pStyle w:val="ListParagraph"/>
        <w:numPr>
          <w:ilvl w:val="0"/>
          <w:numId w:val="11"/>
        </w:numPr>
        <w:spacing w:after="60" w:before="0"/>
      </w:pPr>
      <w:r>
        <w:rPr>
          <w:b/>
          <w:bCs/>
        </w:rPr>
        <w:t xml:space="preserve">CON‑04.</w:t>
      </w:r>
      <w:r>
        <w:t xml:space="preserve"> Refresh tokens should be readable only by the token broker in the connector gateway (§16), not by "the execution service".</w:t>
      </w:r>
    </w:p>
    <w:p>
      <w:pPr>
        <w:pStyle w:val="ListParagraph"/>
        <w:numPr>
          <w:ilvl w:val="0"/>
          <w:numId w:val="11"/>
        </w:numPr>
        <w:spacing w:after="60" w:before="0"/>
      </w:pPr>
      <w:r>
        <w:rPr>
          <w:b/>
          <w:bCs/>
        </w:rPr>
        <w:t xml:space="preserve">BUD‑03.</w:t>
      </w:r>
      <w:r>
        <w:t xml:space="preserve"> Expiry releases only reservations that never started. A reservation that started but wasn't settled is charged in full and reconciled.</w:t>
      </w:r>
    </w:p>
    <w:p>
      <w:pPr>
        <w:pStyle w:val="ListParagraph"/>
        <w:numPr>
          <w:ilvl w:val="0"/>
          <w:numId w:val="11"/>
        </w:numPr>
        <w:spacing w:after="60" w:before="0"/>
      </w:pPr>
      <w:r>
        <w:rPr>
          <w:b/>
          <w:bCs/>
        </w:rPr>
        <w:t xml:space="preserve">CON‑06, §17.</w:t>
      </w:r>
      <w:r>
        <w:t xml:space="preserve"> Measure the 60 seconds from receipt of the deprovisioning signal. Entra SCIM runs about every 40 minutes and CAE can take up to 15 minutes, so add CAE. Decide whether admin-consented Graph user-delta polling is acceptable under CON‑01.</w:t>
      </w:r>
    </w:p>
    <w:p>
      <w:pPr>
        <w:pStyle w:val="ListParagraph"/>
        <w:numPr>
          <w:ilvl w:val="0"/>
          <w:numId w:val="11"/>
        </w:numPr>
        <w:spacing w:after="60" w:before="0"/>
      </w:pPr>
      <w:r>
        <w:rPr>
          <w:b/>
          <w:bCs/>
        </w:rPr>
        <w:t xml:space="preserve">Spending outside runs in the beta</w:t>
      </w:r>
      <w:r>
        <w:t xml:space="preserve"> (QA‑01–03, ASG‑02, ASG‑05). Charge a user workspace account, since the chat budget arrives with QA‑04 at GA.</w:t>
      </w:r>
    </w:p>
    <w:p>
      <w:pPr>
        <w:pStyle w:val="ListParagraph"/>
        <w:numPr>
          <w:ilvl w:val="0"/>
          <w:numId w:val="11"/>
        </w:numPr>
        <w:spacing w:after="60" w:before="0"/>
      </w:pPr>
      <w:r>
        <w:rPr>
          <w:b/>
          <w:bCs/>
        </w:rPr>
        <w:t xml:space="preserve">RUN‑01.</w:t>
      </w:r>
      <w:r>
        <w:t xml:space="preserve"> Only Queued and Running runs count against the concurrency limit; otherwise runs waiting days for approval would stall intake.</w:t>
      </w:r>
    </w:p>
    <w:p>
      <w:pPr>
        <w:pStyle w:val="ListParagraph"/>
        <w:numPr>
          <w:ilvl w:val="0"/>
          <w:numId w:val="11"/>
        </w:numPr>
        <w:spacing w:after="60" w:before="0"/>
      </w:pPr>
      <w:r>
        <w:rPr>
          <w:b/>
          <w:bCs/>
        </w:rPr>
        <w:t xml:space="preserve">RUN‑02.</w:t>
      </w:r>
      <w:r>
        <w:t xml:space="preserve"> The email Message-ID is chosen by the sender, so a forged ID can suppress a real email. Use the provider's immutable ID, with a dedup window at least as long as the 90-day monitored window.</w:t>
      </w:r>
    </w:p>
    <w:p>
      <w:pPr>
        <w:pStyle w:val="ListParagraph"/>
        <w:numPr>
          <w:ilvl w:val="0"/>
          <w:numId w:val="11"/>
        </w:numPr>
        <w:spacing w:after="60" w:before="0"/>
      </w:pPr>
      <w:r>
        <w:rPr>
          <w:b/>
          <w:bCs/>
        </w:rPr>
        <w:t xml:space="preserve">RUN‑04.</w:t>
      </w:r>
      <w:r>
        <w:t xml:space="preserve"> Add an </w:t>
      </w:r>
      <w:r>
        <w:rPr>
          <w:rStyle w:val="CodeChar"/>
          <w:sz w:val="20"/>
          <w:szCs w:val="20"/>
        </w:rPr>
        <w:t xml:space="preserve">expired</w:t>
      </w:r>
      <w:r>
        <w:t xml:space="preserve"> approval state.</w:t>
      </w:r>
    </w:p>
    <w:p>
      <w:pPr>
        <w:pStyle w:val="ListParagraph"/>
        <w:numPr>
          <w:ilvl w:val="0"/>
          <w:numId w:val="11"/>
        </w:numPr>
        <w:spacing w:after="60" w:before="0"/>
      </w:pPr>
      <w:r>
        <w:rPr>
          <w:b/>
          <w:bCs/>
        </w:rPr>
        <w:t xml:space="preserve">Invariant 2.</w:t>
      </w:r>
      <w:r>
        <w:t xml:space="preserve"> Each approval also covers its declared compensation, so compensations are authorized.</w:t>
      </w:r>
    </w:p>
    <w:p>
      <w:pPr>
        <w:pStyle w:val="ListParagraph"/>
        <w:numPr>
          <w:ilvl w:val="0"/>
          <w:numId w:val="11"/>
        </w:numPr>
        <w:spacing w:after="60" w:before="0"/>
      </w:pPr>
      <w:r>
        <w:rPr>
          <w:b/>
          <w:bCs/>
        </w:rPr>
        <w:t xml:space="preserve">Deprovisioned owner with applied effects.</w:t>
      </w:r>
      <w:r>
        <w:t xml:space="preserve"> A tenant-designated custodian receives the repair item, and the run ends Completed with partial side effects.</w:t>
      </w:r>
    </w:p>
    <w:p>
      <w:pPr>
        <w:pStyle w:val="ListParagraph"/>
        <w:numPr>
          <w:ilvl w:val="0"/>
          <w:numId w:val="11"/>
        </w:numPr>
        <w:spacing w:after="60" w:before="0"/>
      </w:pPr>
      <w:r>
        <w:rPr>
          <w:b/>
          <w:bCs/>
        </w:rPr>
        <w:t xml:space="preserve">RTR‑02.</w:t>
      </w:r>
      <w:r>
        <w:t xml:space="preserve"> Specify the fallback when no model clears the quality bar: a curated default with full supervision.</w:t>
      </w:r>
    </w:p>
    <w:p>
      <w:pPr>
        <w:pStyle w:val="ListParagraph"/>
        <w:numPr>
          <w:ilvl w:val="0"/>
          <w:numId w:val="11"/>
        </w:numPr>
        <w:spacing w:after="60" w:before="0"/>
      </w:pPr>
      <w:r>
        <w:rPr>
          <w:b/>
          <w:bCs/>
        </w:rPr>
        <w:t xml:space="preserve">§18.1.</w:t>
      </w:r>
      <w:r>
        <w:t xml:space="preserve"> "Needs reassignment" and "Needs repair" should be separate status fields, as in v3.1, not lifecycle states.</w:t>
      </w:r>
    </w:p>
    <w:p>
      <w:pPr>
        <w:pStyle w:val="ListParagraph"/>
        <w:numPr>
          <w:ilvl w:val="0"/>
          <w:numId w:val="11"/>
        </w:numPr>
        <w:spacing w:after="60" w:before="0"/>
      </w:pPr>
      <w:r>
        <w:rPr>
          <w:b/>
          <w:bCs/>
        </w:rPr>
        <w:t xml:space="preserve">ADM‑07 and SEC‑07.</w:t>
      </w:r>
      <w:r>
        <w:t xml:space="preserve"> State three things: personal fields are searched through blind indexes; crypto-shredding completes once older backups expire; and audit RPO 0 covers losing a zone, not a region.</w:t>
      </w:r>
    </w:p>
    <w:p>
      <w:pPr>
        <w:pStyle w:val="ListParagraph"/>
        <w:numPr>
          <w:ilvl w:val="0"/>
          <w:numId w:val="11"/>
        </w:numPr>
        <w:spacing w:after="60" w:before="0"/>
      </w:pPr>
      <w:r>
        <w:rPr>
          <w:b/>
          <w:bCs/>
        </w:rPr>
        <w:t xml:space="preserve">CON‑10.</w:t>
      </w:r>
      <w:r>
        <w:t xml:space="preserve"> Define "removed" for look-alike characters (map them to their UTS #39 skeleton), and state that hidden regions stay out of the model view.</w:t>
      </w:r>
    </w:p>
    <w:p>
      <w:pPr>
        <w:pStyle w:val="ListParagraph"/>
        <w:numPr>
          <w:ilvl w:val="0"/>
          <w:numId w:val="11"/>
        </w:numPr>
        <w:spacing w:after="60" w:before="0"/>
      </w:pPr>
      <w:r>
        <w:rPr>
          <w:b/>
          <w:bCs/>
        </w:rPr>
        <w:t xml:space="preserve">Delegate approvals.</w:t>
      </w:r>
      <w:r>
        <w:t xml:space="preserve"> They execute with the queue owner's token. Confirm this, and require the approver to pass SEC‑08 with both people recorded.</w:t>
      </w:r>
    </w:p>
    <w:p>
      <w:pPr>
        <w:pStyle w:val="ListParagraph"/>
        <w:numPr>
          <w:ilvl w:val="0"/>
          <w:numId w:val="11"/>
        </w:numPr>
        <w:spacing w:after="60" w:before="0"/>
      </w:pPr>
      <w:r>
        <w:rPr>
          <w:b/>
          <w:bCs/>
        </w:rPr>
        <w:t xml:space="preserve">CON‑02.</w:t>
      </w:r>
      <w:r>
        <w:t xml:space="preserve"> In the beta the policy engine is a typed, deterministic evaluator; Cedar arrives at GA.</w:t>
      </w:r>
    </w:p>
    <w:p>
      <w:pPr>
        <w:pStyle w:val="ListParagraph"/>
        <w:numPr>
          <w:ilvl w:val="0"/>
          <w:numId w:val="11"/>
        </w:numPr>
        <w:spacing w:after="60" w:before="0"/>
      </w:pPr>
      <w:r>
        <w:rPr>
          <w:b/>
          <w:bCs/>
        </w:rPr>
        <w:t xml:space="preserve">§6.1.</w:t>
      </w:r>
      <w:r>
        <w:t xml:space="preserve"> First-party connectors run in-process in the beta; MCP transport is used at the edges.</w:t>
      </w:r>
    </w:p>
    <w:p>
      <w:pPr>
        <w:pStyle w:val="ListParagraph"/>
        <w:numPr>
          <w:ilvl w:val="0"/>
          <w:numId w:val="11"/>
        </w:numPr>
        <w:spacing w:after="60" w:before="0"/>
      </w:pPr>
      <w:r>
        <w:rPr>
          <w:b/>
          <w:bCs/>
        </w:rPr>
        <w:t xml:space="preserve">§5, §16, §21.</w:t>
      </w:r>
      <w:r>
        <w:t xml:space="preserve"> Update the stack lines to match §2 of this document once accepted.</w:t>
      </w:r>
    </w:p>
    <w:p>
      <w:pPr>
        <w:pStyle w:val="ListParagraph"/>
        <w:numPr>
          <w:ilvl w:val="0"/>
          <w:numId w:val="11"/>
        </w:numPr>
        <w:spacing w:after="60" w:before="0"/>
      </w:pPr>
      <w:r>
        <w:rPr>
          <w:b/>
          <w:bCs/>
        </w:rPr>
        <w:t xml:space="preserve">SEC‑11.</w:t>
      </w:r>
      <w:r>
        <w:t xml:space="preserve"> Add a tenant setting for the link-domain allowlist.</w:t>
      </w:r>
    </w:p>
    <w:p>
      <w:pPr>
        <w:spacing w:after="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4"/>
        <w:gridCol w:w="1127"/>
        <w:gridCol w:w="6919"/>
      </w:tblGrid>
      <w:tr>
        <w:trPr>
          <w:tblHeader/>
        </w:trPr>
        <w:tc>
          <w:tcPr>
            <w:tcW w:type="dxa" w:w="1314"/>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27"/>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19"/>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314"/>
            <w:tcMar>
              <w:top w:type="dxa" w:w="60"/>
              <w:left w:type="dxa" w:w="100"/>
              <w:bottom w:type="dxa" w:w="60"/>
              <w:right w:type="dxa" w:w="100"/>
            </w:tcMar>
          </w:tcPr>
          <w:p>
            <w:pPr>
              <w:spacing w:after="0" w:before="0" w:line="252"/>
            </w:pPr>
            <w:r>
              <w:rPr>
                <w:sz w:val="19"/>
                <w:szCs w:val="19"/>
              </w:rPr>
              <w:t xml:space="preserve">v0.1</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19"/>
            <w:tcMar>
              <w:top w:type="dxa" w:w="60"/>
              <w:left w:type="dxa" w:w="100"/>
              <w:bottom w:type="dxa" w:w="60"/>
              <w:right w:type="dxa" w:w="100"/>
            </w:tcMar>
          </w:tcPr>
          <w:p>
            <w:pPr>
              <w:spacing w:after="0" w:before="0" w:line="252"/>
            </w:pPr>
            <w:r>
              <w:rPr>
                <w:sz w:val="19"/>
                <w:szCs w:val="19"/>
              </w:rPr>
              <w:t xml:space="preserve">First draft for engineering review: stack review against the specification's defaults; AWS architecture for a team of 1–3; runtime, gateway, ledger and model designs; v0.4 prompt-injection hardening; work-package plan through gate 1 with spikes and a timeline; verification strategy; 18 proposed spec changes</w:t>
            </w:r>
          </w:p>
        </w:tc>
      </w:tr>
    </w:tbl>
    <w:p>
      <w:pPr>
        <w:spacing w:after="60"/>
      </w:pPr>
    </w:p>
    <w:p>
      <w:pPr>
        <w:pStyle w:val="Heading1"/>
        <w:keepNext/>
      </w:pPr>
      <w:r>
        <w:t xml:space="preserve">Sources</w:t>
      </w:r>
    </w:p>
    <w:p>
      <w:pPr>
        <w:pStyle w:val="ListParagraph"/>
        <w:numPr>
          <w:ilvl w:val="0"/>
          <w:numId w:val="2"/>
        </w:numPr>
        <w:spacing w:after="60" w:before="0"/>
      </w:pPr>
      <w:r>
        <w:rPr>
          <w:i/>
          <w:iCs/>
        </w:rPr>
        <w:t xml:space="preserve">Collicity — Product Specification (Draft v0.4)</w:t>
      </w:r>
      <w:r>
        <w:t xml:space="preserve">, and the archived compliance-assistant plans v3 and v3.1 with their acceptance cases (</w:t>
      </w:r>
      <w:r>
        <w:rPr>
          <w:rStyle w:val="CodeChar"/>
          <w:sz w:val="20"/>
          <w:szCs w:val="20"/>
        </w:rPr>
        <w:t xml:space="preserve">docs/archive/</w:t>
      </w:r>
      <w:r>
        <w:t xml:space="preserve">).</w:t>
      </w:r>
    </w:p>
    <w:p>
      <w:pPr>
        <w:pStyle w:val="ListParagraph"/>
        <w:numPr>
          <w:ilvl w:val="0"/>
          <w:numId w:val="2"/>
        </w:numPr>
        <w:spacing w:after="60" w:before="0"/>
      </w:pPr>
      <w:hyperlink w:history="1" r:id="rIdrnasayu0yfdyjqjds6rwe">
        <w:r>
          <w:rPr>
            <w:rStyle w:val="Hyperlink"/>
          </w:rPr>
          <w:t xml:space="preserve">Microsoft Entra: develop a SCIM endpoint</w:t>
        </w:r>
      </w:hyperlink>
      <w:r>
        <w:t xml:space="preserve">: provisioning cycles run about every 40 minutes (§5.6).</w:t>
      </w:r>
    </w:p>
    <w:p>
      <w:pPr>
        <w:pStyle w:val="ListParagraph"/>
        <w:numPr>
          <w:ilvl w:val="0"/>
          <w:numId w:val="2"/>
        </w:numPr>
        <w:spacing w:after="60" w:before="0"/>
      </w:pPr>
      <w:hyperlink w:history="1" r:id="rId1navg3jk3c1-ei2iohnor">
        <w:r>
          <w:rPr>
            <w:rStyle w:val="Hyperlink"/>
          </w:rPr>
          <w:t xml:space="preserve">Microsoft Entra: continuous access evaluation</w:t>
        </w:r>
      </w:hyperlink>
      <w:r>
        <w:t xml:space="preserve">: critical events, including a disabled user, can take up to 15 minutes to propagate (§5.6).</w:t>
      </w:r>
    </w:p>
    <w:p>
      <w:pPr>
        <w:pStyle w:val="ListParagraph"/>
        <w:numPr>
          <w:ilvl w:val="0"/>
          <w:numId w:val="2"/>
        </w:numPr>
        <w:spacing w:after="60" w:before="0"/>
      </w:pPr>
      <w:hyperlink w:history="1" r:id="rIdbu0dwkhxynaxaegdv_nue">
        <w:r>
          <w:rPr>
            <w:rStyle w:val="Hyperlink"/>
          </w:rPr>
          <w:t xml:space="preserve">Claude Platform on AWS</w:t>
        </w:r>
      </w:hyperlink>
      <w:r>
        <w:t xml:space="preserve">: Anthropic-operated access with SigV4 authentication and AWS billing (§2).</w:t>
      </w:r>
    </w:p>
    <w:p>
      <w:pPr>
        <w:pStyle w:val="ListParagraph"/>
        <w:numPr>
          <w:ilvl w:val="0"/>
          <w:numId w:val="2"/>
        </w:numPr>
        <w:spacing w:after="60" w:before="0"/>
      </w:pPr>
      <w:hyperlink w:history="1" r:id="rIdnhvyax4ps-ezfwxddi9r0">
        <w:r>
          <w:rPr>
            <w:rStyle w:val="Hyperlink"/>
          </w:rPr>
          <w:t xml:space="preserve">Claude pricing</w:t>
        </w:r>
      </w:hyperlink>
      <w:r>
        <w:t xml:space="preserve"> and </w:t>
      </w:r>
      <w:hyperlink w:history="1" r:id="rIdgylmorqeylhvuf59h2wrh">
        <w:r>
          <w:rPr>
            <w:rStyle w:val="Hyperlink"/>
          </w:rPr>
          <w:t xml:space="preserve">prompt caching</w:t>
        </w:r>
      </w:hyperlink>
      <w:r>
        <w:t xml:space="preserve">: model prices and cache-write premiums used in the worst-case formula (§2, §6.2).</w:t>
      </w:r>
    </w:p>
    <w:p>
      <w:pPr>
        <w:pStyle w:val="ListParagraph"/>
        <w:numPr>
          <w:ilvl w:val="0"/>
          <w:numId w:val="2"/>
        </w:numPr>
        <w:spacing w:after="60" w:before="0"/>
      </w:pPr>
      <w:hyperlink w:history="1" r:id="rIdavfbj5jyk-amahclo2hrf">
        <w:r>
          <w:rPr>
            <w:rStyle w:val="Hyperlink"/>
          </w:rPr>
          <w:t xml:space="preserve">Token counting</w:t>
        </w:r>
      </w:hyperlink>
      <w:r>
        <w:t xml:space="preserve">: exact input counts for reservations (§3.2).</w:t>
      </w:r>
    </w:p>
    <w:p>
      <w:pPr>
        <w:pStyle w:val="ListParagraph"/>
        <w:numPr>
          <w:ilvl w:val="0"/>
          <w:numId w:val="2"/>
        </w:numPr>
        <w:spacing w:after="60" w:before="0"/>
      </w:pPr>
      <w:hyperlink w:history="1" r:id="rIdgkjy-p0x9cqodh8dqhzkw">
        <w:r>
          <w:rPr>
            <w:rStyle w:val="Hyperlink"/>
          </w:rPr>
          <w:t xml:space="preserve">RFC 8785, JSON Canonicalization Scheme</w:t>
        </w:r>
      </w:hyperlink>
      <w:r>
        <w:t xml:space="preserve">: canonical approval hashes (§3.2).</w:t>
      </w:r>
    </w:p>
    <w:p>
      <w:pPr>
        <w:pStyle w:val="ListParagraph"/>
        <w:numPr>
          <w:ilvl w:val="0"/>
          <w:numId w:val="2"/>
        </w:numPr>
        <w:spacing w:after="60" w:before="0"/>
      </w:pPr>
      <w:hyperlink w:history="1" r:id="rIdjk3-cnkn_ir1yam6zbpo1">
        <w:r>
          <w:rPr>
            <w:rStyle w:val="Hyperlink"/>
          </w:rPr>
          <w:t xml:space="preserve">Unicode Technical Standard #39</w:t>
        </w:r>
      </w:hyperlink>
      <w:r>
        <w:t xml:space="preserve">: confusable skeletons for look-alike characters (§8.1).</w:t>
      </w:r>
    </w:p>
    <w:p>
      <w:pPr>
        <w:pStyle w:val="ListParagraph"/>
        <w:numPr>
          <w:ilvl w:val="0"/>
          <w:numId w:val="2"/>
        </w:numPr>
        <w:spacing w:after="60" w:before="0"/>
      </w:pPr>
      <w:hyperlink w:history="1" r:id="rId80ve7rda7dgyvy8ixbyme">
        <w:r>
          <w:rPr>
            <w:rStyle w:val="Hyperlink"/>
          </w:rPr>
          <w:t xml:space="preserve">Temporal: activity definition, idempotency</w:t>
        </w:r>
      </w:hyperlink>
      <w:r>
        <w:t xml:space="preserve">: idempotency is enforced by the service being called (§4.3).</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rnasayu0yfdyjqjds6rwe" Type="http://schemas.openxmlformats.org/officeDocument/2006/relationships/hyperlink" Target="https://learn.microsoft.com/en-us/entra/identity/app-provisioning/use-scim-to-provision-users-and-groups" TargetMode="External"/><Relationship Id="rId1navg3jk3c1-ei2iohnor" Type="http://schemas.openxmlformats.org/officeDocument/2006/relationships/hyperlink" Target="https://learn.microsoft.com/en-us/entra/identity/conditional-access/concept-continuous-access-evaluation" TargetMode="External"/><Relationship Id="rIdbu0dwkhxynaxaegdv_nue" Type="http://schemas.openxmlformats.org/officeDocument/2006/relationships/hyperlink" Target="https://platform.claude.com/docs/en/build-with-claude/claude-platform-on-aws" TargetMode="External"/><Relationship Id="rIdnhvyax4ps-ezfwxddi9r0" Type="http://schemas.openxmlformats.org/officeDocument/2006/relationships/hyperlink" Target="https://platform.claude.com/docs/en/about-claude/pricing" TargetMode="External"/><Relationship Id="rIdgylmorqeylhvuf59h2wrh" Type="http://schemas.openxmlformats.org/officeDocument/2006/relationships/hyperlink" Target="https://platform.claude.com/docs/en/build-with-claude/prompt-caching" TargetMode="External"/><Relationship Id="rIdavfbj5jyk-amahclo2hrf" Type="http://schemas.openxmlformats.org/officeDocument/2006/relationships/hyperlink" Target="https://platform.claude.com/docs/en/build-with-claude/token-counting" TargetMode="External"/><Relationship Id="rIdgkjy-p0x9cqodh8dqhzkw" Type="http://schemas.openxmlformats.org/officeDocument/2006/relationships/hyperlink" Target="https://www.rfc-editor.org/rfc/rfc8785" TargetMode="External"/><Relationship Id="rIdjk3-cnkn_ir1yam6zbpo1" Type="http://schemas.openxmlformats.org/officeDocument/2006/relationships/hyperlink" Target="https://www.unicode.org/reports/tr39/" TargetMode="External"/><Relationship Id="rId80ve7rda7dgyvy8ixbyme" Type="http://schemas.openxmlformats.org/officeDocument/2006/relationships/hyperlink" Target="https://docs.temporal.io/activity-definition#idempotency" TargetMode="External"/><Relationship Id="rId7" Type="http://schemas.openxmlformats.org/officeDocument/2006/relationships/image" Target="media/292a0f6615cd16f24bd206563eda9f8e00cdf7d8.png"/><Relationship Id="rId8" Type="http://schemas.openxmlformats.org/officeDocument/2006/relationships/image" Target="media/cc876e49f6629eadb9706855f5c60f591d38d439.png"/><Relationship Id="rId9" Type="http://schemas.openxmlformats.org/officeDocument/2006/relationships/image" Target="media/2d74684687855a853fae01146f66c182e7ae3136.png"/><Relationship Id="rId10" Type="http://schemas.openxmlformats.org/officeDocument/2006/relationships/image" Target="media/72d961687dafd6c1d210ba0e7372020d615d669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Technical Design (Draft v0.1)</dc:title>
  <dc:creator>Collicity</dc:creator>
  <cp:lastModifiedBy>Un-named</cp:lastModifiedBy>
  <cp:revision>1</cp:revision>
  <dcterms:created xsi:type="dcterms:W3CDTF">2026-10-06T00:31:54.042Z</dcterms:created>
  <dcterms:modified xsi:type="dcterms:W3CDTF">2026-10-06T00:31:54.044Z</dcterms:modified>
</cp:coreProperties>
</file>

<file path=docProps/custom.xml><?xml version="1.0" encoding="utf-8"?>
<Properties xmlns="http://schemas.openxmlformats.org/officeDocument/2006/custom-properties" xmlns:vt="http://schemas.openxmlformats.org/officeDocument/2006/docPropsVTypes"/>
</file>