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Collicity — Product Specification (Draft v0.4)</w:t>
      </w:r>
    </w:p>
    <w:p>
      <w:pPr/>
      <w:r>
        <w:t xml:space="preserve">Oct 5, 2026</w:t>
      </w:r>
      <w:r>
        <w:t xml:space="preserve"> · </w:t>
      </w:r>
      <w:r>
        <w:t xml:space="preserve">@Philip Maynard</w:t>
      </w:r>
    </w:p>
    <w:p>
      <w:pPr>
        <w:pStyle w:val="Heading2"/>
      </w:pPr>
      <w:r>
        <w:t xml:space="preserve">1. Overview</w:t>
      </w:r>
    </w:p>
    <w:p>
      <w:pPr/>
      <w:r>
        <w:t xml:space="preserve">Collicity is a cross-platform AI automation workspace: people describe work in plain language, and Collicity turns it into named, budgeted, scheduled </w:t>
      </w:r>
      <w:r>
        <w:rPr>
          <w:b/>
        </w:rPr>
        <w:t xml:space="preserve">assignments</w:t>
      </w:r>
      <w:r>
        <w:t xml:space="preserve"> made of </w:t>
      </w:r>
      <w:r>
        <w:rPr>
          <w:b/>
        </w:rPr>
        <w:t xml:space="preserve">tasks</w:t>
      </w:r>
      <w:r>
        <w:t xml:space="preserve"> that act across their apps — always with the user's own identity and never beyond the user's own permissions.</w:t>
      </w:r>
    </w:p>
    <w:p>
      <w:pPr/>
      <w:r>
        <w:t xml:space="preserve">It ships as two editions on one codebase:</w:t>
      </w:r>
    </w:p>
    <w:p>
      <w:pPr>
        <w:pStyle w:val="ListParagraph"/>
        <w:numPr>
          <w:ilvl w:val="0"/>
          <w:numId w:val="2"/>
        </w:numPr>
      </w:pPr>
      <w:r>
        <w:rPr>
          <w:b/>
        </w:rPr>
        <w:t xml:space="preserve">Home</w:t>
      </w:r>
      <w:r>
        <w:t xml:space="preserve"> — personal and household automation (meal planning, shopping, smart-home routines), with consumer sign-in.</w:t>
      </w:r>
    </w:p>
    <w:p>
      <w:pPr>
        <w:pStyle w:val="ListParagraph"/>
        <w:numPr>
          <w:ilvl w:val="0"/>
          <w:numId w:val="2"/>
        </w:numPr>
      </w:pPr>
      <w:r>
        <w:rPr>
          <w:b/>
        </w:rPr>
        <w:t xml:space="preserve">Enterprise</w:t>
      </w:r>
      <w:r>
        <w:t xml:space="preserve"> — team and departmental automation (e.g., a security posture report built from Qualys, Splunk and Intune), with central administration, SSO, model governance and security monitoring.</w:t>
      </w:r>
    </w:p>
    <w:p>
      <w:pPr/>
      <w:r>
        <w:rPr>
          <w:b/>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pPr/>
      <w:r>
        <w:rPr>
          <w:b/>
        </w:rPr>
        <w:t xml:space="preserve">Differentiators</w:t>
      </w:r>
      <w:r>
        <w:t xml:space="preserve"> (each has its own section):</w:t>
      </w:r>
    </w:p>
    <w:p>
      <w:pPr>
        <w:pStyle w:val="ListParagraph"/>
        <w:numPr>
          <w:ilvl w:val="0"/>
          <w:numId w:val="3"/>
        </w:numPr>
      </w:pPr>
      <w:r>
        <w:t xml:space="preserve">Zero-trust connectors that act strictly on behalf of the user (§6).</w:t>
      </w:r>
    </w:p>
    <w:p>
      <w:pPr>
        <w:pStyle w:val="ListParagraph"/>
        <w:numPr>
          <w:ilvl w:val="0"/>
          <w:numId w:val="3"/>
        </w:numPr>
      </w:pPr>
      <w:r>
        <w:t xml:space="preserve">Cost-first design: estimates before running, hard budget caps, cheapest-capable-model routing (§8, §9).</w:t>
      </w:r>
    </w:p>
    <w:p>
      <w:pPr>
        <w:pStyle w:val="ListParagraph"/>
        <w:numPr>
          <w:ilvl w:val="0"/>
          <w:numId w:val="3"/>
        </w:numPr>
      </w:pPr>
      <w:r>
        <w:t xml:space="preserve">A supervisor that catches bad output and learns which models work for which tasks (§9).</w:t>
      </w:r>
    </w:p>
    <w:p>
      <w:pPr>
        <w:pStyle w:val="ListParagraph"/>
        <w:numPr>
          <w:ilvl w:val="0"/>
          <w:numId w:val="3"/>
        </w:numPr>
      </w:pPr>
      <w:r>
        <w:t xml:space="preserve">Templates that keep recurring outputs consistent (§10).</w:t>
      </w:r>
    </w:p>
    <w:p>
      <w:pPr>
        <w:pStyle w:val="ListParagraph"/>
        <w:numPr>
          <w:ilvl w:val="0"/>
          <w:numId w:val="3"/>
        </w:numPr>
      </w:pPr>
      <w:r>
        <w:t xml:space="preserve">Time, event and location triggers across desktop, web and mobile (§11).</w:t>
      </w:r>
    </w:p>
    <w:p>
      <w:pPr/>
      <w:r>
        <w:rPr>
          <w:b/>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w:t>
      </w:r>
    </w:p>
    <w:p>
      <w:pPr>
        <w:pStyle w:val="Heading3"/>
      </w:pPr>
      <w:r>
        <w:t xml:space="preserve">Product invariants</w:t>
      </w:r>
    </w:p>
    <w:p>
      <w:pPr/>
      <w:r>
        <w:t xml:space="preserve">Five rules hold in every edition, client and connector. Each is enforced outside the model, has its own automated test suite and a zero-target guardrail in §19; weakening one requires a security review.</w:t>
      </w:r>
    </w:p>
    <w:p>
      <w:pPr>
        <w:pStyle w:val="ListParagraph"/>
        <w:numPr>
          <w:ilvl w:val="0"/>
          <w:numId w:val="4"/>
        </w:numPr>
      </w:pPr>
      <w:r>
        <w:rPr>
          <w:b/>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pPr>
      <w:r>
        <w:rPr>
          <w:b/>
        </w:rPr>
        <w:t xml:space="preserve">No action without authorization.</w:t>
      </w:r>
      <w:r>
        <w:t xml:space="preserve"> Every connector action traces to an authorization: the owner's acceptance of the assignment version for its declared reads, and an approval or a still-valid pre-authorization for every side effect (ASG-11, PAY-02, PAY-03).</w:t>
      </w:r>
    </w:p>
    <w:p>
      <w:pPr>
        <w:pStyle w:val="ListParagraph"/>
        <w:numPr>
          <w:ilvl w:val="0"/>
          <w:numId w:val="4"/>
        </w:numPr>
      </w:pPr>
      <w:r>
        <w:rPr>
          <w:b/>
        </w:rPr>
        <w:t xml:space="preserve">No credential reaches a model.</w:t>
      </w:r>
      <w:r>
        <w:t xml:space="preserve"> Tokens, keys and secrets never enter prompts, model outputs, logs or third parties (CON-04, SEC-03).</w:t>
      </w:r>
    </w:p>
    <w:p>
      <w:pPr>
        <w:pStyle w:val="ListParagraph"/>
        <w:numPr>
          <w:ilvl w:val="0"/>
          <w:numId w:val="4"/>
        </w:numPr>
      </w:pPr>
      <w:r>
        <w:rPr>
          <w:b/>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pPr>
      <w:r>
        <w:rPr>
          <w:b/>
        </w:rPr>
        <w:t xml:space="preserve">Untrusted content cannot expand authority.</w:t>
      </w:r>
      <w:r>
        <w:t xml:space="preserve"> Data from connectors, documents, emails or web pages, and anything a model derives from it, can never add permissions, connectors, recipients, budget or approvals, or become standing instructions (CON-10, SEC-12).</w:t>
      </w:r>
    </w:p>
    <w:p>
      <w:pPr>
        <w:pStyle w:val="Heading2"/>
      </w:pPr>
      <w:r>
        <w:t xml:space="preserve">2. Goals and non-goals</w:t>
      </w:r>
    </w:p>
    <w:p>
      <w:pPr/>
      <w:r>
        <w:t xml:space="preserve">v1 succeeds if people trust Collicity to finish recurring work end to end, with zero budget overruns and zero permission violations. Targets are measured 6 months after launch.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Goal</w:t>
            </w:r>
          </w:p>
        </w:tc>
        <w:tc>
          <w:tcPr>
            <w:tcW w:w="2340" w:type="dxa"/>
            <w:shd w:val="clear" w:color="auto" w:fill="F2F2F2"/>
          </w:tcPr>
          <w:p>
            <w:pPr/>
            <w:r>
              <w:t xml:space="preserve">Measure</w:t>
            </w:r>
          </w:p>
        </w:tc>
        <w:tc>
          <w:tcPr>
            <w:tcW w:w="2340" w:type="dxa"/>
            <w:shd w:val="clear" w:color="auto" w:fill="F2F2F2"/>
          </w:tcPr>
          <w:p>
            <w:pPr/>
            <w:r>
              <w:t xml:space="preserve">Proposed target</w:t>
            </w:r>
          </w:p>
        </w:tc>
      </w:tr>
      <w:tr>
        <w:tc>
          <w:tcPr>
            <w:tcW w:w="2340" w:type="dxa"/>
          </w:tcPr>
          <w:p>
            <w:pPr/>
            <w:r>
              <w:t xml:space="preserve">G1</w:t>
            </w:r>
          </w:p>
        </w:tc>
        <w:tc>
          <w:tcPr>
            <w:tcW w:w="2340" w:type="dxa"/>
          </w:tcPr>
          <w:p>
            <w:pPr/>
            <w:r>
              <w:t xml:space="preserve">People finish real multi-step work, not just chat</w:t>
            </w:r>
          </w:p>
        </w:tc>
        <w:tc>
          <w:tcPr>
            <w:tcW w:w="2340" w:type="dxa"/>
          </w:tcPr>
          <w:p>
            <w:pPr/>
            <w:r>
              <w:t xml:space="preserve">Active users with ≥1 assignment that completed ≥3 successful runs</w:t>
            </w:r>
          </w:p>
        </w:tc>
        <w:tc>
          <w:tcPr>
            <w:tcW w:w="2340" w:type="dxa"/>
          </w:tcPr>
          <w:p>
            <w:pPr/>
            <w:r>
              <w:t xml:space="preserve">40%</w:t>
            </w:r>
          </w:p>
        </w:tc>
      </w:tr>
      <w:tr>
        <w:tc>
          <w:tcPr>
            <w:tcW w:w="2340" w:type="dxa"/>
          </w:tcPr>
          <w:p>
            <w:pPr/>
            <w:r>
              <w:t xml:space="preserve">G2</w:t>
            </w:r>
          </w:p>
        </w:tc>
        <w:tc>
          <w:tcPr>
            <w:tcW w:w="2340" w:type="dxa"/>
          </w:tcPr>
          <w:p>
            <w:pPr/>
            <w:r>
              <w:t xml:space="preserve">No spend surprises</w:t>
            </w:r>
          </w:p>
        </w:tc>
        <w:tc>
          <w:tcPr>
            <w:tcW w:w="2340" w:type="dxa"/>
          </w:tcPr>
          <w:p>
            <w:pPr/>
            <w:r>
              <w:t xml:space="preserve">Runs that exceed their authorized budget</w:t>
            </w:r>
          </w:p>
        </w:tc>
        <w:tc>
          <w:tcPr>
            <w:tcW w:w="2340" w:type="dxa"/>
          </w:tcPr>
          <w:p>
            <w:pPr/>
            <w:r>
              <w:t xml:space="preserve">0 (hard invariant)</w:t>
            </w:r>
          </w:p>
        </w:tc>
      </w:tr>
      <w:tr>
        <w:tc>
          <w:tcPr>
            <w:tcW w:w="2340" w:type="dxa"/>
          </w:tcPr>
          <w:p>
            <w:pPr/>
            <w:r>
              <w:t xml:space="preserve">G3</w:t>
            </w:r>
          </w:p>
        </w:tc>
        <w:tc>
          <w:tcPr>
            <w:tcW w:w="2340" w:type="dxa"/>
          </w:tcPr>
          <w:p>
            <w:pPr/>
            <w:r>
              <w:t xml:space="preserve">Cheaper than "always use the best model"</w:t>
            </w:r>
          </w:p>
        </w:tc>
        <w:tc>
          <w:tcPr>
            <w:tcW w:w="2340" w:type="dxa"/>
          </w:tcPr>
          <w:p>
            <w:pPr/>
            <w:r>
              <w:t xml:space="preserve">Net cost per verified-successful task (worker + supervision + retries) vs. a frontier-model-only baseline</w:t>
            </w:r>
          </w:p>
        </w:tc>
        <w:tc>
          <w:tcPr>
            <w:tcW w:w="2340" w:type="dxa"/>
          </w:tcPr>
          <w:p>
            <w:pPr/>
            <w:r>
              <w:t xml:space="preserve">≥40% lower</w:t>
            </w:r>
          </w:p>
        </w:tc>
      </w:tr>
      <w:tr>
        <w:tc>
          <w:tcPr>
            <w:tcW w:w="2340" w:type="dxa"/>
          </w:tcPr>
          <w:p>
            <w:pPr/>
            <w:r>
              <w:t xml:space="preserve">G4</w:t>
            </w:r>
          </w:p>
        </w:tc>
        <w:tc>
          <w:tcPr>
            <w:tcW w:w="2340" w:type="dxa"/>
          </w:tcPr>
          <w:p>
            <w:pPr/>
            <w:r>
              <w:t xml:space="preserve">Trustworthy output</w:t>
            </w:r>
          </w:p>
        </w:tc>
        <w:tc>
          <w:tcPr>
            <w:tcW w:w="2340" w:type="dxa"/>
          </w:tcPr>
          <w:p>
            <w:pPr/>
            <w:r>
              <w:t xml:space="preserve">Escaped defects per 100 delivered runs, estimated from the independent evaluation set (SUP-06)</w:t>
            </w:r>
          </w:p>
        </w:tc>
        <w:tc>
          <w:tcPr>
            <w:tcW w:w="2340" w:type="dxa"/>
          </w:tcPr>
          <w:p>
            <w:pPr/>
            <w:r>
              <w:t xml:space="preserve">&lt;2</w:t>
            </w:r>
          </w:p>
        </w:tc>
      </w:tr>
      <w:tr>
        <w:tc>
          <w:tcPr>
            <w:tcW w:w="2340" w:type="dxa"/>
          </w:tcPr>
          <w:p>
            <w:pPr/>
            <w:r>
              <w:t xml:space="preserve">G5</w:t>
            </w:r>
          </w:p>
        </w:tc>
        <w:tc>
          <w:tcPr>
            <w:tcW w:w="2340" w:type="dxa"/>
          </w:tcPr>
          <w:p>
            <w:pPr/>
            <w:r>
              <w:t xml:space="preserve">Every agent action is attributable</w:t>
            </w:r>
          </w:p>
        </w:tc>
        <w:tc>
          <w:tcPr>
            <w:tcW w:w="2340" w:type="dxa"/>
          </w:tcPr>
          <w:p>
            <w:pPr/>
            <w:r>
              <w:t xml:space="preserve">Connector calls traceable to a named user in Collicity's audit log (and in the target's log where it supports delegation)</w:t>
            </w:r>
          </w:p>
        </w:tc>
        <w:tc>
          <w:tcPr>
            <w:tcW w:w="2340" w:type="dxa"/>
          </w:tcPr>
          <w:p>
            <w:pPr/>
            <w:r>
              <w:t xml:space="preserve">100%</w:t>
            </w:r>
          </w:p>
        </w:tc>
      </w:tr>
    </w:tbl>
    <w:p>
      <w:pPr/>
      <w:r>
        <w:rPr>
          <w:b/>
        </w:rPr>
        <w:t xml:space="preserve">Non-goals for v1</w:t>
      </w:r>
    </w:p>
    <w:p>
      <w:pPr>
        <w:pStyle w:val="ListParagraph"/>
        <w:numPr>
          <w:ilvl w:val="0"/>
          <w:numId w:val="5"/>
        </w:numPr>
      </w:pPr>
      <w:r>
        <w:rPr>
          <w:b/>
        </w:rPr>
        <w:t xml:space="preserve">Training our own foundation models</w:t>
      </w:r>
      <w:r>
        <w:t xml:space="preserve"> — Collicity routes across providers; its value is orchestration, trust and cost control.</w:t>
      </w:r>
    </w:p>
    <w:p>
      <w:pPr>
        <w:pStyle w:val="ListParagraph"/>
        <w:numPr>
          <w:ilvl w:val="0"/>
          <w:numId w:val="5"/>
        </w:numPr>
      </w:pPr>
      <w:r>
        <w:rPr>
          <w:b/>
        </w:rPr>
        <w:t xml:space="preserve">A general iPaaS or low-code app builder</w:t>
      </w:r>
      <w:r>
        <w:t xml:space="preserve"> — assignments are AI-driven tasks, not arbitrary integration plumbing.</w:t>
      </w:r>
    </w:p>
    <w:p>
      <w:pPr>
        <w:pStyle w:val="ListParagraph"/>
        <w:numPr>
          <w:ilvl w:val="0"/>
          <w:numId w:val="5"/>
        </w:numPr>
      </w:pPr>
      <w:r>
        <w:rPr>
          <w:b/>
        </w:rPr>
        <w:t xml:space="preserve">Acting with more access than the user</w:t>
      </w:r>
      <w:r>
        <w:t xml:space="preserve"> — no shared "super" service accounts for convenience (narrow, governed exception in CON-05).</w:t>
      </w:r>
    </w:p>
    <w:p>
      <w:pPr>
        <w:pStyle w:val="ListParagraph"/>
        <w:numPr>
          <w:ilvl w:val="0"/>
          <w:numId w:val="5"/>
        </w:numPr>
      </w:pPr>
      <w:r>
        <w:rPr>
          <w:b/>
        </w:rPr>
        <w:t xml:space="preserve">Financial activity beyond purchases</w:t>
      </w:r>
      <w:r>
        <w:t xml:space="preserve"> — no investing, transfers between accounts or bill pay.</w:t>
      </w:r>
    </w:p>
    <w:p>
      <w:pPr>
        <w:pStyle w:val="ListParagraph"/>
        <w:numPr>
          <w:ilvl w:val="0"/>
          <w:numId w:val="5"/>
        </w:numPr>
      </w:pPr>
      <w:r>
        <w:rPr>
          <w:b/>
        </w:rPr>
        <w:t xml:space="preserve">Offline execution</w:t>
      </w:r>
      <w:r>
        <w:t xml:space="preserve"> — clients can view outputs and queue approvals offline; runs need the cloud runtime.</w:t>
      </w:r>
    </w:p>
    <w:p>
      <w:pPr>
        <w:pStyle w:val="ListParagraph"/>
        <w:numPr>
          <w:ilvl w:val="0"/>
          <w:numId w:val="5"/>
        </w:numPr>
      </w:pPr>
      <w:r>
        <w:rPr>
          <w:b/>
        </w:rPr>
        <w:t xml:space="preserve">On-device model inference as the main path</w:t>
      </w:r>
      <w:r>
        <w:t xml:space="preserve"> — local models are a P2 option for desktop.</w:t>
      </w:r>
    </w:p>
    <w:p>
      <w:pPr>
        <w:pStyle w:val="Heading2"/>
      </w:pPr>
      <w:r>
        <w:t xml:space="preserve">3. Personas and user stories</w:t>
      </w:r>
    </w:p>
    <w:p>
      <w:pPr/>
      <w:r>
        <w:t xml:space="preserve">Seven personas share one product; the home user and the enterprise analyst drive the core loop, the rest govern or extend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Edition</w:t>
            </w:r>
          </w:p>
        </w:tc>
        <w:tc>
          <w:tcPr>
            <w:tcW w:w="3120" w:type="dxa"/>
            <w:shd w:val="clear" w:color="auto" w:fill="F2F2F2"/>
          </w:tcPr>
          <w:p>
            <w:pPr/>
            <w:r>
              <w:t xml:space="preserve">Primary job</w:t>
            </w:r>
          </w:p>
        </w:tc>
      </w:tr>
      <w:tr>
        <w:tc>
          <w:tcPr>
            <w:tcW w:w="3120" w:type="dxa"/>
          </w:tcPr>
          <w:p>
            <w:pPr/>
            <w:r>
              <w:t xml:space="preserve">Home user</w:t>
            </w:r>
          </w:p>
        </w:tc>
        <w:tc>
          <w:tcPr>
            <w:tcW w:w="3120" w:type="dxa"/>
          </w:tcPr>
          <w:p>
            <w:pPr/>
            <w:r>
              <w:t xml:space="preserve">Home</w:t>
            </w:r>
          </w:p>
        </w:tc>
        <w:tc>
          <w:tcPr>
            <w:tcW w:w="3120" w:type="dxa"/>
          </w:tcPr>
          <w:p>
            <w:pPr/>
            <w:r>
              <w:t xml:space="preserve">Offload recurring household planning and errands</w:t>
            </w:r>
          </w:p>
        </w:tc>
      </w:tr>
      <w:tr>
        <w:tc>
          <w:tcPr>
            <w:tcW w:w="3120" w:type="dxa"/>
          </w:tcPr>
          <w:p>
            <w:pPr/>
            <w:r>
              <w:t xml:space="preserve">Household member</w:t>
            </w:r>
          </w:p>
        </w:tc>
        <w:tc>
          <w:tcPr>
            <w:tcW w:w="3120" w:type="dxa"/>
          </w:tcPr>
          <w:p>
            <w:pPr/>
            <w:r>
              <w:t xml:space="preserve">Home</w:t>
            </w:r>
          </w:p>
        </w:tc>
        <w:tc>
          <w:tcPr>
            <w:tcW w:w="3120" w:type="dxa"/>
          </w:tcPr>
          <w:p>
            <w:pPr/>
            <w:r>
              <w:t xml:space="preserve">Give preferences, approve lists (if household sharing is in scope)</w:t>
            </w:r>
          </w:p>
        </w:tc>
      </w:tr>
      <w:tr>
        <w:tc>
          <w:tcPr>
            <w:tcW w:w="3120" w:type="dxa"/>
          </w:tcPr>
          <w:p>
            <w:pPr/>
            <w:r>
              <w:t xml:space="preserve">Knowledge worker / analyst</w:t>
            </w:r>
          </w:p>
        </w:tc>
        <w:tc>
          <w:tcPr>
            <w:tcW w:w="3120" w:type="dxa"/>
          </w:tcPr>
          <w:p>
            <w:pPr/>
            <w:r>
              <w:t xml:space="preserve">Enterprise</w:t>
            </w:r>
          </w:p>
        </w:tc>
        <w:tc>
          <w:tcPr>
            <w:tcW w:w="3120" w:type="dxa"/>
          </w:tcPr>
          <w:p>
            <w:pPr/>
            <w:r>
              <w:t xml:space="preserve">Automate recurring reports and request triage across enterprise tools</w:t>
            </w:r>
          </w:p>
        </w:tc>
      </w:tr>
      <w:tr>
        <w:tc>
          <w:tcPr>
            <w:tcW w:w="3120" w:type="dxa"/>
          </w:tcPr>
          <w:p>
            <w:pPr/>
            <w:r>
              <w:t xml:space="preserve">Report consumer (manager)</w:t>
            </w:r>
          </w:p>
        </w:tc>
        <w:tc>
          <w:tcPr>
            <w:tcW w:w="3120" w:type="dxa"/>
          </w:tcPr>
          <w:p>
            <w:pPr/>
            <w:r>
              <w:t xml:space="preserve">Enterprise</w:t>
            </w:r>
          </w:p>
        </w:tc>
        <w:tc>
          <w:tcPr>
            <w:tcW w:w="3120" w:type="dxa"/>
          </w:tcPr>
          <w:p>
            <w:pPr/>
            <w:r>
              <w:t xml:space="preserve">Read and question outputs without building them</w:t>
            </w:r>
          </w:p>
        </w:tc>
      </w:tr>
      <w:tr>
        <w:tc>
          <w:tcPr>
            <w:tcW w:w="3120" w:type="dxa"/>
          </w:tcPr>
          <w:p>
            <w:pPr/>
            <w:r>
              <w:t xml:space="preserve">Enterprise admin</w:t>
            </w:r>
          </w:p>
        </w:tc>
        <w:tc>
          <w:tcPr>
            <w:tcW w:w="3120" w:type="dxa"/>
          </w:tcPr>
          <w:p>
            <w:pPr/>
            <w:r>
              <w:t xml:space="preserve">Enterprise</w:t>
            </w:r>
          </w:p>
        </w:tc>
        <w:tc>
          <w:tcPr>
            <w:tcW w:w="3120" w:type="dxa"/>
          </w:tcPr>
          <w:p>
            <w:pPr/>
            <w:r>
              <w:t xml:space="preserve">Govern users, budgets, models and connectors</w:t>
            </w:r>
          </w:p>
        </w:tc>
      </w:tr>
      <w:tr>
        <w:tc>
          <w:tcPr>
            <w:tcW w:w="3120" w:type="dxa"/>
          </w:tcPr>
          <w:p>
            <w:pPr/>
            <w:r>
              <w:t xml:space="preserve">Security and compliance officer</w:t>
            </w:r>
          </w:p>
        </w:tc>
        <w:tc>
          <w:tcPr>
            <w:tcW w:w="3120" w:type="dxa"/>
          </w:tcPr>
          <w:p>
            <w:pPr/>
            <w:r>
              <w:t xml:space="preserve">Enterprise</w:t>
            </w:r>
          </w:p>
        </w:tc>
        <w:tc>
          <w:tcPr>
            <w:tcW w:w="3120" w:type="dxa"/>
          </w:tcPr>
          <w:p>
            <w:pPr/>
            <w:r>
              <w:t xml:space="preserve">Monitor agent activity, investigate, prove compliance</w:t>
            </w:r>
          </w:p>
        </w:tc>
      </w:tr>
      <w:tr>
        <w:tc>
          <w:tcPr>
            <w:tcW w:w="3120" w:type="dxa"/>
          </w:tcPr>
          <w:p>
            <w:pPr/>
            <w:r>
              <w:t xml:space="preserve">Connector developer</w:t>
            </w:r>
          </w:p>
        </w:tc>
        <w:tc>
          <w:tcPr>
            <w:tcW w:w="3120" w:type="dxa"/>
          </w:tcPr>
          <w:p>
            <w:pPr/>
            <w:r>
              <w:t xml:space="preserve">Both</w:t>
            </w:r>
          </w:p>
        </w:tc>
        <w:tc>
          <w:tcPr>
            <w:tcW w:w="3120" w:type="dxa"/>
          </w:tcPr>
          <w:p>
            <w:pPr/>
            <w:r>
              <w:t xml:space="preserve">Build and publish custom connectors</w:t>
            </w:r>
          </w:p>
        </w:tc>
      </w:tr>
    </w:tbl>
    <w:p>
      <w:pPr/>
      <w:r>
        <w:rPr>
          <w:b/>
        </w:rPr>
        <w:t xml:space="preserve">Stories, highest priority first</w:t>
      </w:r>
    </w:p>
    <w:p>
      <w:pPr/>
      <w:r>
        <w:t xml:space="preserve">Home user</w:t>
      </w:r>
    </w:p>
    <w:p>
      <w:pPr>
        <w:pStyle w:val="ListParagraph"/>
        <w:numPr>
          <w:ilvl w:val="0"/>
          <w:numId w:val="6"/>
        </w:numPr>
      </w:pPr>
      <w:r>
        <w:t xml:space="preserve">As a home user, I want to say "plan our meals for the week" and get a ready-to-run assignment with its estimated cost, so I don't have to design the workflow.</w:t>
      </w:r>
    </w:p>
    <w:p>
      <w:pPr>
        <w:pStyle w:val="ListParagraph"/>
        <w:numPr>
          <w:ilvl w:val="0"/>
          <w:numId w:val="6"/>
        </w:numPr>
      </w:pPr>
      <w:r>
        <w:t xml:space="preserve">As a home user, I want to approve the meal plan and edit the shopping list before anything is bought, so nothing arrives that I didn't want.</w:t>
      </w:r>
    </w:p>
    <w:p>
      <w:pPr>
        <w:pStyle w:val="ListParagraph"/>
        <w:numPr>
          <w:ilvl w:val="0"/>
          <w:numId w:val="6"/>
        </w:numPr>
      </w:pPr>
      <w:r>
        <w:t xml:space="preserve">As a home user, I want purchases to happen automatically only within a limit I set, so I stay in control of my money.</w:t>
      </w:r>
    </w:p>
    <w:p>
      <w:pPr>
        <w:pStyle w:val="ListParagraph"/>
        <w:numPr>
          <w:ilvl w:val="0"/>
          <w:numId w:val="6"/>
        </w:numPr>
      </w:pPr>
      <w:r>
        <w:t xml:space="preserve">As a home user, I want dinner ordered and my home readied as I get close to home, so both are ready when I arrive.</w:t>
      </w:r>
    </w:p>
    <w:p>
      <w:pPr/>
      <w:r>
        <w:t xml:space="preserve">Enterprise analyst and consumer</w:t>
      </w:r>
    </w:p>
    <w:p>
      <w:pPr>
        <w:pStyle w:val="ListParagraph"/>
        <w:numPr>
          <w:ilvl w:val="0"/>
          <w:numId w:val="7"/>
        </w:numPr>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7"/>
        </w:numPr>
      </w:pPr>
      <w:r>
        <w:t xml:space="preserve">As an operations employee, I want requests from specific senders turned into a work queue with suggested actions, so nothing falls through the cracks.</w:t>
      </w:r>
    </w:p>
    <w:p>
      <w:pPr>
        <w:pStyle w:val="ListParagraph"/>
        <w:numPr>
          <w:ilvl w:val="0"/>
          <w:numId w:val="7"/>
        </w:numPr>
      </w:pPr>
      <w:r>
        <w:t xml:space="preserve">As a manager, I want to ask "why did critical vulnerabilities rise this week?" against the report, so I get the explanation without asking the analyst.</w:t>
      </w:r>
    </w:p>
    <w:p>
      <w:pPr/>
      <w:r>
        <w:t xml:space="preserve">Admin and security</w:t>
      </w:r>
    </w:p>
    <w:p>
      <w:pPr>
        <w:pStyle w:val="ListParagraph"/>
        <w:numPr>
          <w:ilvl w:val="0"/>
          <w:numId w:val="8"/>
        </w:numPr>
      </w:pPr>
      <w:r>
        <w:t xml:space="preserve">As an enterprise admin, I want budgets per department and per user, so AI spend stays within plan.</w:t>
      </w:r>
    </w:p>
    <w:p>
      <w:pPr>
        <w:pStyle w:val="ListParagraph"/>
        <w:numPr>
          <w:ilvl w:val="0"/>
          <w:numId w:val="8"/>
        </w:numPr>
      </w:pPr>
      <w:r>
        <w:t xml:space="preserve">As an enterprise admin, I want to allow or block specific models and providers, so data only reaches approved vendors.</w:t>
      </w:r>
    </w:p>
    <w:p>
      <w:pPr>
        <w:pStyle w:val="ListParagraph"/>
        <w:numPr>
          <w:ilvl w:val="0"/>
          <w:numId w:val="8"/>
        </w:numPr>
      </w:pPr>
      <w:r>
        <w:t xml:space="preserve">As an enterprise admin, I want model performance and cost by task type, so I can see where money is well spent.</w:t>
      </w:r>
    </w:p>
    <w:p>
      <w:pPr>
        <w:pStyle w:val="ListParagraph"/>
        <w:numPr>
          <w:ilvl w:val="0"/>
          <w:numId w:val="8"/>
        </w:numPr>
      </w:pPr>
      <w:r>
        <w:t xml:space="preserve">As a security officer, I want every agent action logged with the human it acted for, the model used and the approval trail, so I can investigate incidents.</w:t>
      </w:r>
    </w:p>
    <w:p>
      <w:pPr>
        <w:pStyle w:val="ListParagraph"/>
        <w:numPr>
          <w:ilvl w:val="0"/>
          <w:numId w:val="8"/>
        </w:numPr>
      </w:pPr>
      <w:r>
        <w:t xml:space="preserve">As a security officer, I want to suspend a user's agents and revoke their connector tokens in one action, so I can contain an incident.</w:t>
      </w:r>
    </w:p>
    <w:p>
      <w:pPr/>
      <w:r>
        <w:t xml:space="preserve">Connector developer</w:t>
      </w:r>
    </w:p>
    <w:p>
      <w:pPr>
        <w:pStyle w:val="ListParagraph"/>
        <w:numPr>
          <w:ilvl w:val="0"/>
          <w:numId w:val="9"/>
        </w:numPr>
      </w:pPr>
      <w:r>
        <w:t xml:space="preserve">As a connector developer, I want to wrap an internal API as a connector with declared scopes and actions, so admins can approve exactly what it can do.</w:t>
      </w:r>
    </w:p>
    <w:p>
      <w:pPr/>
      <w:r>
        <w:t xml:space="preserve">Edge cases</w:t>
      </w:r>
    </w:p>
    <w:p>
      <w:pPr>
        <w:pStyle w:val="ListParagraph"/>
        <w:numPr>
          <w:ilvl w:val="0"/>
          <w:numId w:val="10"/>
        </w:numPr>
      </w:pPr>
      <w:r>
        <w:t xml:space="preserve">As a user whose run hits its budget mid-way, I want it paused at a safe point with a one-tap "approve more", so work isn't lost and spend isn't exceeded.</w:t>
      </w:r>
    </w:p>
    <w:p>
      <w:pPr>
        <w:pStyle w:val="ListParagraph"/>
        <w:numPr>
          <w:ilvl w:val="0"/>
          <w:numId w:val="10"/>
        </w:numPr>
      </w:pPr>
      <w:r>
        <w:t xml:space="preserve">As a user whose access to a system was removed, I want assignments that depend on it to stop and tell me why, rather than fail silently or retry.</w:t>
      </w:r>
    </w:p>
    <w:p>
      <w:pPr>
        <w:pStyle w:val="Heading2"/>
      </w:pPr>
      <w:r>
        <w:t xml:space="preserve">4. Core concepts</w:t>
      </w:r>
    </w:p>
    <w:p>
      <w:pPr/>
      <w:r>
        <w:t xml:space="preserve">Everything in Collicity is an assignment made of tasks, started by a trigger, paid for from a budget and executed through connectors.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Definition</w:t>
            </w:r>
          </w:p>
        </w:tc>
        <w:tc>
          <w:tcPr>
            <w:tcW w:w="3120" w:type="dxa"/>
            <w:shd w:val="clear" w:color="auto" w:fill="F2F2F2"/>
          </w:tcPr>
          <w:p>
            <w:pPr/>
            <w:r>
              <w:t xml:space="preserve">Key attributes</w:t>
            </w:r>
          </w:p>
        </w:tc>
      </w:tr>
      <w:tr>
        <w:tc>
          <w:tcPr>
            <w:tcW w:w="3120" w:type="dxa"/>
          </w:tcPr>
          <w:p>
            <w:pPr/>
            <w:r>
              <w:t xml:space="preserve">Task</w:t>
            </w:r>
          </w:p>
        </w:tc>
        <w:tc>
          <w:tcPr>
            <w:tcW w:w="3120" w:type="dxa"/>
          </w:tcPr>
          <w:p>
            <w:pPr/>
            <w:r>
              <w:t xml:space="preserve">Smallest unit of work an agent performs</w:t>
            </w:r>
          </w:p>
        </w:tc>
        <w:tc>
          <w:tcPr>
            <w:tcW w:w="3120" w:type="dxa"/>
          </w:tcPr>
          <w:p>
            <w:pPr/>
            <w:r>
              <w:t xml:space="preserve">Name; description (user- or AI-written); input/output schema; capability grants (CON-02); model or "Auto"; success criteria; approval gate; timeout; retry policy</w:t>
            </w:r>
          </w:p>
        </w:tc>
      </w:tr>
      <w:tr>
        <w:tc>
          <w:tcPr>
            <w:tcW w:w="3120" w:type="dxa"/>
          </w:tcPr>
          <w:p>
            <w:pPr/>
            <w:r>
              <w:t xml:space="preserve">Assignment</w:t>
            </w:r>
          </w:p>
        </w:tc>
        <w:tc>
          <w:tcPr>
            <w:tcW w:w="3120" w:type="dxa"/>
          </w:tcPr>
          <w:p>
            <w:pPr/>
            <w:r>
              <w:t xml:space="preserve">Named, versioned workflow of tasks: sequence, branches, parallel steps, for-each loops</w:t>
            </w:r>
          </w:p>
        </w:tc>
        <w:tc>
          <w:tcPr>
            <w:tcW w:w="3120" w:type="dxa"/>
          </w:tcPr>
          <w:p>
            <w:pPr/>
            <w:r>
              <w:t xml:space="preserve">Owner; task graph; triggers; budgets and alert thresholds; template bindings; sharing</w:t>
            </w:r>
          </w:p>
        </w:tc>
      </w:tr>
      <w:tr>
        <w:tc>
          <w:tcPr>
            <w:tcW w:w="3120" w:type="dxa"/>
          </w:tcPr>
          <w:p>
            <w:pPr/>
            <w:r>
              <w:t xml:space="preserve">Run</w:t>
            </w:r>
          </w:p>
        </w:tc>
        <w:tc>
          <w:tcPr>
            <w:tcW w:w="3120" w:type="dxa"/>
          </w:tcPr>
          <w:p>
            <w:pPr/>
            <w:r>
              <w:t xml:space="preserve">One execution of an assignment, pinned to the version it started on</w:t>
            </w:r>
          </w:p>
        </w:tc>
        <w:tc>
          <w:tcPr>
            <w:tcW w:w="3120" w:type="dxa"/>
          </w:tcPr>
          <w:p>
            <w:pPr/>
            <w:r>
              <w:t xml:space="preserve">Status; step log; estimated vs. actual cost; models used; supervisor verdicts; outputs</w:t>
            </w:r>
          </w:p>
        </w:tc>
      </w:tr>
      <w:tr>
        <w:tc>
          <w:tcPr>
            <w:tcW w:w="3120" w:type="dxa"/>
          </w:tcPr>
          <w:p>
            <w:pPr/>
            <w:r>
              <w:t xml:space="preserve">Trigger</w:t>
            </w:r>
          </w:p>
        </w:tc>
        <w:tc>
          <w:tcPr>
            <w:tcW w:w="3120" w:type="dxa"/>
          </w:tcPr>
          <w:p>
            <w:pPr/>
            <w:r>
              <w:t xml:space="preserve">What starts a run</w:t>
            </w:r>
          </w:p>
        </w:tc>
        <w:tc>
          <w:tcPr>
            <w:tcW w:w="3120" w:type="dxa"/>
          </w:tcPr>
          <w:p>
            <w:pPr/>
            <w:r>
              <w:t xml:space="preserve">Manual, schedule, event (email, webhook, connector event), proximity (geofence), chained (another assignment finished)</w:t>
            </w:r>
          </w:p>
        </w:tc>
      </w:tr>
      <w:tr>
        <w:tc>
          <w:tcPr>
            <w:tcW w:w="3120" w:type="dxa"/>
          </w:tcPr>
          <w:p>
            <w:pPr/>
            <w:r>
              <w:t xml:space="preserve">Human step</w:t>
            </w:r>
          </w:p>
        </w:tc>
        <w:tc>
          <w:tcPr>
            <w:tcW w:w="3120" w:type="dxa"/>
          </w:tcPr>
          <w:p>
            <w:pPr/>
            <w:r>
              <w:t xml:space="preserve">A task that waits for a person</w:t>
            </w:r>
          </w:p>
        </w:tc>
        <w:tc>
          <w:tcPr>
            <w:tcW w:w="3120" w:type="dxa"/>
          </w:tcPr>
          <w:p>
            <w:pPr/>
            <w:r>
              <w:t xml:space="preserve">Input form, approval, editable list, choice; timeout and escalation</w:t>
            </w:r>
          </w:p>
        </w:tc>
      </w:tr>
      <w:tr>
        <w:tc>
          <w:tcPr>
            <w:tcW w:w="3120" w:type="dxa"/>
          </w:tcPr>
          <w:p>
            <w:pPr/>
            <w:r>
              <w:t xml:space="preserve">Approval gate</w:t>
            </w:r>
          </w:p>
        </w:tc>
        <w:tc>
          <w:tcPr>
            <w:tcW w:w="3120" w:type="dxa"/>
          </w:tcPr>
          <w:p>
            <w:pPr/>
            <w:r>
              <w:t xml:space="preserve">Required confirmation before a risky action</w:t>
            </w:r>
          </w:p>
        </w:tc>
        <w:tc>
          <w:tcPr>
            <w:tcW w:w="3120" w:type="dxa"/>
          </w:tcPr>
          <w:p>
            <w:pPr/>
            <w:r>
              <w:t xml:space="preserve">Default on for payments, external sends, deletes, permission or settings changes</w:t>
            </w:r>
          </w:p>
        </w:tc>
      </w:tr>
      <w:tr>
        <w:tc>
          <w:tcPr>
            <w:tcW w:w="3120" w:type="dxa"/>
          </w:tcPr>
          <w:p>
            <w:pPr/>
            <w:r>
              <w:t xml:space="preserve">Work queue</w:t>
            </w:r>
          </w:p>
        </w:tc>
        <w:tc>
          <w:tcPr>
            <w:tcW w:w="3120" w:type="dxa"/>
          </w:tcPr>
          <w:p>
            <w:pPr/>
            <w:r>
              <w:t xml:space="preserve">Items an assignment creates for people to act on</w:t>
            </w:r>
          </w:p>
        </w:tc>
        <w:tc>
          <w:tcPr>
            <w:tcW w:w="3120" w:type="dxa"/>
          </w:tcPr>
          <w:p>
            <w:pPr/>
            <w:r>
              <w:t xml:space="preserve">Source; parsed request; suggested actions; assignee; due date; status</w:t>
            </w:r>
          </w:p>
        </w:tc>
      </w:tr>
      <w:tr>
        <w:tc>
          <w:tcPr>
            <w:tcW w:w="3120" w:type="dxa"/>
          </w:tcPr>
          <w:p>
            <w:pPr/>
            <w:r>
              <w:t xml:space="preserve">Connector</w:t>
            </w:r>
          </w:p>
        </w:tc>
        <w:tc>
          <w:tcPr>
            <w:tcW w:w="3120" w:type="dxa"/>
          </w:tcPr>
          <w:p>
            <w:pPr/>
            <w:r>
              <w:t xml:space="preserve">Governed integration with an external system</w:t>
            </w:r>
          </w:p>
        </w:tc>
        <w:tc>
          <w:tcPr>
            <w:tcW w:w="3120" w:type="dxa"/>
          </w:tcPr>
          <w:p>
            <w:pPr/>
            <w:r>
              <w:t xml:space="preserve">Type (MCP, API, knowledge source, device-local, browser); auth method; declared scopes and actions; data classification</w:t>
            </w:r>
          </w:p>
        </w:tc>
      </w:tr>
      <w:tr>
        <w:tc>
          <w:tcPr>
            <w:tcW w:w="3120" w:type="dxa"/>
          </w:tcPr>
          <w:p>
            <w:pPr/>
            <w:r>
              <w:t xml:space="preserve">Template</w:t>
            </w:r>
          </w:p>
        </w:tc>
        <w:tc>
          <w:tcPr>
            <w:tcW w:w="3120" w:type="dxa"/>
          </w:tcPr>
          <w:p>
            <w:pPr/>
            <w:r>
              <w:t xml:space="preserve">Versioned output definition with data bindings</w:t>
            </w:r>
          </w:p>
        </w:tc>
        <w:tc>
          <w:tcPr>
            <w:tcW w:w="3120" w:type="dxa"/>
          </w:tcPr>
          <w:p>
            <w:pPr/>
            <w:r>
              <w:t xml:space="preserve">Sections, tables, charts, narrative blocks, style, export formats</w:t>
            </w:r>
          </w:p>
        </w:tc>
      </w:tr>
      <w:tr>
        <w:tc>
          <w:tcPr>
            <w:tcW w:w="3120" w:type="dxa"/>
          </w:tcPr>
          <w:p>
            <w:pPr/>
            <w:r>
              <w:t xml:space="preserve">Budget</w:t>
            </w:r>
          </w:p>
        </w:tc>
        <w:tc>
          <w:tcPr>
            <w:tcW w:w="3120" w:type="dxa"/>
          </w:tcPr>
          <w:p>
            <w:pPr/>
            <w:r>
              <w:t xml:space="preserve">Spending authority on an assignment (and user/org in Enterprise)</w:t>
            </w:r>
          </w:p>
        </w:tc>
        <w:tc>
          <w:tcPr>
            <w:tcW w:w="3120" w:type="dxa"/>
          </w:tcPr>
          <w:p>
            <w:pPr/>
            <w:r>
              <w:t xml:space="preserve">AI budget and a separate purchase budget; period; alert thresholds; hard stop</w:t>
            </w:r>
          </w:p>
        </w:tc>
      </w:tr>
      <w:tr>
        <w:tc>
          <w:tcPr>
            <w:tcW w:w="3120" w:type="dxa"/>
          </w:tcPr>
          <w:p>
            <w:pPr/>
            <w:r>
              <w:t xml:space="preserve">Model performance inventory</w:t>
            </w:r>
          </w:p>
        </w:tc>
        <w:tc>
          <w:tcPr>
            <w:tcW w:w="3120" w:type="dxa"/>
          </w:tcPr>
          <w:p>
            <w:pPr/>
            <w:r>
              <w:t xml:space="preserve">The supervisor's record of how each model performs per task type</w:t>
            </w:r>
          </w:p>
        </w:tc>
        <w:tc>
          <w:tcPr>
            <w:tcW w:w="3120" w:type="dxa"/>
          </w:tcPr>
          <w:p>
            <w:pPr/>
            <w:r>
              <w:t xml:space="preserve">Verified-success rate (INV-06), evidence by class, cost per verified success, latency, sample size</w:t>
            </w:r>
          </w:p>
        </w:tc>
      </w:tr>
    </w:tbl>
    <w:p>
      <w:pPr/>
      <w:r>
        <w:rPr>
          <w:b/>
        </w:rPr>
        <w:t xml:space="preserve">Object rules</w:t>
      </w:r>
    </w:p>
    <w:p>
      <w:pPr>
        <w:pStyle w:val="ListParagraph"/>
        <w:numPr>
          <w:ilvl w:val="0"/>
          <w:numId w:val="11"/>
        </w:numPr>
      </w:pPr>
      <w:r>
        <w:t xml:space="preserve">Assignments and templates are versioned; editing never changes a run already in flight.</w:t>
      </w:r>
    </w:p>
    <w:p>
      <w:pPr>
        <w:pStyle w:val="ListParagraph"/>
        <w:numPr>
          <w:ilvl w:val="0"/>
          <w:numId w:val="11"/>
        </w:numPr>
      </w:pPr>
      <w:r>
        <w:t xml:space="preserve">Every object has an owner, an access list (private, shared with people or groups, org-wide) and a data classification label.</w:t>
      </w:r>
    </w:p>
    <w:p>
      <w:pPr>
        <w:pStyle w:val="ListParagraph"/>
        <w:numPr>
          <w:ilvl w:val="0"/>
          <w:numId w:val="11"/>
        </w:numPr>
      </w:pPr>
      <w:r>
        <w:t xml:space="preserve">Tasks can live in a reusable task library and be shared across assignments (P1).</w:t>
      </w:r>
    </w:p>
    <w:p>
      <w:pPr>
        <w:pStyle w:val="Heading2"/>
      </w:pPr>
      <w:r>
        <w:t xml:space="preserve">5. Platforms and clients</w:t>
      </w:r>
    </w:p>
    <w:p>
      <w:pPr/>
      <w:r>
        <w:t xml:space="preserve">All six platforms ship, but they don't do the same jobs: execution lives in the cloud, clients author, approve, chat and monitor, and mobile adds location triggers and on-device home control.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Web</w:t>
            </w:r>
          </w:p>
        </w:tc>
        <w:tc>
          <w:tcPr>
            <w:tcW w:w="2340" w:type="dxa"/>
            <w:shd w:val="clear" w:color="auto" w:fill="F2F2F2"/>
          </w:tcPr>
          <w:p>
            <w:pPr/>
            <w:r>
              <w:t xml:space="preserve">Windows / macOS / Linux</w:t>
            </w:r>
          </w:p>
        </w:tc>
        <w:tc>
          <w:tcPr>
            <w:tcW w:w="2340" w:type="dxa"/>
            <w:shd w:val="clear" w:color="auto" w:fill="F2F2F2"/>
          </w:tcPr>
          <w:p>
            <w:pPr/>
            <w:r>
              <w:t xml:space="preserve">iOS / Android</w:t>
            </w:r>
          </w:p>
        </w:tc>
      </w:tr>
      <w:tr>
        <w:tc>
          <w:tcPr>
            <w:tcW w:w="2340" w:type="dxa"/>
          </w:tcPr>
          <w:p>
            <w:pPr/>
            <w:r>
              <w:t xml:space="preserve">Build and edit assignments, tasks, templates</w:t>
            </w:r>
          </w:p>
        </w:tc>
        <w:tc>
          <w:tcPr>
            <w:tcW w:w="2340" w:type="dxa"/>
          </w:tcPr>
          <w:p>
            <w:pPr/>
            <w:r>
              <w:t xml:space="preserve">Full</w:t>
            </w:r>
          </w:p>
        </w:tc>
        <w:tc>
          <w:tcPr>
            <w:tcW w:w="2340" w:type="dxa"/>
          </w:tcPr>
          <w:p>
            <w:pPr/>
            <w:r>
              <w:t xml:space="preserve">Full</w:t>
            </w:r>
          </w:p>
        </w:tc>
        <w:tc>
          <w:tcPr>
            <w:tcW w:w="2340" w:type="dxa"/>
          </w:tcPr>
          <w:p>
            <w:pPr/>
            <w:r>
              <w:t xml:space="preserve">Edit and AI builder; full visual editing P1</w:t>
            </w:r>
          </w:p>
        </w:tc>
      </w:tr>
      <w:tr>
        <w:tc>
          <w:tcPr>
            <w:tcW w:w="2340" w:type="dxa"/>
          </w:tcPr>
          <w:p>
            <w:pPr/>
            <w:r>
              <w:t xml:space="preserve">Chat and ask-anything Q&amp;A</w:t>
            </w:r>
          </w:p>
        </w:tc>
        <w:tc>
          <w:tcPr>
            <w:tcW w:w="2340" w:type="dxa"/>
          </w:tcPr>
          <w:p>
            <w:pPr/>
            <w:r>
              <w:t xml:space="preserve">Yes</w:t>
            </w:r>
          </w:p>
        </w:tc>
        <w:tc>
          <w:tcPr>
            <w:tcW w:w="2340" w:type="dxa"/>
          </w:tcPr>
          <w:p>
            <w:pPr/>
            <w:r>
              <w:t xml:space="preserve">Yes</w:t>
            </w:r>
          </w:p>
        </w:tc>
        <w:tc>
          <w:tcPr>
            <w:tcW w:w="2340" w:type="dxa"/>
          </w:tcPr>
          <w:p>
            <w:pPr/>
            <w:r>
              <w:t xml:space="preserve">Yes, plus voice (P1)</w:t>
            </w:r>
          </w:p>
        </w:tc>
      </w:tr>
      <w:tr>
        <w:tc>
          <w:tcPr>
            <w:tcW w:w="2340" w:type="dxa"/>
          </w:tcPr>
          <w:p>
            <w:pPr/>
            <w:r>
              <w:t xml:space="preserve">Approvals and human steps</w:t>
            </w:r>
          </w:p>
        </w:tc>
        <w:tc>
          <w:tcPr>
            <w:tcW w:w="2340" w:type="dxa"/>
          </w:tcPr>
          <w:p>
            <w:pPr/>
            <w:r>
              <w:t xml:space="preserve">Yes</w:t>
            </w:r>
          </w:p>
        </w:tc>
        <w:tc>
          <w:tcPr>
            <w:tcW w:w="2340" w:type="dxa"/>
          </w:tcPr>
          <w:p>
            <w:pPr/>
            <w:r>
              <w:t xml:space="preserve">Yes, with OS notifications</w:t>
            </w:r>
          </w:p>
        </w:tc>
        <w:tc>
          <w:tcPr>
            <w:tcW w:w="2340" w:type="dxa"/>
          </w:tcPr>
          <w:p>
            <w:pPr/>
            <w:r>
              <w:t xml:space="preserve">Yes, actionable push; biometric confirm for payments</w:t>
            </w:r>
          </w:p>
        </w:tc>
      </w:tr>
      <w:tr>
        <w:tc>
          <w:tcPr>
            <w:tcW w:w="2340" w:type="dxa"/>
          </w:tcPr>
          <w:p>
            <w:pPr/>
            <w:r>
              <w:t xml:space="preserve">Run monitoring and budgets</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Proximity (geofence) triggers</w:t>
            </w:r>
          </w:p>
        </w:tc>
        <w:tc>
          <w:tcPr>
            <w:tcW w:w="2340" w:type="dxa"/>
          </w:tcPr>
          <w:p>
            <w:pPr/>
            <w:r>
              <w:t xml:space="preserve">—</w:t>
            </w:r>
          </w:p>
        </w:tc>
        <w:tc>
          <w:tcPr>
            <w:tcW w:w="2340" w:type="dxa"/>
          </w:tcPr>
          <w:p>
            <w:pPr/>
            <w:r>
              <w:t xml:space="preserve">—</w:t>
            </w:r>
          </w:p>
        </w:tc>
        <w:tc>
          <w:tcPr>
            <w:tcW w:w="2340" w:type="dxa"/>
          </w:tcPr>
          <w:p>
            <w:pPr/>
            <w:r>
              <w:t xml:space="preserve">Yes, background location</w:t>
            </w:r>
          </w:p>
        </w:tc>
      </w:tr>
      <w:tr>
        <w:tc>
          <w:tcPr>
            <w:tcW w:w="2340" w:type="dxa"/>
          </w:tcPr>
          <w:p>
            <w:pPr/>
            <w:r>
              <w:t xml:space="preserve">Local connectors</w:t>
            </w:r>
          </w:p>
        </w:tc>
        <w:tc>
          <w:tcPr>
            <w:tcW w:w="2340" w:type="dxa"/>
          </w:tcPr>
          <w:p>
            <w:pPr/>
            <w:r>
              <w:t xml:space="preserve">—</w:t>
            </w:r>
          </w:p>
        </w:tc>
        <w:tc>
          <w:tcPr>
            <w:tcW w:w="2340" w:type="dxa"/>
          </w:tcPr>
          <w:p>
            <w:pPr/>
            <w:r>
              <w:t xml:space="preserve">Yes: local files, desktop apps, local MCP servers</w:t>
            </w:r>
          </w:p>
        </w:tc>
        <w:tc>
          <w:tcPr>
            <w:tcW w:w="2340" w:type="dxa"/>
          </w:tcPr>
          <w:p>
            <w:pPr/>
            <w:r>
              <w:t xml:space="preserve">Apple HomeKit, Shortcuts / App Intents, Android intents</w:t>
            </w:r>
          </w:p>
        </w:tc>
      </w:tr>
      <w:tr>
        <w:tc>
          <w:tcPr>
            <w:tcW w:w="2340" w:type="dxa"/>
          </w:tcPr>
          <w:p>
            <w:pPr/>
            <w:r>
              <w:t xml:space="preserve">Enterprise admin console</w:t>
            </w:r>
          </w:p>
        </w:tc>
        <w:tc>
          <w:tcPr>
            <w:tcW w:w="2340" w:type="dxa"/>
          </w:tcPr>
          <w:p>
            <w:pPr/>
            <w:r>
              <w:t xml:space="preserve">Yes</w:t>
            </w:r>
          </w:p>
        </w:tc>
        <w:tc>
          <w:tcPr>
            <w:tcW w:w="2340" w:type="dxa"/>
          </w:tcPr>
          <w:p>
            <w:pPr/>
            <w:r>
              <w:t xml:space="preserve">Yes</w:t>
            </w:r>
          </w:p>
        </w:tc>
        <w:tc>
          <w:tcPr>
            <w:tcW w:w="2340" w:type="dxa"/>
          </w:tcPr>
          <w:p>
            <w:pPr/>
            <w:r>
              <w:t xml:space="preserve">Read-only dashboards and kill switch (P1)</w:t>
            </w:r>
          </w:p>
        </w:tc>
      </w:tr>
      <w:tr>
        <w:tc>
          <w:tcPr>
            <w:tcW w:w="2340" w:type="dxa"/>
          </w:tcPr>
          <w:p>
            <w:pPr/>
            <w:r>
              <w:t xml:space="preserve">Offline</w:t>
            </w:r>
          </w:p>
        </w:tc>
        <w:tc>
          <w:tcPr>
            <w:tcW w:w="2340" w:type="dxa"/>
          </w:tcPr>
          <w:p>
            <w:pPr/>
            <w:r>
              <w:t xml:space="preserve">—</w:t>
            </w:r>
          </w:p>
        </w:tc>
        <w:tc>
          <w:tcPr>
            <w:tcW w:w="2340" w:type="dxa"/>
          </w:tcPr>
          <w:p>
            <w:pPr/>
            <w:r>
              <w:t xml:space="preserve">View cached outputs, queue approvals</w:t>
            </w:r>
          </w:p>
        </w:tc>
        <w:tc>
          <w:tcPr>
            <w:tcW w:w="2340" w:type="dxa"/>
          </w:tcPr>
          <w:p>
            <w:pPr/>
            <w:r>
              <w:t xml:space="preserve">View cached outputs, queue approvals</w:t>
            </w:r>
          </w:p>
        </w:tc>
      </w:tr>
    </w:tbl>
    <w:p>
      <w:pPr/>
      <w:r>
        <w:rPr>
          <w:b/>
        </w:rPr>
        <w:t xml:space="preserve">Requirements</w:t>
      </w:r>
    </w:p>
    <w:p>
      <w:pPr>
        <w:pStyle w:val="ListParagraph"/>
        <w:numPr>
          <w:ilvl w:val="0"/>
          <w:numId w:val="12"/>
        </w:numPr>
      </w:pPr>
      <w:r>
        <w:rPr>
          <w:b/>
        </w:rPr>
        <w:t xml:space="preserve">PLT-01 (P0)</w:t>
      </w:r>
      <w:r>
        <w:t xml:space="preserve"> One shared design system; the core loop (create → run → approve → review) works on all six platforms.</w:t>
      </w:r>
    </w:p>
    <w:p>
      <w:pPr>
        <w:pStyle w:val="ListParagraph"/>
        <w:numPr>
          <w:ilvl w:val="0"/>
          <w:numId w:val="12"/>
        </w:numPr>
      </w:pPr>
      <w:r>
        <w:rPr>
          <w:b/>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12"/>
        </w:numPr>
      </w:pPr>
      <w:r>
        <w:rPr>
          <w:b/>
        </w:rPr>
        <w:t xml:space="preserve">PLT-03 (P0)</w:t>
      </w:r>
      <w:r>
        <w:t xml:space="preserve"> Mobile supports actionable push approvals; payment approvals require device biometrics (Face ID / Touch ID / Android BiometricPrompt).</w:t>
      </w:r>
    </w:p>
    <w:p>
      <w:pPr>
        <w:pStyle w:val="ListParagraph"/>
        <w:numPr>
          <w:ilvl w:val="0"/>
          <w:numId w:val="12"/>
        </w:numPr>
      </w:pPr>
      <w:r>
        <w:rPr>
          <w:b/>
        </w:rPr>
        <w:t xml:space="preserve">PLT-04 (P0)</w:t>
      </w:r>
      <w:r>
        <w:t xml:space="preserve"> Geofences are evaluated on the device; only the "trigger fired" event reaches the cloud, never a location trail.</w:t>
      </w:r>
    </w:p>
    <w:p>
      <w:pPr>
        <w:pStyle w:val="ListParagraph"/>
        <w:numPr>
          <w:ilvl w:val="0"/>
          <w:numId w:val="12"/>
        </w:numPr>
      </w:pPr>
      <w:r>
        <w:rPr>
          <w:b/>
        </w:rPr>
        <w:t xml:space="preserve">PLT-05 (P1)</w:t>
      </w:r>
      <w:r>
        <w:t xml:space="preserve"> Enterprise device management: managed app configuration and app protection policies (Intune, Jamf), managed distribution.</w:t>
      </w:r>
    </w:p>
    <w:p>
      <w:pPr>
        <w:pStyle w:val="ListParagraph"/>
        <w:numPr>
          <w:ilvl w:val="0"/>
          <w:numId w:val="12"/>
        </w:numPr>
      </w:pPr>
      <w:r>
        <w:rPr>
          <w:b/>
        </w:rPr>
        <w:t xml:space="preserve">PLT-06 (P0)</w:t>
      </w:r>
      <w:r>
        <w:t xml:space="preserve"> WCAG 2.2 AA on every client.</w:t>
      </w:r>
    </w:p>
    <w:p>
      <w:pPr/>
      <w:r>
        <w:rPr>
          <w:b/>
        </w:rPr>
        <w:t xml:space="preserve">Stack (defaults adopted 2026-10-05 from the compliance assistant plan v3).</w:t>
      </w:r>
      <w:r>
        <w:t xml:space="preserve"> Web and desktop share one React + TypeScript codebase; desktop runs it in a Tauri 2 shell, whose Rust core suits sandboxing local connectors. Mobile is still open: React Native / Expo is recommended for its mature background-location, push and HomeKit modules; Tauri 2's mobile support would share more code, but verify those native capabilities before choosing it.</w:t>
      </w:r>
    </w:p>
    <w:p>
      <w:pPr>
        <w:pStyle w:val="Heading2"/>
      </w:pPr>
      <w:r>
        <w:t xml:space="preserve">6. Connectors and zero-trust delegation</w:t>
      </w:r>
    </w:p>
    <w:p>
      <w:pPr/>
      <w:r>
        <w:t xml:space="preserve">A connector can only do what the signed-in user could do themselves, using credentials issued to that user, scoped to the task and released only for the step that needs them — and every call is labeled as Collicity acting on that user's behalf.</w:t>
      </w:r>
    </w:p>
    <w:p>
      <w:pPr>
        <w:pStyle w:val="Heading3"/>
      </w:pPr>
      <w:r>
        <w:t xml:space="preserve">6.1 Connector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Examples</w:t>
            </w:r>
          </w:p>
        </w:tc>
        <w:tc>
          <w:tcPr>
            <w:tcW w:w="3120" w:type="dxa"/>
            <w:shd w:val="clear" w:color="auto" w:fill="F2F2F2"/>
          </w:tcPr>
          <w:p>
            <w:pPr/>
            <w:r>
              <w:t xml:space="preserve">Notes</w:t>
            </w:r>
          </w:p>
        </w:tc>
      </w:tr>
      <w:tr>
        <w:tc>
          <w:tcPr>
            <w:tcW w:w="3120" w:type="dxa"/>
          </w:tcPr>
          <w:p>
            <w:pPr/>
            <w:r>
              <w:t xml:space="preserve">Remote MCP server</w:t>
            </w:r>
          </w:p>
        </w:tc>
        <w:tc>
          <w:tcPr>
            <w:tcW w:w="3120" w:type="dxa"/>
          </w:tcPr>
          <w:p>
            <w:pPr/>
            <w:r>
              <w:t xml:space="preserve">Vendor-hosted MCP servers (Atlassian, GitHub)</w:t>
            </w:r>
          </w:p>
        </w:tc>
        <w:tc>
          <w:tcPr>
            <w:tcW w:w="3120" w:type="dxa"/>
          </w:tcPr>
          <w:p>
            <w:pPr/>
            <w:r>
              <w:t xml:space="preserve">OAuth 2.1 per the MCP authorization spec</w:t>
            </w:r>
          </w:p>
        </w:tc>
      </w:tr>
      <w:tr>
        <w:tc>
          <w:tcPr>
            <w:tcW w:w="3120" w:type="dxa"/>
          </w:tcPr>
          <w:p>
            <w:pPr/>
            <w:r>
              <w:t xml:space="preserve">API connector (REST / GraphQL)</w:t>
            </w:r>
          </w:p>
        </w:tc>
        <w:tc>
          <w:tcPr>
            <w:tcW w:w="3120" w:type="dxa"/>
          </w:tcPr>
          <w:p>
            <w:pPr/>
            <w:r>
              <w:t xml:space="preserve">Qualys, Microsoft Graph (Intune, Outlook), Splunk REST</w:t>
            </w:r>
          </w:p>
        </w:tc>
        <w:tc>
          <w:tcPr>
            <w:tcW w:w="3120" w:type="dxa"/>
          </w:tcPr>
          <w:p>
            <w:pPr/>
            <w:r>
              <w:t xml:space="preserve">Built with the connector SDK; exposed internally as MCP</w:t>
            </w:r>
          </w:p>
        </w:tc>
      </w:tr>
      <w:tr>
        <w:tc>
          <w:tcPr>
            <w:tcW w:w="3120" w:type="dxa"/>
          </w:tcPr>
          <w:p>
            <w:pPr/>
            <w:r>
              <w:t xml:space="preserve">Knowledge (RAG) source</w:t>
            </w:r>
          </w:p>
        </w:tc>
        <w:tc>
          <w:tcPr>
            <w:tcW w:w="3120" w:type="dxa"/>
          </w:tcPr>
          <w:p>
            <w:pPr/>
            <w:r>
              <w:t xml:space="preserve">SharePoint, Google Drive, Confluence</w:t>
            </w:r>
          </w:p>
        </w:tc>
        <w:tc>
          <w:tcPr>
            <w:tcW w:w="3120" w:type="dxa"/>
          </w:tcPr>
          <w:p>
            <w:pPr/>
            <w:r>
              <w:t xml:space="preserve">Permission-aware retrieval (CON-09)</w:t>
            </w:r>
          </w:p>
        </w:tc>
      </w:tr>
      <w:tr>
        <w:tc>
          <w:tcPr>
            <w:tcW w:w="3120" w:type="dxa"/>
          </w:tcPr>
          <w:p>
            <w:pPr/>
            <w:r>
              <w:t xml:space="preserve">Device-local</w:t>
            </w:r>
          </w:p>
        </w:tc>
        <w:tc>
          <w:tcPr>
            <w:tcW w:w="3120" w:type="dxa"/>
          </w:tcPr>
          <w:p>
            <w:pPr/>
            <w:r>
              <w:t xml:space="preserve">Local files and apps, local MCP servers, Apple HomeKit</w:t>
            </w:r>
          </w:p>
        </w:tc>
        <w:tc>
          <w:tcPr>
            <w:tcW w:w="3120" w:type="dxa"/>
          </w:tcPr>
          <w:p>
            <w:pPr/>
            <w:r>
              <w:t xml:space="preserve">Runs only on the user's device</w:t>
            </w:r>
          </w:p>
        </w:tc>
      </w:tr>
      <w:tr>
        <w:tc>
          <w:tcPr>
            <w:tcW w:w="3120" w:type="dxa"/>
          </w:tcPr>
          <w:p>
            <w:pPr/>
            <w:r>
              <w:t xml:space="preserve">Event source</w:t>
            </w:r>
          </w:p>
        </w:tc>
        <w:tc>
          <w:tcPr>
            <w:tcW w:w="3120" w:type="dxa"/>
          </w:tcPr>
          <w:p>
            <w:pPr/>
            <w:r>
              <w:t xml:space="preserve">Mailbox, webhooks, connector change feeds</w:t>
            </w:r>
          </w:p>
        </w:tc>
        <w:tc>
          <w:tcPr>
            <w:tcW w:w="3120" w:type="dxa"/>
          </w:tcPr>
          <w:p>
            <w:pPr/>
            <w:r>
              <w:t xml:space="preserve">Feeds triggers (§11)</w:t>
            </w:r>
          </w:p>
        </w:tc>
      </w:tr>
      <w:tr>
        <w:tc>
          <w:tcPr>
            <w:tcW w:w="3120" w:type="dxa"/>
          </w:tcPr>
          <w:p>
            <w:pPr/>
            <w:r>
              <w:t xml:space="preserve">Browser automation (P2, gated)</w:t>
            </w:r>
          </w:p>
        </w:tc>
        <w:tc>
          <w:tcPr>
            <w:tcW w:w="3120" w:type="dxa"/>
          </w:tcPr>
          <w:p>
            <w:pPr/>
            <w:r>
              <w:t xml:space="preserve">Sites with no API</w:t>
            </w:r>
          </w:p>
        </w:tc>
        <w:tc>
          <w:tcPr>
            <w:tcW w:w="3120" w:type="dxa"/>
          </w:tcPr>
          <w:p>
            <w:pPr/>
            <w:r>
              <w:t xml:space="preserve">Highest risk; only if approved (§21)</w:t>
            </w:r>
          </w:p>
        </w:tc>
      </w:tr>
    </w:tbl>
    <w:p>
      <w:pPr/>
      <w:r>
        <w:rPr>
          <w:b/>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3"/>
      </w:pPr>
      <w:r>
        <w:t xml:space="preserve">6.2 Zero-trust requirements</w:t>
      </w:r>
    </w:p>
    <w:p>
      <w:pPr/>
      <w:r>
        <w:drawing>
          <wp:inline distT="0" distB="0" distL="0" distR="0">
            <wp:extent cx="5486400" cy="2294164"/>
            <wp:docPr id="1" name="image1" descr="On-behalf-of call flow · one check, one token, one audit record"/>
            <a:graphic xmlns:a="http://schemas.openxmlformats.org/drawingml/2006/main">
              <a:graphicData uri="http://schemas.openxmlformats.org/drawingml/2006/picture">
                <pic:pic xmlns:pic="http://schemas.openxmlformats.org/drawingml/2006/picture">
                  <pic:nvPicPr>
                    <pic:cNvPr id="1" name="image1" descr="On-behalf-of call flow · one check, one token, one audit record"/>
                    <pic:cNvPicPr/>
                  </pic:nvPicPr>
                  <pic:blipFill>
                    <a:blip r:embed="rId3"/>
                    <a:stretch>
                      <a:fillRect/>
                    </a:stretch>
                  </pic:blipFill>
                  <pic:spPr>
                    <a:xfrm>
                      <a:off x="0" y="0"/>
                      <a:ext cx="5486400" cy="2294164"/>
                    </a:xfrm>
                    <a:prstGeom prst="rect">
                      <a:avLst/>
                    </a:prstGeom>
                  </pic:spPr>
                </pic:pic>
              </a:graphicData>
            </a:graphic>
          </wp:inline>
        </w:drawing>
      </w:r>
    </w:p>
    <w:p>
      <w:pPr/>
      <w:r>
        <w:t xml:space="preserve">On-behalf-of call flow · one check, one token, one audit record</w:t>
      </w:r>
    </w:p>
    <w:p>
      <w:pPr/>
      <w:r>
        <w:t xml:space="preserve">The policy check happens before the token broker releases any credential for the call, so a task that drifts outside its ceiling never holds a token that could reach the target.</w:t>
      </w:r>
    </w:p>
    <w:p>
      <w:pPr>
        <w:pStyle w:val="ListParagraph"/>
        <w:numPr>
          <w:ilvl w:val="0"/>
          <w:numId w:val="13"/>
        </w:numPr>
      </w:pPr>
      <w:r>
        <w:rPr>
          <w:b/>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13"/>
        </w:numPr>
      </w:pPr>
      <w:r>
        <w:rPr>
          <w:b/>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policy engine (e.g., Cedar or OPA) at the connector gateway checks each request before the call and filters each response to the granted resources and fields after it; the model is never the enforcement point. Connector manifests declare which parameters identify resources and recipients; an action whose resource can't be determined before the call needs approval every time. Widening any element is a new assignment version that needs re-acceptance (RUN-03).</w:t>
      </w:r>
    </w:p>
    <w:p>
      <w:pPr>
        <w:pStyle w:val="ListParagraph"/>
        <w:numPr>
          <w:ilvl w:val="0"/>
          <w:numId w:val="13"/>
        </w:numPr>
      </w:pPr>
      <w:r>
        <w:rPr>
          <w:b/>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Repeated out-of-policy attempts auto-suspend the task and raise a security event.</w:t>
      </w:r>
    </w:p>
    <w:p>
      <w:pPr>
        <w:pStyle w:val="ListParagraph"/>
        <w:numPr>
          <w:ilvl w:val="0"/>
          <w:numId w:val="13"/>
        </w:numPr>
      </w:pPr>
      <w:r>
        <w:rPr>
          <w:b/>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execution service.</w:t>
      </w:r>
    </w:p>
    <w:p>
      <w:pPr>
        <w:pStyle w:val="ListParagraph"/>
        <w:numPr>
          <w:ilvl w:val="0"/>
          <w:numId w:val="13"/>
        </w:numPr>
      </w:pPr>
      <w:r>
        <w:rPr>
          <w:b/>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w:t>
      </w:r>
      <w:r>
        <w:rPr>
          <w:i/>
        </w:rPr>
        <w:t xml:space="preserve">(Decided 2026-10-05.)</w:t>
      </w:r>
    </w:p>
    <w:p>
      <w:pPr>
        <w:pStyle w:val="ListParagraph"/>
        <w:numPr>
          <w:ilvl w:val="0"/>
          <w:numId w:val="13"/>
        </w:numPr>
      </w:pPr>
      <w:r>
        <w:rPr>
          <w:b/>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w:t>
      </w:r>
    </w:p>
    <w:p>
      <w:pPr>
        <w:pStyle w:val="ListParagraph"/>
        <w:numPr>
          <w:ilvl w:val="0"/>
          <w:numId w:val="13"/>
        </w:numPr>
      </w:pPr>
      <w:r>
        <w:rPr>
          <w:b/>
        </w:rPr>
        <w:t xml:space="preserve">CON-07 (P0) On-behalf-of attribution.</w:t>
      </w:r>
      <w:r>
        <w:t xml:space="preserve"> Every outbound call carries (a) the user's identity in the token, with Collicity as the actor (the RFC 8693 </w:t>
      </w:r>
      <w:r>
        <w:rPr>
          <w:rStyle w:val="CodeChar"/>
        </w:rPr>
        <w:t xml:space="preserve">act</w:t>
      </w:r>
      <w:r>
        <w:t xml:space="preserve"> claim) where supported; (b) a </w:t>
      </w:r>
      <w:r>
        <w:rPr>
          <w:rStyle w:val="CodeChar"/>
        </w:rPr>
        <w:t xml:space="preserve">User-Agent</w:t>
      </w:r>
      <w:r>
        <w:t xml:space="preserve"> of the form </w:t>
      </w:r>
      <w:r>
        <w:rPr>
          <w:rStyle w:val="CodeChar"/>
        </w:rPr>
        <w:t xml:space="preserve">Collicity/&lt;version&gt; (agent; run=&lt;run-id&gt;)</w:t>
      </w:r>
      <w:r>
        <w:t xml:space="preserve"> plus the target's own audit or on-behalf-of field where one exists; and (c) a matching Collicity audit record: user, connector, action, resource, run, task, model, approval and result. Each connector's docs state what the target's own log will show.</w:t>
      </w:r>
    </w:p>
    <w:p>
      <w:pPr>
        <w:pStyle w:val="ListParagraph"/>
        <w:numPr>
          <w:ilvl w:val="0"/>
          <w:numId w:val="13"/>
        </w:numPr>
      </w:pPr>
      <w:r>
        <w:rPr>
          <w:b/>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13"/>
        </w:numPr>
      </w:pPr>
      <w:r>
        <w:rPr>
          <w:b/>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w:t>
      </w:r>
    </w:p>
    <w:p>
      <w:pPr>
        <w:pStyle w:val="ListParagraph"/>
        <w:numPr>
          <w:ilvl w:val="0"/>
          <w:numId w:val="13"/>
        </w:numPr>
      </w:pPr>
      <w:r>
        <w:rPr>
          <w:b/>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reviewers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Unicode tag characters, bidirectional overrides and mixed-script look-alikes are flagged and removed from what the model sees, while the original stays in the snapshot; encoded payloads (Base64, hex, URL encoding) are decoded for inspection and flagged. Untrusted content is also delimited and labeled in prompts, as basic hygiene only; labels are not a control.</w:t>
      </w:r>
    </w:p>
    <w:p>
      <w:pPr>
        <w:pStyle w:val="ListParagraph"/>
        <w:numPr>
          <w:ilvl w:val="0"/>
          <w:numId w:val="13"/>
        </w:numPr>
      </w:pPr>
      <w:r>
        <w:rPr>
          <w:b/>
        </w:rPr>
        <w:t xml:space="preserve">CON-11 (P1) Data classification.</w:t>
      </w:r>
      <w:r>
        <w:t xml:space="preserve"> Connectors carry sensitivity labels (e.g., Microsoft Purview) into Collicity; routing and sharing honor them, e.g., "Confidential" content only to admin-approved models.</w:t>
      </w:r>
    </w:p>
    <w:p>
      <w:pPr/>
      <w:r>
        <w:rPr>
          <w:b/>
        </w:rPr>
        <w:t xml:space="preserve">Capability grant elements (CON-02),</w:t>
      </w:r>
      <w:r>
        <w:t xml:space="preserve"> with examples from the beta contract (§18.1):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Example</w:t>
            </w:r>
          </w:p>
        </w:tc>
        <w:tc>
          <w:tcPr>
            <w:tcW w:w="3120" w:type="dxa"/>
            <w:shd w:val="clear" w:color="auto" w:fill="F2F2F2"/>
          </w:tcPr>
          <w:p>
            <w:pPr/>
            <w:r>
              <w:t xml:space="preserve">Enforced</w:t>
            </w:r>
          </w:p>
        </w:tc>
      </w:tr>
      <w:tr>
        <w:tc>
          <w:tcPr>
            <w:tcW w:w="3120" w:type="dxa"/>
          </w:tcPr>
          <w:p>
            <w:pPr/>
            <w:r>
              <w:t xml:space="preserve">Connector and action</w:t>
            </w:r>
          </w:p>
        </w:tc>
        <w:tc>
          <w:tcPr>
            <w:tcW w:w="3120" w:type="dxa"/>
          </w:tcPr>
          <w:p>
            <w:pPr/>
            <w:r>
              <w:t xml:space="preserve">Microsoft Graph · update an Excel table row</w:t>
            </w:r>
          </w:p>
        </w:tc>
        <w:tc>
          <w:tcPr>
            <w:tcW w:w="3120" w:type="dxa"/>
          </w:tcPr>
          <w:p>
            <w:pPr/>
            <w:r>
              <w:t xml:space="preserve">Before the call</w:t>
            </w:r>
          </w:p>
        </w:tc>
      </w:tr>
      <w:tr>
        <w:tc>
          <w:tcPr>
            <w:tcW w:w="3120" w:type="dxa"/>
          </w:tcPr>
          <w:p>
            <w:pPr/>
            <w:r>
              <w:t xml:space="preserve">Resource selector</w:t>
            </w:r>
          </w:p>
        </w:tc>
        <w:tc>
          <w:tcPr>
            <w:tcW w:w="3120" w:type="dxa"/>
          </w:tcPr>
          <w:p>
            <w:pPr/>
            <w:r>
              <w:t xml:space="preserve">Workbook Inventory.xlsx, table Stock only; mailbox folder Requests only</w:t>
            </w:r>
          </w:p>
        </w:tc>
        <w:tc>
          <w:tcPr>
            <w:tcW w:w="3120" w:type="dxa"/>
          </w:tcPr>
          <w:p>
            <w:pPr/>
            <w:r>
              <w:t xml:space="preserve">Before the call; responses filtered after</w:t>
            </w:r>
          </w:p>
        </w:tc>
      </w:tr>
      <w:tr>
        <w:tc>
          <w:tcPr>
            <w:tcW w:w="3120" w:type="dxa"/>
          </w:tcPr>
          <w:p>
            <w:pPr/>
            <w:r>
              <w:t xml:space="preserve">Field allowlist</w:t>
            </w:r>
          </w:p>
        </w:tc>
        <w:tc>
          <w:tcPr>
            <w:tcW w:w="3120" w:type="dxa"/>
          </w:tcPr>
          <w:p>
            <w:pPr/>
            <w:r>
              <w:t xml:space="preserve">Read Item and Qty; write Qty only</w:t>
            </w:r>
          </w:p>
        </w:tc>
        <w:tc>
          <w:tcPr>
            <w:tcW w:w="3120" w:type="dxa"/>
          </w:tcPr>
          <w:p>
            <w:pPr/>
            <w:r>
              <w:t xml:space="preserve">Before the call for writes; responses filtered for reads</w:t>
            </w:r>
          </w:p>
        </w:tc>
      </w:tr>
      <w:tr>
        <w:tc>
          <w:tcPr>
            <w:tcW w:w="3120" w:type="dxa"/>
          </w:tcPr>
          <w:p>
            <w:pPr/>
            <w:r>
              <w:t xml:space="preserve">Recipient rule</w:t>
            </w:r>
          </w:p>
        </w:tc>
        <w:tc>
          <w:tcPr>
            <w:tcW w:w="3120" w:type="dxa"/>
          </w:tcPr>
          <w:p>
            <w:pPr/>
            <w:r>
              <w:t xml:space="preserve">Draft replies only to the original sender</w:t>
            </w:r>
          </w:p>
        </w:tc>
        <w:tc>
          <w:tcPr>
            <w:tcW w:w="3120" w:type="dxa"/>
          </w:tcPr>
          <w:p>
            <w:pPr/>
            <w:r>
              <w:t xml:space="preserve">Before the call</w:t>
            </w:r>
          </w:p>
        </w:tc>
      </w:tr>
      <w:tr>
        <w:tc>
          <w:tcPr>
            <w:tcW w:w="3120" w:type="dxa"/>
          </w:tcPr>
          <w:p>
            <w:pPr/>
            <w:r>
              <w:t xml:space="preserve">Parameter limits</w:t>
            </w:r>
          </w:p>
        </w:tc>
        <w:tc>
          <w:tcPr>
            <w:tcW w:w="3120" w:type="dxa"/>
          </w:tcPr>
          <w:p>
            <w:pPr/>
            <w:r>
              <w:t xml:space="preserve">Qty change of at most 50 units; no deletes</w:t>
            </w:r>
          </w:p>
        </w:tc>
        <w:tc>
          <w:tcPr>
            <w:tcW w:w="3120" w:type="dxa"/>
          </w:tcPr>
          <w:p>
            <w:pPr/>
            <w:r>
              <w:t xml:space="preserve">Before the call</w:t>
            </w:r>
          </w:p>
        </w:tc>
      </w:tr>
      <w:tr>
        <w:tc>
          <w:tcPr>
            <w:tcW w:w="3120" w:type="dxa"/>
          </w:tcPr>
          <w:p>
            <w:pPr/>
            <w:r>
              <w:t xml:space="preserve">Volume limit</w:t>
            </w:r>
          </w:p>
        </w:tc>
        <w:tc>
          <w:tcPr>
            <w:tcW w:w="3120" w:type="dxa"/>
          </w:tcPr>
          <w:p>
            <w:pPr/>
            <w:r>
              <w:t xml:space="preserve">At most 20 rows changed per run</w:t>
            </w:r>
          </w:p>
        </w:tc>
        <w:tc>
          <w:tcPr>
            <w:tcW w:w="3120" w:type="dxa"/>
          </w:tcPr>
          <w:p>
            <w:pPr/>
            <w:r>
              <w:t xml:space="preserve">Running count at the gateway</w:t>
            </w:r>
          </w:p>
        </w:tc>
      </w:tr>
    </w:tbl>
    <w:p>
      <w:pPr>
        <w:pStyle w:val="Heading3"/>
      </w:pPr>
      <w:r>
        <w:t xml:space="preserve">6.3 Custom connectors</w:t>
      </w:r>
    </w:p>
    <w:p>
      <w:pPr>
        <w:pStyle w:val="ListParagraph"/>
        <w:numPr>
          <w:ilvl w:val="0"/>
          <w:numId w:val="14"/>
        </w:numPr>
      </w:pPr>
      <w:r>
        <w:rPr>
          <w:b/>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and rate limits. First-party connectors ship the same manifest.</w:t>
      </w:r>
    </w:p>
    <w:p>
      <w:pPr>
        <w:pStyle w:val="ListParagraph"/>
        <w:numPr>
          <w:ilvl w:val="0"/>
          <w:numId w:val="14"/>
        </w:numPr>
      </w:pPr>
      <w:r>
        <w:rPr>
          <w:b/>
        </w:rPr>
        <w:t xml:space="preserve">CON-13 (P0)</w:t>
      </w:r>
      <w:r>
        <w:t xml:space="preserve"> Three ways in: register a remote MCP server URL, generate from an OpenAPI spec, or describe the API to the AI builder, which scaffolds a connector for human review.</w:t>
      </w:r>
    </w:p>
    <w:p>
      <w:pPr>
        <w:pStyle w:val="ListParagraph"/>
        <w:numPr>
          <w:ilvl w:val="0"/>
          <w:numId w:val="14"/>
        </w:numPr>
      </w:pPr>
      <w:r>
        <w:rPr>
          <w:b/>
        </w:rPr>
        <w:t xml:space="preserve">CON-14 (P0)</w:t>
      </w:r>
      <w:r>
        <w:t xml:space="preserve"> Custom connector code runs in an isolated sandbox (WASM or microVM) with network egress limited to declared hosts.</w:t>
      </w:r>
    </w:p>
    <w:p>
      <w:pPr>
        <w:pStyle w:val="ListParagraph"/>
        <w:numPr>
          <w:ilvl w:val="0"/>
          <w:numId w:val="14"/>
        </w:numPr>
      </w:pPr>
      <w:r>
        <w:rPr>
          <w:b/>
        </w:rPr>
        <w:t xml:space="preserve">CON-15 (P0, Enterprise)</w:t>
      </w:r>
      <w:r>
        <w:t xml:space="preserve"> Admin approval before a custom connector is usable by others; versions are pinned, and any scope change requires re-approval.</w:t>
      </w:r>
    </w:p>
    <w:p>
      <w:pPr>
        <w:pStyle w:val="ListParagraph"/>
        <w:numPr>
          <w:ilvl w:val="0"/>
          <w:numId w:val="14"/>
        </w:numPr>
      </w:pPr>
      <w:r>
        <w:rPr>
          <w:b/>
        </w:rPr>
        <w:t xml:space="preserve">CON-16 (P2)</w:t>
      </w:r>
      <w:r>
        <w:t xml:space="preserve"> Public connector marketplace with publisher verification and security review.</w:t>
      </w:r>
    </w:p>
    <w:p>
      <w:pPr>
        <w:pStyle w:val="Heading2"/>
      </w:pPr>
      <w:r>
        <w:t xml:space="preserve">7. Tasks, assignments and the assignment builder</w:t>
      </w:r>
    </w:p>
    <w:p>
      <w:pPr/>
      <w:r>
        <w:t xml:space="preserve">Users reach a runnable assignment two ways — describe it to the AI builder or build it by hand — and both produce the same editable, versioned object with a cost estimate before anything runs.</w:t>
      </w:r>
    </w:p>
    <w:p>
      <w:pPr>
        <w:pStyle w:val="Heading3"/>
      </w:pPr>
      <w:r>
        <w:t xml:space="preserve">7.1 Example assignments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Example</w:t>
            </w:r>
          </w:p>
        </w:tc>
        <w:tc>
          <w:tcPr>
            <w:tcW w:w="2340" w:type="dxa"/>
            <w:shd w:val="clear" w:color="auto" w:fill="F2F2F2"/>
          </w:tcPr>
          <w:p>
            <w:pPr/>
            <w:r>
              <w:t xml:space="preserve">Trigger</w:t>
            </w:r>
          </w:p>
        </w:tc>
        <w:tc>
          <w:tcPr>
            <w:tcW w:w="2340" w:type="dxa"/>
            <w:shd w:val="clear" w:color="auto" w:fill="F2F2F2"/>
          </w:tcPr>
          <w:p>
            <w:pPr/>
            <w:r>
              <w:t xml:space="preserve">Tasks (H = human step)</w:t>
            </w:r>
          </w:p>
        </w:tc>
        <w:tc>
          <w:tcPr>
            <w:tcW w:w="2340" w:type="dxa"/>
            <w:shd w:val="clear" w:color="auto" w:fill="F2F2F2"/>
          </w:tcPr>
          <w:p>
            <w:pPr/>
            <w:r>
              <w:t xml:space="preserve">Gate</w:t>
            </w:r>
          </w:p>
        </w:tc>
      </w:tr>
      <w:tr>
        <w:tc>
          <w:tcPr>
            <w:tcW w:w="2340" w:type="dxa"/>
          </w:tcPr>
          <w:p>
            <w:pPr/>
            <w:r>
              <w:t xml:space="preserve">Email request triage</w:t>
            </w:r>
          </w:p>
        </w:tc>
        <w:tc>
          <w:tcPr>
            <w:tcW w:w="2340" w:type="dxa"/>
          </w:tcPr>
          <w:p>
            <w:pPr/>
            <w:r>
              <w:t xml:space="preserve">New mail from listed senders, identity confidence medium or high (ASG-15)</w:t>
            </w:r>
          </w:p>
        </w:tc>
        <w:tc>
          <w:tcPr>
            <w:tcW w:w="2340" w:type="dxa"/>
          </w:tcPr>
          <w:p>
            <w:pPr/>
            <w:r>
              <w:t xml:space="preserve">Parse request → find target document or inventory record → draft change → add to work queue with suggestions → H: accept suggestion → apply change</w:t>
            </w:r>
          </w:p>
        </w:tc>
        <w:tc>
          <w:tcPr>
            <w:tcW w:w="2340" w:type="dxa"/>
          </w:tcPr>
          <w:p>
            <w:pPr/>
            <w:r>
              <w:t xml:space="preserve">Approval before any write, unless pre-authorized</w:t>
            </w:r>
          </w:p>
        </w:tc>
      </w:tr>
      <w:tr>
        <w:tc>
          <w:tcPr>
            <w:tcW w:w="2340" w:type="dxa"/>
          </w:tcPr>
          <w:p>
            <w:pPr/>
            <w:r>
              <w:t xml:space="preserve">Security posture report</w:t>
            </w:r>
          </w:p>
        </w:tc>
        <w:tc>
          <w:tcPr>
            <w:tcW w:w="2340" w:type="dxa"/>
          </w:tcPr>
          <w:p>
            <w:pPr/>
            <w:r>
              <w:t xml:space="preserve">Weekly, Monday 06:00</w:t>
            </w:r>
          </w:p>
        </w:tc>
        <w:tc>
          <w:tcPr>
            <w:tcW w:w="2340" w:type="dxa"/>
          </w:tcPr>
          <w:p>
            <w:pPr/>
            <w:r>
              <w:t xml:space="preserve">Pull Qualys vulnerabilities → pull Splunk alerts → pull Intune compliance → compute metrics → write narratives → fill template → H: analyst review → publish to SharePoint</w:t>
            </w:r>
          </w:p>
        </w:tc>
        <w:tc>
          <w:tcPr>
            <w:tcW w:w="2340" w:type="dxa"/>
          </w:tcPr>
          <w:p>
            <w:pPr/>
            <w:r>
              <w:t xml:space="preserve">Review before publish</w:t>
            </w:r>
          </w:p>
        </w:tc>
      </w:tr>
      <w:tr>
        <w:tc>
          <w:tcPr>
            <w:tcW w:w="2340" w:type="dxa"/>
          </w:tcPr>
          <w:p>
            <w:pPr/>
            <w:r>
              <w:t xml:space="preserve">Weekly meal plan</w:t>
            </w:r>
          </w:p>
        </w:tc>
        <w:tc>
          <w:tcPr>
            <w:tcW w:w="2340" w:type="dxa"/>
          </w:tcPr>
          <w:p>
            <w:pPr/>
            <w:r>
              <w:t xml:space="preserve">Sunday 10:00</w:t>
            </w:r>
          </w:p>
        </w:tc>
        <w:tc>
          <w:tcPr>
            <w:tcW w:w="2340" w:type="dxa"/>
          </w:tcPr>
          <w:p>
            <w:pPr/>
            <w:r>
              <w:t xml:space="preserve">H: preferences → draft plan → H: approve plan → build shopping list → H: edit list → price at local store → order and pay → create the delivery-night proximity trigger (§11)</w:t>
            </w:r>
          </w:p>
        </w:tc>
        <w:tc>
          <w:tcPr>
            <w:tcW w:w="2340" w:type="dxa"/>
          </w:tcPr>
          <w:p>
            <w:pPr/>
            <w:r>
              <w:t xml:space="preserve">Payment approval or pre-authorized cap (§14)</w:t>
            </w:r>
          </w:p>
        </w:tc>
      </w:tr>
    </w:tbl>
    <w:p>
      <w:pPr>
        <w:pStyle w:val="Heading3"/>
      </w:pPr>
      <w:r>
        <w:t xml:space="preserve">7.2 Building</w:t>
      </w:r>
    </w:p>
    <w:p>
      <w:pPr>
        <w:pStyle w:val="ListParagraph"/>
        <w:numPr>
          <w:ilvl w:val="0"/>
          <w:numId w:val="15"/>
        </w:numPr>
      </w:pPr>
      <w:r>
        <w:rPr>
          <w:b/>
        </w:rPr>
        <w:t xml:space="preserve">ASG-01 (P0)</w:t>
      </w:r>
      <w:r>
        <w:t xml:space="preserve"> Create, name, describe, duplicate, version, share and archive tasks and assignments.</w:t>
      </w:r>
    </w:p>
    <w:p>
      <w:pPr>
        <w:pStyle w:val="ListParagraph"/>
        <w:numPr>
          <w:ilvl w:val="0"/>
          <w:numId w:val="15"/>
        </w:numPr>
      </w:pPr>
      <w:r>
        <w:rPr>
          <w:b/>
        </w:rPr>
        <w:t xml:space="preserve">ASG-02 (P0)</w:t>
      </w:r>
      <w:r>
        <w:t xml:space="preserve"> A task description can be typed or AI-written ("Write this for me", "Improve"). The description is what the agent executes, so run logs show it verbatim.</w:t>
      </w:r>
    </w:p>
    <w:p>
      <w:pPr>
        <w:pStyle w:val="ListParagraph"/>
        <w:numPr>
          <w:ilvl w:val="0"/>
          <w:numId w:val="15"/>
        </w:numPr>
      </w:pPr>
      <w:r>
        <w:rPr>
          <w:b/>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15"/>
        </w:numPr>
      </w:pPr>
      <w:r>
        <w:rPr>
          <w:b/>
        </w:rPr>
        <w:t xml:space="preserve">ASG-04 (P0) Manual builder.</w:t>
      </w:r>
      <w:r>
        <w:t xml:space="preserve"> Pick or create tasks; arrange them as sequence, branch, parallel or for-each; choose a model per task or "Auto".</w:t>
      </w:r>
    </w:p>
    <w:p>
      <w:pPr>
        <w:pStyle w:val="ListParagraph"/>
        <w:numPr>
          <w:ilvl w:val="0"/>
          <w:numId w:val="15"/>
        </w:numPr>
      </w:pPr>
      <w:r>
        <w:rPr>
          <w:b/>
        </w:rPr>
        <w:t xml:space="preserve">ASG-05 (P0) Dry run.</w:t>
      </w:r>
      <w:r>
        <w:t xml:space="preserve"> Executes with read-only access and no external side effects, showing what would happen and its real token cost.</w:t>
      </w:r>
    </w:p>
    <w:p>
      <w:pPr>
        <w:pStyle w:val="ListParagraph"/>
        <w:numPr>
          <w:ilvl w:val="0"/>
          <w:numId w:val="15"/>
        </w:numPr>
      </w:pPr>
      <w:r>
        <w:rPr>
          <w:b/>
        </w:rPr>
        <w:t xml:space="preserve">ASG-06 (P0)</w:t>
      </w:r>
      <w:r>
        <w:t xml:space="preserve"> Each task carries success criteria (e.g., "one row per device", "every number traces to source data") that the supervisor checks (§9).</w:t>
      </w:r>
    </w:p>
    <w:p>
      <w:pPr>
        <w:pStyle w:val="ListParagraph"/>
        <w:numPr>
          <w:ilvl w:val="0"/>
          <w:numId w:val="15"/>
        </w:numPr>
      </w:pPr>
      <w:r>
        <w:rPr>
          <w:b/>
        </w:rPr>
        <w:t xml:space="preserve">ASG-07 (P1)</w:t>
      </w:r>
      <w:r>
        <w:t xml:space="preserve"> Task library: reusable tasks shared across assignments and, in Enterprise, across teams.</w:t>
      </w:r>
    </w:p>
    <w:p>
      <w:pPr>
        <w:pStyle w:val="ListParagraph"/>
        <w:numPr>
          <w:ilvl w:val="0"/>
          <w:numId w:val="15"/>
        </w:numPr>
      </w:pPr>
      <w:r>
        <w:rPr>
          <w:b/>
        </w:rPr>
        <w:t xml:space="preserve">ASG-08 (P1)</w:t>
      </w:r>
      <w:r>
        <w:t xml:space="preserve"> Assignment blueprints: shareable starting points (e.g., "Weekly security posture report"), distinct from output templates (§10).</w:t>
      </w:r>
    </w:p>
    <w:p>
      <w:pPr>
        <w:pStyle w:val="Heading3"/>
      </w:pPr>
      <w:r>
        <w:t xml:space="preserve">7.3 Running</w:t>
      </w:r>
    </w:p>
    <w:p>
      <w:pPr>
        <w:pStyle w:val="ListParagraph"/>
        <w:numPr>
          <w:ilvl w:val="0"/>
          <w:numId w:val="16"/>
        </w:numPr>
      </w:pPr>
      <w:r>
        <w:rPr>
          <w:b/>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16"/>
        </w:numPr>
      </w:pPr>
      <w:r>
        <w:rPr>
          <w:b/>
        </w:rPr>
        <w:t xml:space="preserve">ASG-10 (P0) Human steps.</w:t>
      </w:r>
      <w:r>
        <w:t xml:space="preserve"> Input forms, approvals, editable lists and choices, each with a timeout and a fallback: remind, escalate or cancel.</w:t>
      </w:r>
    </w:p>
    <w:p>
      <w:pPr>
        <w:pStyle w:val="ListParagraph"/>
        <w:numPr>
          <w:ilvl w:val="0"/>
          <w:numId w:val="16"/>
        </w:numPr>
      </w:pPr>
      <w:r>
        <w:rPr>
          <w:b/>
        </w:rPr>
        <w:t xml:space="preserve">ASG-11 (P0) Approval gates</w:t>
      </w:r>
      <w:r>
        <w:t xml:space="preserve"> default on for payments, sends to external recipients, deletions and permission or settings changes. A user may pre-authorize a narrow class of action within explicit limits (e.g., purchases under a cap at one merchant); the pre-authorization is itself the logged approval. Enterprise admins can make gates mandatory.</w:t>
      </w:r>
    </w:p>
    <w:p>
      <w:pPr>
        <w:pStyle w:val="ListParagraph"/>
        <w:numPr>
          <w:ilvl w:val="0"/>
          <w:numId w:val="16"/>
        </w:numPr>
      </w:pPr>
      <w:r>
        <w:rPr>
          <w:b/>
        </w:rPr>
        <w:t xml:space="preserve">ASG-12 (P0) Run timeline.</w:t>
      </w:r>
      <w:r>
        <w:t xml:space="preserve"> Each step's inputs, outputs, connector calls, model, tokens, cost and supervisor verdict, exportable.</w:t>
      </w:r>
    </w:p>
    <w:p>
      <w:pPr>
        <w:pStyle w:val="ListParagraph"/>
        <w:numPr>
          <w:ilvl w:val="0"/>
          <w:numId w:val="16"/>
        </w:numPr>
      </w:pPr>
      <w:r>
        <w:rPr>
          <w:b/>
        </w:rPr>
        <w:t xml:space="preserve">ASG-13 (P0) Kill switch.</w:t>
      </w:r>
      <w:r>
        <w:t xml:space="preserve"> Users can pause or cancel any run; enterprise admins can suspend a user's runs or all runs.</w:t>
      </w:r>
    </w:p>
    <w:p>
      <w:pPr>
        <w:pStyle w:val="Heading3"/>
      </w:pPr>
      <w:r>
        <w:t xml:space="preserve">7.4 Work queues</w:t>
      </w:r>
    </w:p>
    <w:p>
      <w:pPr>
        <w:pStyle w:val="ListParagraph"/>
        <w:numPr>
          <w:ilvl w:val="0"/>
          <w:numId w:val="17"/>
        </w:numPr>
      </w:pPr>
      <w:r>
        <w:rPr>
          <w:b/>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17"/>
        </w:numPr>
      </w:pPr>
      <w:r>
        <w:rPr>
          <w:b/>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role and authority checks, and auto-actions require medium or high; low-confidence mail goes to a review lane and is never auto-actioned.</w:t>
      </w:r>
    </w:p>
    <w:p>
      <w:pPr>
        <w:pStyle w:val="ListParagraph"/>
        <w:numPr>
          <w:ilvl w:val="0"/>
          <w:numId w:val="17"/>
        </w:numPr>
      </w:pPr>
      <w:r>
        <w:rPr>
          <w:b/>
        </w:rPr>
        <w:t xml:space="preserve">ASG-16 (P1)</w:t>
      </w:r>
      <w:r>
        <w:t xml:space="preserve"> Items auto-execute only when confidence is above a threshold and the action is on the user's pre-authorized list; otherwise they wait for a click.</w:t>
      </w:r>
    </w:p>
    <w:p>
      <w:pPr>
        <w:pStyle w:val="ListParagraph"/>
        <w:numPr>
          <w:ilvl w:val="0"/>
          <w:numId w:val="18"/>
        </w:numPr>
      </w:pPr>
      <w:r>
        <w:rPr>
          <w:b/>
        </w:rPr>
        <w:t xml:space="preserve">ASG-17 (P0) Sender throttling.</w:t>
      </w:r>
      <w:r>
        <w:t xml:space="preserve"> Event triggers are rate-limited per sender (default 20 queue items per sender per day; the excess goes to a review lane), and bursts of near-duplicate requests from one sender are flagged. Auto-execution (ASG-16) switches off for a sender after any rejected, flagged or invalid item until the queue owner turns it back on, so an attacker can't send many variants until one gets through.</w:t>
      </w:r>
    </w:p>
    <w:p>
      <w:pPr>
        <w:pStyle w:val="Heading3"/>
      </w:pPr>
      <w:r>
        <w:t xml:space="preserve">7.5 Runtime semantics</w:t>
      </w:r>
    </w:p>
    <w:p>
      <w:pPr/>
      <w:r>
        <w:t xml:space="preserve">Seven behaviors need explicit rules before build. Each has a proposed default that owners can override per assignment; the defaults are still to be confirmed (§21).</w:t>
      </w:r>
    </w:p>
    <w:p>
      <w:pPr>
        <w:pStyle w:val="ListParagraph"/>
        <w:numPr>
          <w:ilvl w:val="0"/>
          <w:numId w:val="19"/>
        </w:numPr>
      </w:pPr>
      <w:r>
        <w:rPr>
          <w:b/>
        </w:rPr>
        <w:t xml:space="preserve">RUN-01 (P0) Overlapping runs.</w:t>
      </w:r>
      <w:r>
        <w:t xml:space="preserve"> Each assignment has a concurrency policy: skip, queue (bounded), replace (cancel the older run at its next safe point) or run concurrently (capped). Defaults: a scheduled trigger skips and notifies when the previous run is still active; per-item event triggers (one email, one webhook) run concurrently up to 5, then queue in order.</w:t>
      </w:r>
    </w:p>
    <w:p>
      <w:pPr>
        <w:pStyle w:val="ListParagraph"/>
        <w:numPr>
          <w:ilvl w:val="0"/>
          <w:numId w:val="19"/>
        </w:numPr>
      </w:pPr>
      <w:r>
        <w:rPr>
          <w:b/>
        </w:rPr>
        <w:t xml:space="preserve">RUN-02 (P0) Trigger deduplication.</w:t>
      </w:r>
      <w:r>
        <w:t xml:space="preserve"> Every trigger event gets a dedup key — the provider's event or delivery ID, the email Message-ID, or a hash of source and payload — and the key is kept at least as long as the source can redeliver or replay events (declared per connector; default 30 days).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19"/>
        </w:numPr>
      </w:pPr>
      <w:r>
        <w:rPr>
          <w:b/>
        </w:rPr>
        <w:t xml:space="preserve">RUN-03 (P0) New versions and future runs.</w:t>
      </w:r>
      <w:r>
        <w:t xml:space="preserve"> In-flight runs stay on their version. Future runs use the latest published version unless the owner pins one.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19"/>
        </w:numPr>
      </w:pPr>
      <w:r>
        <w:rPr>
          <w:b/>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expire after 7 days by default.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w:t>
      </w:r>
    </w:p>
    <w:p>
      <w:pPr>
        <w:pStyle w:val="ListParagraph"/>
        <w:numPr>
          <w:ilvl w:val="0"/>
          <w:numId w:val="19"/>
        </w:numPr>
      </w:pPr>
      <w:r>
        <w:rPr>
          <w:b/>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w:t>
      </w:r>
    </w:p>
    <w:p>
      <w:pPr>
        <w:pStyle w:val="ListParagraph"/>
        <w:numPr>
          <w:ilvl w:val="0"/>
          <w:numId w:val="19"/>
        </w:numPr>
      </w:pPr>
      <w:r>
        <w:rPr>
          <w:b/>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needs approval when consequential). The builder warns when an irreversible step comes before steps that can fail and suggests moving it last. Compensations are actions too, so they pass the same gateway, policy and authorization.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w:t>
      </w:r>
    </w:p>
    <w:p>
      <w:pPr>
        <w:pStyle w:val="ListParagraph"/>
        <w:numPr>
          <w:ilvl w:val="0"/>
          <w:numId w:val="20"/>
        </w:numPr>
      </w:pPr>
      <w:r>
        <w:rPr>
          <w:b/>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Class (d) actions need approval each time unless they are compensable.</w:t>
      </w:r>
    </w:p>
    <w:p>
      <w:pPr/>
      <w:r>
        <w:drawing>
          <wp:inline distT="0" distB="0" distL="0" distR="0">
            <wp:extent cx="5486400" cy="4122964"/>
            <wp:docPr id="2" name="image2" descr="Failure handling (RUN-06) · 3 questions, 3 terminal outcomes"/>
            <a:graphic xmlns:a="http://schemas.openxmlformats.org/drawingml/2006/main">
              <a:graphicData uri="http://schemas.openxmlformats.org/drawingml/2006/picture">
                <pic:pic xmlns:pic="http://schemas.openxmlformats.org/drawingml/2006/picture">
                  <pic:nvPicPr>
                    <pic:cNvPr id="2" name="image2" descr="Failure handling (RUN-06) · 3 questions, 3 terminal outcomes"/>
                    <pic:cNvPicPr/>
                  </pic:nvPicPr>
                  <pic:blipFill>
                    <a:blip r:embed="rId4"/>
                    <a:stretch>
                      <a:fillRect/>
                    </a:stretch>
                  </pic:blipFill>
                  <pic:spPr>
                    <a:xfrm>
                      <a:off x="0" y="0"/>
                      <a:ext cx="5486400" cy="4122964"/>
                    </a:xfrm>
                    <a:prstGeom prst="rect">
                      <a:avLst/>
                    </a:prstGeom>
                  </pic:spPr>
                </pic:pic>
              </a:graphicData>
            </a:graphic>
          </wp:inline>
        </w:drawing>
      </w:r>
    </w:p>
    <w:p>
      <w:pPr/>
      <w:r>
        <w:t xml:space="preserve">Failure handling (RUN-06) · 3 questions, 3 terminal outcomes</w:t>
      </w:r>
    </w:p>
    <w:p>
      <w:pPr/>
      <w:r>
        <w:t xml:space="preserve">An irreversible effect, such as a sent email, makes the last answer "no", which is why the builder pushes irreversible steps to the end of an assignment.</w:t>
      </w:r>
    </w:p>
    <w:p>
      <w:pPr>
        <w:pStyle w:val="Heading3"/>
      </w:pPr>
      <w:r>
        <w:t xml:space="preserve">7.6 Run states</w:t>
      </w:r>
    </w:p>
    <w:p>
      <w:pPr/>
      <w:r>
        <w:t xml:space="preserve">Waiting is part of normal work, a pause needs someone to act, and only terminal states are outcomes. A paused run keeps everything it has done and holds no budget it hasn't spent.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State</w:t>
            </w:r>
          </w:p>
        </w:tc>
        <w:tc>
          <w:tcPr>
            <w:tcW w:w="1560" w:type="dxa"/>
            <w:shd w:val="clear" w:color="auto" w:fill="F2F2F2"/>
          </w:tcPr>
          <w:p>
            <w:pPr/>
            <w:r>
              <w:t xml:space="preserve">Kind</w:t>
            </w:r>
          </w:p>
        </w:tc>
        <w:tc>
          <w:tcPr>
            <w:tcW w:w="1560" w:type="dxa"/>
            <w:shd w:val="clear" w:color="auto" w:fill="F2F2F2"/>
          </w:tcPr>
          <w:p>
            <w:pPr/>
            <w:r>
              <w:t xml:space="preserve">Entered when</w:t>
            </w:r>
          </w:p>
        </w:tc>
        <w:tc>
          <w:tcPr>
            <w:tcW w:w="1560" w:type="dxa"/>
            <w:shd w:val="clear" w:color="auto" w:fill="F2F2F2"/>
          </w:tcPr>
          <w:p>
            <w:pPr/>
            <w:r>
              <w:t xml:space="preserve">Leaves when</w:t>
            </w:r>
          </w:p>
        </w:tc>
        <w:tc>
          <w:tcPr>
            <w:tcW w:w="1560" w:type="dxa"/>
            <w:shd w:val="clear" w:color="auto" w:fill="F2F2F2"/>
          </w:tcPr>
          <w:p>
            <w:pPr/>
            <w:r>
              <w:t xml:space="preserve">Budget reservation</w:t>
            </w:r>
          </w:p>
        </w:tc>
        <w:tc>
          <w:tcPr>
            <w:tcW w:w="1560" w:type="dxa"/>
            <w:shd w:val="clear" w:color="auto" w:fill="F2F2F2"/>
          </w:tcPr>
          <w:p>
            <w:pPr/>
            <w:r>
              <w:t xml:space="preserve">Open approvals</w:t>
            </w:r>
          </w:p>
        </w:tc>
      </w:tr>
      <w:tr>
        <w:tc>
          <w:tcPr>
            <w:tcW w:w="1560" w:type="dxa"/>
          </w:tcPr>
          <w:p>
            <w:pPr/>
            <w:r>
              <w:t xml:space="preserve">Queued</w:t>
            </w:r>
          </w:p>
        </w:tc>
        <w:tc>
          <w:tcPr>
            <w:tcW w:w="1560" w:type="dxa"/>
          </w:tcPr>
          <w:p>
            <w:pPr/>
            <w:r>
              <w:t xml:space="preserve">Active</w:t>
            </w:r>
          </w:p>
        </w:tc>
        <w:tc>
          <w:tcPr>
            <w:tcW w:w="1560" w:type="dxa"/>
          </w:tcPr>
          <w:p>
            <w:pPr/>
            <w:r>
              <w:t xml:space="preserve">A trigger is accepted after dedup (RUN-02)</w:t>
            </w:r>
          </w:p>
        </w:tc>
        <w:tc>
          <w:tcPr>
            <w:tcW w:w="1560" w:type="dxa"/>
          </w:tcPr>
          <w:p>
            <w:pPr/>
            <w:r>
              <w:t xml:space="preserve">A concurrency slot frees (RUN-01)</w:t>
            </w:r>
          </w:p>
        </w:tc>
        <w:tc>
          <w:tcPr>
            <w:tcW w:w="1560" w:type="dxa"/>
          </w:tcPr>
          <w:p>
            <w:pPr/>
            <w:r>
              <w:t xml:space="preserve">None</w:t>
            </w:r>
          </w:p>
        </w:tc>
        <w:tc>
          <w:tcPr>
            <w:tcW w:w="1560" w:type="dxa"/>
          </w:tcPr>
          <w:p>
            <w:pPr/>
            <w:r>
              <w:t xml:space="preserve">—</w:t>
            </w:r>
          </w:p>
        </w:tc>
      </w:tr>
      <w:tr>
        <w:tc>
          <w:tcPr>
            <w:tcW w:w="1560" w:type="dxa"/>
          </w:tcPr>
          <w:p>
            <w:pPr/>
            <w:r>
              <w:t xml:space="preserve">Running</w:t>
            </w:r>
          </w:p>
        </w:tc>
        <w:tc>
          <w:tcPr>
            <w:tcW w:w="1560" w:type="dxa"/>
          </w:tcPr>
          <w:p>
            <w:pPr/>
            <w:r>
              <w:t xml:space="preserve">Active</w:t>
            </w:r>
          </w:p>
        </w:tc>
        <w:tc>
          <w:tcPr>
            <w:tcW w:w="1560" w:type="dxa"/>
          </w:tcPr>
          <w:p>
            <w:pPr/>
            <w:r>
              <w:t xml:space="preserve">A step executes</w:t>
            </w:r>
          </w:p>
        </w:tc>
        <w:tc>
          <w:tcPr>
            <w:tcW w:w="1560" w:type="dxa"/>
          </w:tcPr>
          <w:p>
            <w:pPr/>
            <w:r>
              <w:t xml:space="preserve">The step completes, waits, pauses or fails</w:t>
            </w:r>
          </w:p>
        </w:tc>
        <w:tc>
          <w:tcPr>
            <w:tcW w:w="1560" w:type="dxa"/>
          </w:tcPr>
          <w:p>
            <w:pPr/>
            <w:r>
              <w:t xml:space="preserve">Held for the current operation only</w:t>
            </w:r>
          </w:p>
        </w:tc>
        <w:tc>
          <w:tcPr>
            <w:tcW w:w="1560" w:type="dxa"/>
          </w:tcPr>
          <w:p>
            <w:pPr/>
            <w:r>
              <w:t xml:space="preserve">—</w:t>
            </w:r>
          </w:p>
        </w:tc>
      </w:tr>
      <w:tr>
        <w:tc>
          <w:tcPr>
            <w:tcW w:w="1560" w:type="dxa"/>
          </w:tcPr>
          <w:p>
            <w:pPr/>
            <w:r>
              <w:t xml:space="preserve">Waiting: person</w:t>
            </w:r>
          </w:p>
        </w:tc>
        <w:tc>
          <w:tcPr>
            <w:tcW w:w="1560" w:type="dxa"/>
          </w:tcPr>
          <w:p>
            <w:pPr/>
            <w:r>
              <w:t xml:space="preserve">Waiting</w:t>
            </w:r>
          </w:p>
        </w:tc>
        <w:tc>
          <w:tcPr>
            <w:tcW w:w="1560" w:type="dxa"/>
          </w:tcPr>
          <w:p>
            <w:pPr/>
            <w:r>
              <w:t xml:space="preserve">Approval, input or review is requested (ASG-10)</w:t>
            </w:r>
          </w:p>
        </w:tc>
        <w:tc>
          <w:tcPr>
            <w:tcW w:w="1560" w:type="dxa"/>
          </w:tcPr>
          <w:p>
            <w:pPr/>
            <w:r>
              <w:t xml:space="preserve">The person responds; a timeout reminds, escalates or cancels</w:t>
            </w:r>
          </w:p>
        </w:tc>
        <w:tc>
          <w:tcPr>
            <w:tcW w:w="1560" w:type="dxa"/>
          </w:tcPr>
          <w:p>
            <w:pPr/>
            <w:r>
              <w:t xml:space="preserve">Released</w:t>
            </w:r>
          </w:p>
        </w:tc>
        <w:tc>
          <w:tcPr>
            <w:tcW w:w="1560" w:type="dxa"/>
          </w:tcPr>
          <w:p>
            <w:pPr/>
            <w:r>
              <w:t xml:space="preserve">Valid until expiry or a base-version change (RUN-04)</w:t>
            </w:r>
          </w:p>
        </w:tc>
      </w:tr>
      <w:tr>
        <w:tc>
          <w:tcPr>
            <w:tcW w:w="1560" w:type="dxa"/>
          </w:tcPr>
          <w:p>
            <w:pPr/>
            <w:r>
              <w:t xml:space="preserve">Waiting: timer or device</w:t>
            </w:r>
          </w:p>
        </w:tc>
        <w:tc>
          <w:tcPr>
            <w:tcW w:w="1560" w:type="dxa"/>
          </w:tcPr>
          <w:p>
            <w:pPr/>
            <w:r>
              <w:t xml:space="preserve">Waiting</w:t>
            </w:r>
          </w:p>
        </w:tc>
        <w:tc>
          <w:tcPr>
            <w:tcW w:w="1560" w:type="dxa"/>
          </w:tcPr>
          <w:p>
            <w:pPr/>
            <w:r>
              <w:t xml:space="preserve">A scheduled step, or the device is offline (SCH-07)</w:t>
            </w:r>
          </w:p>
        </w:tc>
        <w:tc>
          <w:tcPr>
            <w:tcW w:w="1560" w:type="dxa"/>
          </w:tcPr>
          <w:p>
            <w:pPr/>
            <w:r>
              <w:t xml:space="preserve">The timer fires or the device returns</w:t>
            </w:r>
          </w:p>
        </w:tc>
        <w:tc>
          <w:tcPr>
            <w:tcW w:w="1560" w:type="dxa"/>
          </w:tcPr>
          <w:p>
            <w:pPr/>
            <w:r>
              <w:t xml:space="preserve">Released</w:t>
            </w:r>
          </w:p>
        </w:tc>
        <w:tc>
          <w:tcPr>
            <w:tcW w:w="1560" w:type="dxa"/>
          </w:tcPr>
          <w:p>
            <w:pPr/>
            <w:r>
              <w:t xml:space="preserve">Unchanged</w:t>
            </w:r>
          </w:p>
        </w:tc>
      </w:tr>
      <w:tr>
        <w:tc>
          <w:tcPr>
            <w:tcW w:w="1560" w:type="dxa"/>
          </w:tcPr>
          <w:p>
            <w:pPr/>
            <w:r>
              <w:t xml:space="preserve">Paused: budget</w:t>
            </w:r>
          </w:p>
        </w:tc>
        <w:tc>
          <w:tcPr>
            <w:tcW w:w="1560" w:type="dxa"/>
          </w:tcPr>
          <w:p>
            <w:pPr/>
            <w:r>
              <w:t xml:space="preserve">Paused</w:t>
            </w:r>
          </w:p>
        </w:tc>
        <w:tc>
          <w:tcPr>
            <w:tcW w:w="1560" w:type="dxa"/>
          </w:tcPr>
          <w:p>
            <w:pPr/>
            <w:r>
              <w:t xml:space="preserve">A reservation would exceed a limit (BUD-03)</w:t>
            </w:r>
          </w:p>
        </w:tc>
        <w:tc>
          <w:tcPr>
            <w:tcW w:w="1560" w:type="dxa"/>
          </w:tcPr>
          <w:p>
            <w:pPr/>
            <w:r>
              <w:t xml:space="preserve">An increase is approved at the level that blocked it (BUD-04)</w:t>
            </w:r>
          </w:p>
        </w:tc>
        <w:tc>
          <w:tcPr>
            <w:tcW w:w="1560" w:type="dxa"/>
          </w:tcPr>
          <w:p>
            <w:pPr/>
            <w:r>
              <w:t xml:space="preserve">Released; reserved again on resume</w:t>
            </w:r>
          </w:p>
        </w:tc>
        <w:tc>
          <w:tcPr>
            <w:tcW w:w="1560" w:type="dxa"/>
          </w:tcPr>
          <w:p>
            <w:pPr/>
            <w:r>
              <w:t xml:space="preserve">Kept; re-checked on resume</w:t>
            </w:r>
          </w:p>
        </w:tc>
      </w:tr>
      <w:tr>
        <w:tc>
          <w:tcPr>
            <w:tcW w:w="1560" w:type="dxa"/>
          </w:tcPr>
          <w:p>
            <w:pPr/>
            <w:r>
              <w:t xml:space="preserve">Paused: re-authorization</w:t>
            </w:r>
          </w:p>
        </w:tc>
        <w:tc>
          <w:tcPr>
            <w:tcW w:w="1560" w:type="dxa"/>
          </w:tcPr>
          <w:p>
            <w:pPr/>
            <w:r>
              <w:t xml:space="preserve">Paused</w:t>
            </w:r>
          </w:p>
        </w:tc>
        <w:tc>
          <w:tcPr>
            <w:tcW w:w="1560" w:type="dxa"/>
          </w:tcPr>
          <w:p>
            <w:pPr/>
            <w:r>
              <w:t xml:space="preserve">A grant is revoked, expired or needs step-up (RUN-04, RUN-05)</w:t>
            </w:r>
          </w:p>
        </w:tc>
        <w:tc>
          <w:tcPr>
            <w:tcW w:w="1560" w:type="dxa"/>
          </w:tcPr>
          <w:p>
            <w:pPr/>
            <w:r>
              <w:t xml:space="preserve">The user re-consents</w:t>
            </w:r>
          </w:p>
        </w:tc>
        <w:tc>
          <w:tcPr>
            <w:tcW w:w="1560" w:type="dxa"/>
          </w:tcPr>
          <w:p>
            <w:pPr/>
            <w:r>
              <w:t xml:space="preserve">Released</w:t>
            </w:r>
          </w:p>
        </w:tc>
        <w:tc>
          <w:tcPr>
            <w:tcW w:w="1560" w:type="dxa"/>
          </w:tcPr>
          <w:p>
            <w:pPr/>
            <w:r>
              <w:t xml:space="preserve">Kept; re-checked on resume</w:t>
            </w:r>
          </w:p>
        </w:tc>
      </w:tr>
      <w:tr>
        <w:tc>
          <w:tcPr>
            <w:tcW w:w="1560" w:type="dxa"/>
          </w:tcPr>
          <w:p>
            <w:pPr/>
            <w:r>
              <w:t xml:space="preserve">Paused: re-acceptance</w:t>
            </w:r>
          </w:p>
        </w:tc>
        <w:tc>
          <w:tcPr>
            <w:tcW w:w="1560" w:type="dxa"/>
          </w:tcPr>
          <w:p>
            <w:pPr/>
            <w:r>
              <w:t xml:space="preserve">Paused</w:t>
            </w:r>
          </w:p>
        </w:tc>
        <w:tc>
          <w:tcPr>
            <w:tcW w:w="1560" w:type="dxa"/>
          </w:tcPr>
          <w:p>
            <w:pPr/>
            <w:r>
              <w:t xml:space="preserve">A trigger fires on a version awaiting acceptance (RUN-03)</w:t>
            </w:r>
          </w:p>
        </w:tc>
        <w:tc>
          <w:tcPr>
            <w:tcW w:w="1560" w:type="dxa"/>
          </w:tcPr>
          <w:p>
            <w:pPr/>
            <w:r>
              <w:t xml:space="preserve">The owner accepts the version</w:t>
            </w:r>
          </w:p>
        </w:tc>
        <w:tc>
          <w:tcPr>
            <w:tcW w:w="1560" w:type="dxa"/>
          </w:tcPr>
          <w:p>
            <w:pPr/>
            <w:r>
              <w:t xml:space="preserve">Released</w:t>
            </w:r>
          </w:p>
        </w:tc>
        <w:tc>
          <w:tcPr>
            <w:tcW w:w="1560" w:type="dxa"/>
          </w:tcPr>
          <w:p>
            <w:pPr/>
            <w:r>
              <w:t xml:space="preserve">—</w:t>
            </w:r>
          </w:p>
        </w:tc>
      </w:tr>
      <w:tr>
        <w:tc>
          <w:tcPr>
            <w:tcW w:w="1560" w:type="dxa"/>
          </w:tcPr>
          <w:p>
            <w:pPr/>
            <w:r>
              <w:t xml:space="preserve">Paused: outcome unknown</w:t>
            </w:r>
          </w:p>
        </w:tc>
        <w:tc>
          <w:tcPr>
            <w:tcW w:w="1560" w:type="dxa"/>
          </w:tcPr>
          <w:p>
            <w:pPr/>
            <w:r>
              <w:t xml:space="preserve">Paused</w:t>
            </w:r>
          </w:p>
        </w:tc>
        <w:tc>
          <w:tcPr>
            <w:tcW w:w="1560" w:type="dxa"/>
          </w:tcPr>
          <w:p>
            <w:pPr/>
            <w:r>
              <w:t xml:space="preserve">A class (d) write's result is uncertain (RUN-07)</w:t>
            </w:r>
          </w:p>
        </w:tc>
        <w:tc>
          <w:tcPr>
            <w:tcW w:w="1560" w:type="dxa"/>
          </w:tcPr>
          <w:p>
            <w:pPr/>
            <w:r>
              <w:t xml:space="preserve">A person resolves the repair item</w:t>
            </w:r>
          </w:p>
        </w:tc>
        <w:tc>
          <w:tcPr>
            <w:tcW w:w="1560" w:type="dxa"/>
          </w:tcPr>
          <w:p>
            <w:pPr/>
            <w:r>
              <w:t xml:space="preserve">Released</w:t>
            </w:r>
          </w:p>
        </w:tc>
        <w:tc>
          <w:tcPr>
            <w:tcW w:w="1560" w:type="dxa"/>
          </w:tcPr>
          <w:p>
            <w:pPr/>
            <w:r>
              <w:t xml:space="preserve">Kept</w:t>
            </w:r>
          </w:p>
        </w:tc>
      </w:tr>
      <w:tr>
        <w:tc>
          <w:tcPr>
            <w:tcW w:w="1560" w:type="dxa"/>
          </w:tcPr>
          <w:p>
            <w:pPr/>
            <w:r>
              <w:t xml:space="preserve">Paused: by user or admin</w:t>
            </w:r>
          </w:p>
        </w:tc>
        <w:tc>
          <w:tcPr>
            <w:tcW w:w="1560" w:type="dxa"/>
          </w:tcPr>
          <w:p>
            <w:pPr/>
            <w:r>
              <w:t xml:space="preserve">Paused</w:t>
            </w:r>
          </w:p>
        </w:tc>
        <w:tc>
          <w:tcPr>
            <w:tcW w:w="1560" w:type="dxa"/>
          </w:tcPr>
          <w:p>
            <w:pPr/>
            <w:r>
              <w:t xml:space="preserve">Pause or kill switch (ASG-13)</w:t>
            </w:r>
          </w:p>
        </w:tc>
        <w:tc>
          <w:tcPr>
            <w:tcW w:w="1560" w:type="dxa"/>
          </w:tcPr>
          <w:p>
            <w:pPr/>
            <w:r>
              <w:t xml:space="preserve">Resume</w:t>
            </w:r>
          </w:p>
        </w:tc>
        <w:tc>
          <w:tcPr>
            <w:tcW w:w="1560" w:type="dxa"/>
          </w:tcPr>
          <w:p>
            <w:pPr/>
            <w:r>
              <w:t xml:space="preserve">Released</w:t>
            </w:r>
          </w:p>
        </w:tc>
        <w:tc>
          <w:tcPr>
            <w:tcW w:w="1560" w:type="dxa"/>
          </w:tcPr>
          <w:p>
            <w:pPr/>
            <w:r>
              <w:t xml:space="preserve">Kept; re-checked on resume</w:t>
            </w:r>
          </w:p>
        </w:tc>
      </w:tr>
      <w:tr>
        <w:tc>
          <w:tcPr>
            <w:tcW w:w="1560" w:type="dxa"/>
          </w:tcPr>
          <w:p>
            <w:pPr/>
            <w:r>
              <w:t xml:space="preserve">Succeeded, Failed, Rolled back, Completed with partial side effects</w:t>
            </w:r>
          </w:p>
        </w:tc>
        <w:tc>
          <w:tcPr>
            <w:tcW w:w="1560" w:type="dxa"/>
          </w:tcPr>
          <w:p>
            <w:pPr/>
            <w:r>
              <w:t xml:space="preserve">Terminal</w:t>
            </w:r>
          </w:p>
        </w:tc>
        <w:tc>
          <w:tcPr>
            <w:tcW w:w="1560" w:type="dxa"/>
          </w:tcPr>
          <w:p>
            <w:pPr/>
            <w:r>
              <w:t xml:space="preserve">See RUN-06</w:t>
            </w:r>
          </w:p>
        </w:tc>
        <w:tc>
          <w:tcPr>
            <w:tcW w:w="1560" w:type="dxa"/>
          </w:tcPr>
          <w:p>
            <w:pPr/>
            <w:r>
              <w:t xml:space="preserve">—</w:t>
            </w:r>
          </w:p>
        </w:tc>
        <w:tc>
          <w:tcPr>
            <w:tcW w:w="1560" w:type="dxa"/>
          </w:tcPr>
          <w:p>
            <w:pPr/>
            <w:r>
              <w:t xml:space="preserve">Settled</w:t>
            </w:r>
          </w:p>
        </w:tc>
        <w:tc>
          <w:tcPr>
            <w:tcW w:w="1560" w:type="dxa"/>
          </w:tcPr>
          <w:p>
            <w:pPr/>
            <w:r>
              <w:t xml:space="preserve">Withdrawn</w:t>
            </w:r>
          </w:p>
        </w:tc>
      </w:tr>
      <w:tr>
        <w:tc>
          <w:tcPr>
            <w:tcW w:w="1560" w:type="dxa"/>
          </w:tcPr>
          <w:p>
            <w:pPr/>
            <w:r>
              <w:t xml:space="preserve">Cancelled</w:t>
            </w:r>
          </w:p>
        </w:tc>
        <w:tc>
          <w:tcPr>
            <w:tcW w:w="1560" w:type="dxa"/>
          </w:tcPr>
          <w:p>
            <w:pPr/>
            <w:r>
              <w:t xml:space="preserve">Terminal</w:t>
            </w:r>
          </w:p>
        </w:tc>
        <w:tc>
          <w:tcPr>
            <w:tcW w:w="1560" w:type="dxa"/>
          </w:tcPr>
          <w:p>
            <w:pPr/>
            <w:r>
              <w:t xml:space="preserve">A user or admin cancels; the user is deprovisioned (runs pause within 60 s per CON-06, then cancel); or a pause outlasts 14 days (default). Only when no side effects were applied</w:t>
            </w:r>
          </w:p>
        </w:tc>
        <w:tc>
          <w:tcPr>
            <w:tcW w:w="1560" w:type="dxa"/>
          </w:tcPr>
          <w:p>
            <w:pPr/>
            <w:r>
              <w:t xml:space="preserve">—</w:t>
            </w:r>
          </w:p>
        </w:tc>
        <w:tc>
          <w:tcPr>
            <w:tcW w:w="1560" w:type="dxa"/>
          </w:tcPr>
          <w:p>
            <w:pPr/>
            <w:r>
              <w:t xml:space="preserve">Settled</w:t>
            </w:r>
          </w:p>
        </w:tc>
        <w:tc>
          <w:tcPr>
            <w:tcW w:w="1560" w:type="dxa"/>
          </w:tcPr>
          <w:p>
            <w:pPr/>
            <w:r>
              <w:t xml:space="preserve">Withdrawn</w:t>
            </w:r>
          </w:p>
        </w:tc>
      </w:tr>
    </w:tbl>
    <w:p>
      <w:pPr>
        <w:pStyle w:val="ListParagraph"/>
        <w:numPr>
          <w:ilvl w:val="0"/>
          <w:numId w:val="21"/>
        </w:numPr>
      </w:pPr>
      <w:r>
        <w:t xml:space="preserve">On resume, completed steps never re-run; the next step gets a fresh token (RUN-04) and a new reservation.</w:t>
      </w:r>
    </w:p>
    <w:p>
      <w:pPr>
        <w:pStyle w:val="ListParagraph"/>
        <w:numPr>
          <w:ilvl w:val="0"/>
          <w:numId w:val="21"/>
        </w:numPr>
      </w:pPr>
      <w:r>
        <w:t xml:space="preserve">Effects already applied stay applied and stay listed on the run timeline.</w:t>
      </w:r>
    </w:p>
    <w:p>
      <w:pPr>
        <w:pStyle w:val="ListParagraph"/>
        <w:numPr>
          <w:ilvl w:val="0"/>
          <w:numId w:val="21"/>
        </w:numPr>
      </w:pPr>
      <w:r>
        <w:t xml:space="preserve">Cancelling a run that has applied effects goes through RUN-06 instead, ending Rolled back or Completed with partial side effects.</w:t>
      </w:r>
    </w:p>
    <w:p>
      <w:pPr>
        <w:pStyle w:val="Heading2"/>
      </w:pPr>
      <w:r>
        <w:t xml:space="preserve">8. Budgets, cost estimates and alerts</w:t>
      </w:r>
    </w:p>
    <w:p>
      <w:pPr/>
      <w:r>
        <w:t xml:space="preserve">Every assignment has a hard AI budget that cannot be exceeded without the owner's explicit authorization. The guarantee comes from reserving each billable operation's worst-case cost before it starts, not from after-the-fact accounting.</w:t>
      </w:r>
    </w:p>
    <w:p>
      <w:pPr/>
      <w:r>
        <w:rPr>
          <w:b/>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2"/>
        </w:numPr>
      </w:pPr>
      <w:r>
        <w:rPr>
          <w:b/>
        </w:rPr>
        <w:t xml:space="preserve">BUD-01 (P0)</w:t>
      </w:r>
      <w:r>
        <w:t xml:space="preserve"> Each assignment has an AI budget per run and per period (day, week or month). </w:t>
      </w:r>
      <w:r>
        <w:rPr>
          <w:i/>
        </w:rPr>
        <w:t xml:space="preserve">(Confirm the budget period.)</w:t>
      </w:r>
    </w:p>
    <w:p>
      <w:pPr>
        <w:pStyle w:val="ListParagraph"/>
        <w:numPr>
          <w:ilvl w:val="0"/>
          <w:numId w:val="22"/>
        </w:numPr>
      </w:pPr>
      <w:r>
        <w:rPr>
          <w:b/>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2"/>
        </w:numPr>
      </w:pPr>
      <w:r>
        <w:rPr>
          <w:b/>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and expire if left unsettled.</w:t>
      </w:r>
    </w:p>
    <w:p>
      <w:pPr>
        <w:pStyle w:val="ListParagraph"/>
        <w:numPr>
          <w:ilvl w:val="0"/>
          <w:numId w:val="22"/>
        </w:numPr>
      </w:pPr>
      <w:r>
        <w:rPr>
          <w:b/>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2"/>
        </w:numPr>
      </w:pPr>
      <w:r>
        <w:rPr>
          <w:b/>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2"/>
        </w:numPr>
      </w:pPr>
      <w:r>
        <w:rPr>
          <w:b/>
        </w:rPr>
        <w:t xml:space="preserve">BUD-06 (P0, Enterprise) Budget hierarchy.</w:t>
      </w:r>
      <w:r>
        <w:t xml:space="preserve"> Organization → department or group → user → assignment. The most restrictive remaining limit wins.</w:t>
      </w:r>
    </w:p>
    <w:p>
      <w:pPr>
        <w:pStyle w:val="ListParagraph"/>
        <w:numPr>
          <w:ilvl w:val="0"/>
          <w:numId w:val="22"/>
        </w:numPr>
      </w:pPr>
      <w:r>
        <w:rPr>
          <w:b/>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2"/>
        </w:numPr>
      </w:pPr>
      <w:r>
        <w:rPr>
          <w:b/>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2"/>
        </w:numPr>
      </w:pPr>
      <w:r>
        <w:rPr>
          <w:b/>
        </w:rPr>
        <w:t xml:space="preserve">BUD-09 (P1) Cost anomalies.</w:t>
      </w:r>
      <w:r>
        <w:t xml:space="preserve"> Flag runs costing more than 3× their trailing median.</w:t>
      </w:r>
    </w:p>
    <w:p>
      <w:pPr>
        <w:pStyle w:val="ListParagraph"/>
        <w:numPr>
          <w:ilvl w:val="0"/>
          <w:numId w:val="22"/>
        </w:numPr>
      </w:pPr>
      <w:r>
        <w:rPr>
          <w:b/>
        </w:rPr>
        <w:t xml:space="preserve">BUD-10 (P0) Atomic reservations across levels.</w:t>
      </w:r>
      <w:r>
        <w:t xml:space="preserve"> One reservation is a single transaction against every applicable ledger — assignment, user, group, organization — and succeeds only if all of them have headroom; otherwise nothing is reserved. Concurrent runs therefore can't jointly exceed any limit.</w:t>
      </w:r>
    </w:p>
    <w:p>
      <w:pPr>
        <w:pStyle w:val="Heading2"/>
      </w:pPr>
      <w:r>
        <w:t xml:space="preserve">9. Auto-router, supervisor and model performance inventory</w:t>
      </w:r>
    </w:p>
    <w:p>
      <w:pPr/>
      <w:r>
        <w:t xml:space="preserve">The router picks the cheapest model predicted to clear the task's quality bar; the supervisor checks the work, steps in when it is wrong, and feeds the outcome back so the next pick is better.</w:t>
      </w:r>
    </w:p>
    <w:p>
      <w:pPr>
        <w:pStyle w:val="Heading3"/>
      </w:pPr>
      <w:r>
        <w:t xml:space="preserve">9.1 Auto-router</w:t>
      </w:r>
    </w:p>
    <w:p>
      <w:pPr>
        <w:pStyle w:val="ListParagraph"/>
        <w:numPr>
          <w:ilvl w:val="0"/>
          <w:numId w:val="23"/>
        </w:numPr>
      </w:pPr>
      <w:r>
        <w:rPr>
          <w:b/>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w:t>
      </w:r>
    </w:p>
    <w:p>
      <w:pPr>
        <w:pStyle w:val="ListParagraph"/>
        <w:numPr>
          <w:ilvl w:val="0"/>
          <w:numId w:val="23"/>
        </w:numPr>
      </w:pPr>
      <w:r>
        <w:rPr>
          <w:b/>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pStyle w:val="Code"/>
      </w:pPr>
      <w:bookmarkStart w:id="1" w:name="bongo_lang_latex_1"/>
      <w:bookmarkEnd w:id="1"/>
      <w:r>
        <w:t xml:space="preserve">m^{*} = \arg\min_{m \in E} \frac{\hat{c}(m)}{p_{\mathrm{LB}}(m, t)} \quad \text{subject to} \quad p_{\mathrm{LB}}(m, t) \ge q_t</w:t>
      </w:r>
    </w:p>
    <w:p>
      <w:pPr>
        <w:pStyle w:val="ListParagraph"/>
        <w:numPr>
          <w:ilvl w:val="0"/>
          <w:numId w:val="24"/>
        </w:numPr>
      </w:pPr>
      <w:r>
        <w:t xml:space="preserve">Notation: ĉ(m) is the estimated cost of one attempt and q_t the quality bar; p_LB(m,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p_LB prices in the retries a weaker model will need.</w:t>
      </w:r>
    </w:p>
    <w:p>
      <w:pPr>
        <w:pStyle w:val="ListParagraph"/>
        <w:numPr>
          <w:ilvl w:val="0"/>
          <w:numId w:val="24"/>
        </w:numPr>
      </w:pPr>
      <w:r>
        <w:rPr>
          <w:b/>
        </w:rPr>
        <w:t xml:space="preserve">RTR-03 (P0) Cascade.</w:t>
      </w:r>
      <w:r>
        <w:t xml:space="preserve"> Optionally start on a cheaper model and escalate when the supervisor's check fails.</w:t>
      </w:r>
    </w:p>
    <w:p>
      <w:pPr>
        <w:pStyle w:val="ListParagraph"/>
        <w:numPr>
          <w:ilvl w:val="0"/>
          <w:numId w:val="24"/>
        </w:numPr>
      </w:pPr>
      <w:r>
        <w:rPr>
          <w:b/>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4"/>
        </w:numPr>
      </w:pPr>
      <w:r>
        <w:rPr>
          <w:b/>
        </w:rPr>
        <w:t xml:space="preserve">RTR-05 (P0) Overrides.</w:t>
      </w:r>
      <w:r>
        <w:t xml:space="preserve"> Users can pin a model per task; admins can force or forbid models per group or task type.</w:t>
      </w:r>
    </w:p>
    <w:p>
      <w:pPr>
        <w:pStyle w:val="ListParagraph"/>
        <w:numPr>
          <w:ilvl w:val="0"/>
          <w:numId w:val="24"/>
        </w:numPr>
      </w:pPr>
      <w:r>
        <w:rPr>
          <w:b/>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4"/>
        </w:numPr>
      </w:pPr>
      <w:r>
        <w:rPr>
          <w:b/>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pStyle w:val="Heading3"/>
      </w:pPr>
      <w:r>
        <w:t xml:space="preserve">9.2 Task supervisor</w:t>
      </w:r>
    </w:p>
    <w:p>
      <w:pPr/>
      <w:r>
        <w:t xml:space="preserve">The supervisor records four kinds of evidence separately and combines them only to decide each attempt's verified-success label (INV-06), so "96% on extraction" always says which evidence it rests 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Evidence class</w:t>
            </w:r>
          </w:p>
        </w:tc>
        <w:tc>
          <w:tcPr>
            <w:tcW w:w="1872" w:type="dxa"/>
            <w:shd w:val="clear" w:color="auto" w:fill="F2F2F2"/>
          </w:tcPr>
          <w:p>
            <w:pPr/>
            <w:r>
              <w:t xml:space="preserve">What it establishes</w:t>
            </w:r>
          </w:p>
        </w:tc>
        <w:tc>
          <w:tcPr>
            <w:tcW w:w="1872" w:type="dxa"/>
            <w:shd w:val="clear" w:color="auto" w:fill="F2F2F2"/>
          </w:tcPr>
          <w:p>
            <w:pPr/>
            <w:r>
              <w:t xml:space="preserve">Examples</w:t>
            </w:r>
          </w:p>
        </w:tc>
        <w:tc>
          <w:tcPr>
            <w:tcW w:w="1872" w:type="dxa"/>
            <w:shd w:val="clear" w:color="auto" w:fill="F2F2F2"/>
          </w:tcPr>
          <w:p>
            <w:pPr/>
            <w:r>
              <w:t xml:space="preserve">Judged by</w:t>
            </w:r>
          </w:p>
        </w:tc>
        <w:tc>
          <w:tcPr>
            <w:tcW w:w="1872" w:type="dxa"/>
            <w:shd w:val="clear" w:color="auto" w:fill="F2F2F2"/>
          </w:tcPr>
          <w:p>
            <w:pPr/>
            <w:r>
              <w:t xml:space="preserve">Signal arrives</w:t>
            </w:r>
          </w:p>
        </w:tc>
      </w:tr>
      <w:tr>
        <w:tc>
          <w:tcPr>
            <w:tcW w:w="1872" w:type="dxa"/>
          </w:tcPr>
          <w:p>
            <w:pPr/>
            <w:r>
              <w:t xml:space="preserve">Deterministic</w:t>
            </w:r>
          </w:p>
        </w:tc>
        <w:tc>
          <w:tcPr>
            <w:tcW w:w="1872" w:type="dxa"/>
          </w:tcPr>
          <w:p>
            <w:pPr/>
            <w:r>
              <w:t xml:space="preserve">Verifiable facts about the output</w:t>
            </w:r>
          </w:p>
        </w:tc>
        <w:tc>
          <w:tcPr>
            <w:tcW w:w="1872" w:type="dxa"/>
          </w:tcPr>
          <w:p>
            <w:pPr/>
            <w:r>
              <w:t xml:space="preserve">Schema validates; one row per device; totals add up; referenced IDs exist; each cited quote exists in the source, matches exactly and isn't hidden</w:t>
            </w:r>
          </w:p>
        </w:tc>
        <w:tc>
          <w:tcPr>
            <w:tcW w:w="1872" w:type="dxa"/>
          </w:tcPr>
          <w:p>
            <w:pPr/>
            <w:r>
              <w:t xml:space="preserve">Code</w:t>
            </w:r>
          </w:p>
        </w:tc>
        <w:tc>
          <w:tcPr>
            <w:tcW w:w="1872" w:type="dxa"/>
          </w:tcPr>
          <w:p>
            <w:pPr/>
            <w:r>
              <w:t xml:space="preserve">Immediately</w:t>
            </w:r>
          </w:p>
        </w:tc>
      </w:tr>
      <w:tr>
        <w:tc>
          <w:tcPr>
            <w:tcW w:w="1872" w:type="dxa"/>
          </w:tcPr>
          <w:p>
            <w:pPr/>
            <w:r>
              <w:t xml:space="preserve">Grounded</w:t>
            </w:r>
          </w:p>
        </w:tc>
        <w:tc>
          <w:tcPr>
            <w:tcW w:w="1872" w:type="dxa"/>
          </w:tcPr>
          <w:p>
            <w:pPr/>
            <w:r>
              <w:t xml:space="preserve">The output faithfully reflects source material (probabilistic)</w:t>
            </w:r>
          </w:p>
        </w:tc>
        <w:tc>
          <w:tcPr>
            <w:tcW w:w="1872" w:type="dxa"/>
          </w:tcPr>
          <w:p>
            <w:pPr/>
            <w:r>
              <w:t xml:space="preserve">Each cited passage actually supports its claim (an exact quote can still be negated by its own sentence); narrative matches retrieved data</w:t>
            </w:r>
          </w:p>
        </w:tc>
        <w:tc>
          <w:tcPr>
            <w:tcW w:w="1872" w:type="dxa"/>
          </w:tcPr>
          <w:p>
            <w:pPr/>
            <w:r>
              <w:t xml:space="preserve">Cross-family judge model + citation checks</w:t>
            </w:r>
          </w:p>
        </w:tc>
        <w:tc>
          <w:tcPr>
            <w:tcW w:w="1872" w:type="dxa"/>
          </w:tcPr>
          <w:p>
            <w:pPr/>
            <w:r>
              <w:t xml:space="preserve">Immediately</w:t>
            </w:r>
          </w:p>
        </w:tc>
      </w:tr>
      <w:tr>
        <w:tc>
          <w:tcPr>
            <w:tcW w:w="1872" w:type="dxa"/>
          </w:tcPr>
          <w:p>
            <w:pPr/>
            <w:r>
              <w:t xml:space="preserve">Subjective</w:t>
            </w:r>
          </w:p>
        </w:tc>
        <w:tc>
          <w:tcPr>
            <w:tcW w:w="1872" w:type="dxa"/>
          </w:tcPr>
          <w:p>
            <w:pPr/>
            <w:r>
              <w:t xml:space="preserve">Quality as a person would judge it</w:t>
            </w:r>
          </w:p>
        </w:tc>
        <w:tc>
          <w:tcPr>
            <w:tcW w:w="1872" w:type="dxa"/>
          </w:tcPr>
          <w:p>
            <w:pPr/>
            <w:r>
              <w:t xml:space="preserve">Writing quality, usefulness, quality of recommendations</w:t>
            </w:r>
          </w:p>
        </w:tc>
        <w:tc>
          <w:tcPr>
            <w:tcW w:w="1872" w:type="dxa"/>
          </w:tcPr>
          <w:p>
            <w:pPr/>
            <w:r>
              <w:t xml:space="preserve">Ratings; judge model with a rubric; evaluation set</w:t>
            </w:r>
          </w:p>
        </w:tc>
        <w:tc>
          <w:tcPr>
            <w:tcW w:w="1872" w:type="dxa"/>
          </w:tcPr>
          <w:p>
            <w:pPr/>
            <w:r>
              <w:t xml:space="preserve">Minutes to days</w:t>
            </w:r>
          </w:p>
        </w:tc>
      </w:tr>
      <w:tr>
        <w:tc>
          <w:tcPr>
            <w:tcW w:w="1872" w:type="dxa"/>
          </w:tcPr>
          <w:p>
            <w:pPr/>
            <w:r>
              <w:t xml:space="preserve">Outcome</w:t>
            </w:r>
          </w:p>
        </w:tc>
        <w:tc>
          <w:tcPr>
            <w:tcW w:w="1872" w:type="dxa"/>
          </w:tcPr>
          <w:p>
            <w:pPr/>
            <w:r>
              <w:t xml:space="preserve">The work held up in the real world</w:t>
            </w:r>
          </w:p>
        </w:tc>
        <w:tc>
          <w:tcPr>
            <w:tcW w:w="1872" w:type="dxa"/>
          </w:tcPr>
          <w:p>
            <w:pPr/>
            <w:r>
              <w:t xml:space="preserve">Accepted without edits; ticket correctly routed; no later correction</w:t>
            </w:r>
          </w:p>
        </w:tc>
        <w:tc>
          <w:tcPr>
            <w:tcW w:w="1872" w:type="dxa"/>
          </w:tcPr>
          <w:p>
            <w:pPr/>
            <w:r>
              <w:t xml:space="preserve">User and system events</w:t>
            </w:r>
          </w:p>
        </w:tc>
        <w:tc>
          <w:tcPr>
            <w:tcW w:w="1872" w:type="dxa"/>
          </w:tcPr>
          <w:p>
            <w:pPr/>
            <w:r>
              <w:t xml:space="preserve">Hours to weeks</w:t>
            </w:r>
          </w:p>
        </w:tc>
      </w:tr>
    </w:tbl>
    <w:p>
      <w:pPr>
        <w:pStyle w:val="ListParagraph"/>
        <w:numPr>
          <w:ilvl w:val="0"/>
          <w:numId w:val="25"/>
        </w:numPr>
      </w:pPr>
      <w:r>
        <w:rPr>
          <w:b/>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5"/>
        </w:numPr>
      </w:pPr>
      <w:r>
        <w:rPr>
          <w:b/>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w:t>
      </w:r>
    </w:p>
    <w:p>
      <w:pPr>
        <w:pStyle w:val="ListParagraph"/>
        <w:numPr>
          <w:ilvl w:val="0"/>
          <w:numId w:val="25"/>
        </w:numPr>
      </w:pPr>
      <w:r>
        <w:rPr>
          <w:b/>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same assignment budget and appear on the run timeline.</w:t>
      </w:r>
    </w:p>
    <w:p>
      <w:pPr>
        <w:pStyle w:val="ListParagraph"/>
        <w:numPr>
          <w:ilvl w:val="0"/>
          <w:numId w:val="25"/>
        </w:numPr>
      </w:pPr>
      <w:r>
        <w:rPr>
          <w:b/>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5"/>
        </w:numPr>
      </w:pPr>
      <w:r>
        <w:rPr>
          <w:b/>
        </w:rPr>
        <w:t xml:space="preserve">SUP-05 (P1) Improvement suggestions,</w:t>
      </w:r>
      <w:r>
        <w:t xml:space="preserve"> e.g., "Task 3 fails 20% of the time on model X; model Y would add $0.40 per month and fix most failures."</w:t>
      </w:r>
    </w:p>
    <w:p>
      <w:pPr>
        <w:pStyle w:val="ListParagraph"/>
        <w:numPr>
          <w:ilvl w:val="0"/>
          <w:numId w:val="25"/>
        </w:numPr>
      </w:pPr>
      <w:r>
        <w:rPr>
          <w:b/>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pStyle w:val="Heading3"/>
      </w:pPr>
      <w:r>
        <w:t xml:space="preserve">9.3 Model performance inventory</w:t>
      </w:r>
    </w:p>
    <w:p>
      <w:pPr>
        <w:pStyle w:val="ListParagraph"/>
        <w:numPr>
          <w:ilvl w:val="0"/>
          <w:numId w:val="26"/>
        </w:numPr>
      </w:pPr>
      <w:r>
        <w:rPr>
          <w:b/>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6"/>
        </w:numPr>
      </w:pPr>
      <w:r>
        <w:rPr>
          <w:b/>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6"/>
        </w:numPr>
      </w:pPr>
      <w:r>
        <w:rPr>
          <w:b/>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6"/>
        </w:numPr>
      </w:pPr>
      <w:r>
        <w:rPr>
          <w:b/>
        </w:rPr>
        <w:t xml:space="preserve">INV-04 (P0, Enterprise)</w:t>
      </w:r>
      <w:r>
        <w:t xml:space="preserve"> Admin dashboard: the inventory, the cost-vs-quality frontier per task type, and models trending worse.</w:t>
      </w:r>
    </w:p>
    <w:p>
      <w:pPr>
        <w:pStyle w:val="ListParagraph"/>
        <w:numPr>
          <w:ilvl w:val="0"/>
          <w:numId w:val="26"/>
        </w:numPr>
      </w:pPr>
      <w:r>
        <w:rPr>
          <w:b/>
        </w:rPr>
        <w:t xml:space="preserve">INV-05 (P1)</w:t>
      </w:r>
      <w:r>
        <w:t xml:space="preserve"> Opt-in, anonymized cross-tenant benchmarks to improve priors; otherwise tenant data never leaves the tenant.</w:t>
      </w:r>
    </w:p>
    <w:p>
      <w:pPr>
        <w:pStyle w:val="ListParagraph"/>
        <w:numPr>
          <w:ilvl w:val="0"/>
          <w:numId w:val="27"/>
        </w:numPr>
      </w:pPr>
      <w:r>
        <w:rPr>
          <w:b/>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7"/>
        </w:numPr>
      </w:pPr>
      <w:r>
        <w:rPr>
          <w:b/>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pStyle w:val="Heading2"/>
      </w:pPr>
      <w:r>
        <w:t xml:space="preserve">10. Templates</w:t>
      </w:r>
    </w:p>
    <w:p>
      <w:pPr/>
      <w:r>
        <w:t xml:space="preserve">A template fixes the shape of a recurring output — sections, tables, charts, narrative slots and styling — so each run refreshes the content without changing the format.</w:t>
      </w:r>
    </w:p>
    <w:p>
      <w:pPr/>
      <w:r>
        <w:rPr>
          <w:b/>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8"/>
        </w:numPr>
      </w:pPr>
      <w:r>
        <w:rPr>
          <w:b/>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8"/>
        </w:numPr>
      </w:pPr>
      <w:r>
        <w:rPr>
          <w:b/>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8"/>
        </w:numPr>
      </w:pPr>
      <w:r>
        <w:rPr>
          <w:b/>
        </w:rPr>
        <w:t xml:space="preserve">TPL-03 (P0) Editions.</w:t>
      </w:r>
      <w:r>
        <w:t xml:space="preserve"> Each run produces a new edition. Editions are kept with diffs ("critical vulnerabilities 142 → 118") and can be compared side by side.</w:t>
      </w:r>
    </w:p>
    <w:p>
      <w:pPr>
        <w:pStyle w:val="ListParagraph"/>
        <w:numPr>
          <w:ilvl w:val="0"/>
          <w:numId w:val="28"/>
        </w:numPr>
      </w:pPr>
      <w:r>
        <w:rPr>
          <w:b/>
        </w:rPr>
        <w:t xml:space="preserve">TPL-04 (P0) Editor.</w:t>
      </w:r>
      <w:r>
        <w:t xml:space="preserve"> Visual layout plus "describe the report" AI drafting, previewed with the last run's data.</w:t>
      </w:r>
    </w:p>
    <w:p>
      <w:pPr>
        <w:pStyle w:val="ListParagraph"/>
        <w:numPr>
          <w:ilvl w:val="0"/>
          <w:numId w:val="28"/>
        </w:numPr>
      </w:pPr>
      <w:r>
        <w:rPr>
          <w:b/>
        </w:rPr>
        <w:t xml:space="preserve">TPL-05 (P0) Export and publish.</w:t>
      </w:r>
      <w:r>
        <w:t xml:space="preserve"> PDF, DOCX, PPTX, XLSX, Markdown and a live web view; publish to SharePoint, Google Drive, email, Slack or Teams through connectors.</w:t>
      </w:r>
    </w:p>
    <w:p>
      <w:pPr>
        <w:pStyle w:val="ListParagraph"/>
        <w:numPr>
          <w:ilvl w:val="0"/>
          <w:numId w:val="28"/>
        </w:numPr>
      </w:pPr>
      <w:r>
        <w:rPr>
          <w:b/>
        </w:rPr>
        <w:t xml:space="preserve">TPL-06 (P0) Versioning.</w:t>
      </w:r>
      <w:r>
        <w:t xml:space="preserve"> An assignment pins a template version and offers to upgrade when a new one is published.</w:t>
      </w:r>
    </w:p>
    <w:p>
      <w:pPr>
        <w:pStyle w:val="ListParagraph"/>
        <w:numPr>
          <w:ilvl w:val="0"/>
          <w:numId w:val="28"/>
        </w:numPr>
      </w:pPr>
      <w:r>
        <w:rPr>
          <w:b/>
        </w:rPr>
        <w:t xml:space="preserve">TPL-07 (P0) Citations.</w:t>
      </w:r>
      <w:r>
        <w:t xml:space="preserve"> Every narrative sentence links to the task output or data rows it came from.</w:t>
      </w:r>
    </w:p>
    <w:p>
      <w:pPr>
        <w:pStyle w:val="ListParagraph"/>
        <w:numPr>
          <w:ilvl w:val="0"/>
          <w:numId w:val="28"/>
        </w:numPr>
      </w:pPr>
      <w:r>
        <w:rPr>
          <w:b/>
        </w:rPr>
        <w:t xml:space="preserve">TPL-08 (P1)</w:t>
      </w:r>
      <w:r>
        <w:t xml:space="preserve"> Brand kits (fonts, colors, logo) per organization or household.</w:t>
      </w:r>
    </w:p>
    <w:p>
      <w:pPr>
        <w:pStyle w:val="ListParagraph"/>
        <w:numPr>
          <w:ilvl w:val="0"/>
          <w:numId w:val="28"/>
        </w:numPr>
      </w:pPr>
      <w:r>
        <w:rPr>
          <w:b/>
        </w:rPr>
        <w:t xml:space="preserve">TPL-09 (P1)</w:t>
      </w:r>
      <w:r>
        <w:t xml:space="preserve"> Share templates within a team or organization; a public gallery is P2.</w:t>
      </w:r>
    </w:p>
    <w:p>
      <w:pPr>
        <w:pStyle w:val="Heading2"/>
      </w:pPr>
      <w:r>
        <w:t xml:space="preserve">11. Scheduling and triggers</w:t>
      </w:r>
    </w:p>
    <w:p>
      <w:pPr/>
      <w:r>
        <w:t xml:space="preserve">Assignments and individual tasks can start on a schedule, an event or a person's location, and every schedule feeds the cost forecast before it is saved.</w:t>
      </w:r>
    </w:p>
    <w:p>
      <w:pPr/>
      <w:r>
        <w:rPr>
          <w:b/>
        </w:rPr>
        <w:t xml:space="preserve">Proximity example.</w:t>
      </w:r>
      <w:r>
        <w:t xml:space="preserve"> The approved meal plan includes delivery on Thursday. The meal-plan run creates a one-night proximity trigger: on Thursday between 17:00 and 20:00, when the phone enters the "Home" zone, Collicity orders the meal (cloud connector, subject to §14), sets the thermostat and turns on the lights (HomeKit actions run on the phone; other smart-home platforms run from the cloud). The trigger then expires.</w:t>
      </w:r>
    </w:p>
    <w:p>
      <w:pPr>
        <w:pStyle w:val="ListParagraph"/>
        <w:numPr>
          <w:ilvl w:val="0"/>
          <w:numId w:val="29"/>
        </w:numPr>
      </w:pPr>
      <w:r>
        <w:rPr>
          <w:b/>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9"/>
        </w:numPr>
      </w:pPr>
      <w:r>
        <w:rPr>
          <w:b/>
        </w:rPr>
        <w:t xml:space="preserve">SCH-02 (P0) Cost-aware scheduling.</w:t>
      </w:r>
      <w:r>
        <w:t xml:space="preserve"> Changing a schedule updates the projected period cost (BUD-02) and warns before saving if the projection exceeds the budget.</w:t>
      </w:r>
    </w:p>
    <w:p>
      <w:pPr>
        <w:pStyle w:val="ListParagraph"/>
        <w:numPr>
          <w:ilvl w:val="0"/>
          <w:numId w:val="29"/>
        </w:numPr>
      </w:pPr>
      <w:r>
        <w:rPr>
          <w:b/>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9"/>
        </w:numPr>
      </w:pPr>
      <w:r>
        <w:rPr>
          <w:b/>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9"/>
        </w:numPr>
      </w:pPr>
      <w:r>
        <w:rPr>
          <w:b/>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9"/>
        </w:numPr>
      </w:pPr>
      <w:r>
        <w:rPr>
          <w:b/>
        </w:rPr>
        <w:t xml:space="preserve">SCH-06 (P0) Missed triggers.</w:t>
      </w:r>
      <w:r>
        <w:t xml:space="preserve"> If the device was offline or the trigger fires outside its window, the owner's chosen policy applies: skip, run late, or ask.</w:t>
      </w:r>
    </w:p>
    <w:p>
      <w:pPr>
        <w:pStyle w:val="ListParagraph"/>
        <w:numPr>
          <w:ilvl w:val="0"/>
          <w:numId w:val="29"/>
        </w:numPr>
      </w:pPr>
      <w:r>
        <w:rPr>
          <w:b/>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9"/>
        </w:numPr>
      </w:pPr>
      <w:r>
        <w:rPr>
          <w:b/>
        </w:rPr>
        <w:t xml:space="preserve">SCH-08 (P1) Calendar triggers,</w:t>
      </w:r>
      <w:r>
        <w:t xml:space="preserve"> e.g., "one hour before any meeting with external attendees".</w:t>
      </w:r>
    </w:p>
    <w:p>
      <w:pPr>
        <w:pStyle w:val="Heading2"/>
      </w:pPr>
      <w:r>
        <w:t xml:space="preserve">12. Ask-anything and chat</w:t>
      </w:r>
    </w:p>
    <w:p>
      <w:pPr/>
      <w:r>
        <w:t xml:space="preserve">Users can question any template, assignment, task, run or output in place, and use a general chat with the model of their choice — both bound by the same permissions as everything else.</w:t>
      </w:r>
    </w:p>
    <w:p>
      <w:pPr>
        <w:pStyle w:val="ListParagraph"/>
        <w:numPr>
          <w:ilvl w:val="0"/>
          <w:numId w:val="30"/>
        </w:numPr>
      </w:pPr>
      <w:r>
        <w:rPr>
          <w:b/>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30"/>
        </w:numPr>
      </w:pPr>
      <w:r>
        <w:rPr>
          <w:b/>
        </w:rPr>
        <w:t xml:space="preserve">QA-02 (P0)</w:t>
      </w:r>
      <w:r>
        <w:t xml:space="preserve"> Answers cite their sources: run steps, data rows, documents.</w:t>
      </w:r>
    </w:p>
    <w:p>
      <w:pPr>
        <w:pStyle w:val="ListParagraph"/>
        <w:numPr>
          <w:ilvl w:val="0"/>
          <w:numId w:val="30"/>
        </w:numPr>
      </w:pPr>
      <w:r>
        <w:rPr>
          <w:b/>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30"/>
        </w:numPr>
      </w:pPr>
      <w:r>
        <w:rPr>
          <w:b/>
        </w:rPr>
        <w:t xml:space="preserve">QA-04 (P0) Chat.</w:t>
      </w:r>
      <w:r>
        <w:t xml:space="preserve"> Choose any allowed model or "Auto"; history, file attachments, and connectors under the same delegation rules. Each message shows its cost, which counts against a chat budget.</w:t>
      </w:r>
    </w:p>
    <w:p>
      <w:pPr>
        <w:pStyle w:val="ListParagraph"/>
        <w:numPr>
          <w:ilvl w:val="0"/>
          <w:numId w:val="30"/>
        </w:numPr>
      </w:pPr>
      <w:r>
        <w:rPr>
          <w:b/>
        </w:rPr>
        <w:t xml:space="preserve">QA-05 (P0)</w:t>
      </w:r>
      <w:r>
        <w:t xml:space="preserve"> "Turn this into an assignment" hands a chat to the builder with its context.</w:t>
      </w:r>
    </w:p>
    <w:p>
      <w:pPr>
        <w:pStyle w:val="ListParagraph"/>
        <w:numPr>
          <w:ilvl w:val="0"/>
          <w:numId w:val="30"/>
        </w:numPr>
      </w:pPr>
      <w:r>
        <w:rPr>
          <w:b/>
        </w:rPr>
        <w:t xml:space="preserve">QA-06 (P1)</w:t>
      </w:r>
      <w:r>
        <w:t xml:space="preserve"> Compare mode: one prompt to two or three models side by side.</w:t>
      </w:r>
    </w:p>
    <w:p>
      <w:pPr>
        <w:pStyle w:val="ListParagraph"/>
        <w:numPr>
          <w:ilvl w:val="0"/>
          <w:numId w:val="30"/>
        </w:numPr>
      </w:pPr>
      <w:r>
        <w:rPr>
          <w:b/>
        </w:rPr>
        <w:t xml:space="preserve">QA-07 (P1)</w:t>
      </w:r>
      <w:r>
        <w:t xml:space="preserve"> Voice input on mobile.</w:t>
      </w:r>
    </w:p>
    <w:p>
      <w:pPr>
        <w:pStyle w:val="Heading2"/>
      </w:pPr>
      <w:r>
        <w:t xml:space="preserve">13. Editions, identity and model providers</w:t>
      </w:r>
    </w:p>
    <w:p>
      <w:pPr/>
      <w:r>
        <w:t xml:space="preserve">Home optimizes for zero-setup sign-in and personal use; Enterprise adds SSO, central governance and security monitoring on the same product.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Home</w:t>
            </w:r>
          </w:p>
        </w:tc>
        <w:tc>
          <w:tcPr>
            <w:tcW w:w="3120" w:type="dxa"/>
            <w:shd w:val="clear" w:color="auto" w:fill="F2F2F2"/>
          </w:tcPr>
          <w:p>
            <w:pPr/>
            <w:r>
              <w:t xml:space="preserve">Enterprise</w:t>
            </w:r>
          </w:p>
        </w:tc>
      </w:tr>
      <w:tr>
        <w:tc>
          <w:tcPr>
            <w:tcW w:w="3120" w:type="dxa"/>
          </w:tcPr>
          <w:p>
            <w:pPr/>
            <w:r>
              <w:t xml:space="preserve">Sign-in</w:t>
            </w:r>
          </w:p>
        </w:tc>
        <w:tc>
          <w:tcPr>
            <w:tcW w:w="3120" w:type="dxa"/>
          </w:tcPr>
          <w:p>
            <w:pPr/>
            <w:r>
              <w:t xml:space="preserve">OIDC / OAuth with Google, Apple, Microsoft personal, Facebook; passkeys; email link</w:t>
            </w:r>
          </w:p>
        </w:tc>
        <w:tc>
          <w:tcPr>
            <w:tcW w:w="3120" w:type="dxa"/>
          </w:tcPr>
          <w:p>
            <w:pPr/>
            <w:r>
              <w:t xml:space="preserve">SAML 2.0 or OIDC SSO with Okta, Entra ID, Ping, Google Workspace or any standards-based IdP; SCIM 2.0 provisioning</w:t>
            </w:r>
          </w:p>
        </w:tc>
      </w:tr>
      <w:tr>
        <w:tc>
          <w:tcPr>
            <w:tcW w:w="3120" w:type="dxa"/>
          </w:tcPr>
          <w:p>
            <w:pPr/>
            <w:r>
              <w:t xml:space="preserve">MFA</w:t>
            </w:r>
          </w:p>
        </w:tc>
        <w:tc>
          <w:tcPr>
            <w:tcW w:w="3120" w:type="dxa"/>
          </w:tcPr>
          <w:p>
            <w:pPr/>
            <w:r>
              <w:t xml:space="preserve">Passkeys or the provider's MFA; step-up for payments</w:t>
            </w:r>
          </w:p>
        </w:tc>
        <w:tc>
          <w:tcPr>
            <w:tcW w:w="3120" w:type="dxa"/>
          </w:tcPr>
          <w:p>
            <w:pPr/>
            <w:r>
              <w:t xml:space="preserve">Inherited from the IdP and its conditional access; step-up for risky actions</w:t>
            </w:r>
          </w:p>
        </w:tc>
      </w:tr>
      <w:tr>
        <w:tc>
          <w:tcPr>
            <w:tcW w:w="3120" w:type="dxa"/>
          </w:tcPr>
          <w:p>
            <w:pPr/>
            <w:r>
              <w:t xml:space="preserve">Administration</w:t>
            </w:r>
          </w:p>
        </w:tc>
        <w:tc>
          <w:tcPr>
            <w:tcW w:w="3120" w:type="dxa"/>
          </w:tcPr>
          <w:p>
            <w:pPr/>
            <w:r>
              <w:t xml:space="preserve">Account settings</w:t>
            </w:r>
          </w:p>
        </w:tc>
        <w:tc>
          <w:tcPr>
            <w:tcW w:w="3120" w:type="dxa"/>
          </w:tcPr>
          <w:p>
            <w:pPr/>
            <w:r>
              <w:t xml:space="preserve">Central admin console (below)</w:t>
            </w:r>
          </w:p>
        </w:tc>
      </w:tr>
      <w:tr>
        <w:tc>
          <w:tcPr>
            <w:tcW w:w="3120" w:type="dxa"/>
          </w:tcPr>
          <w:p>
            <w:pPr/>
            <w:r>
              <w:t xml:space="preserve">Budgets</w:t>
            </w:r>
          </w:p>
        </w:tc>
        <w:tc>
          <w:tcPr>
            <w:tcW w:w="3120" w:type="dxa"/>
          </w:tcPr>
          <w:p>
            <w:pPr/>
            <w:r>
              <w:t xml:space="preserve">Monthly account cap + per assignment</w:t>
            </w:r>
          </w:p>
        </w:tc>
        <w:tc>
          <w:tcPr>
            <w:tcW w:w="3120" w:type="dxa"/>
          </w:tcPr>
          <w:p>
            <w:pPr/>
            <w:r>
              <w:t xml:space="preserve">Organization → group → user → assignment</w:t>
            </w:r>
          </w:p>
        </w:tc>
      </w:tr>
      <w:tr>
        <w:tc>
          <w:tcPr>
            <w:tcW w:w="3120" w:type="dxa"/>
          </w:tcPr>
          <w:p>
            <w:pPr/>
            <w:r>
              <w:t xml:space="preserve">Models</w:t>
            </w:r>
          </w:p>
        </w:tc>
        <w:tc>
          <w:tcPr>
            <w:tcW w:w="3120" w:type="dxa"/>
          </w:tcPr>
          <w:p>
            <w:pPr/>
            <w:r>
              <w:t xml:space="preserve">Default provider or own keys</w:t>
            </w:r>
          </w:p>
        </w:tc>
        <w:tc>
          <w:tcPr>
            <w:tcW w:w="3120" w:type="dxa"/>
          </w:tcPr>
          <w:p>
            <w:pPr/>
            <w:r>
              <w:t xml:space="preserve">Admin allow / deny lists; tenant-owned provider accounts</w:t>
            </w:r>
          </w:p>
        </w:tc>
      </w:tr>
      <w:tr>
        <w:tc>
          <w:tcPr>
            <w:tcW w:w="3120" w:type="dxa"/>
          </w:tcPr>
          <w:p>
            <w:pPr/>
            <w:r>
              <w:t xml:space="preserve">Connectors</w:t>
            </w:r>
          </w:p>
        </w:tc>
        <w:tc>
          <w:tcPr>
            <w:tcW w:w="3120" w:type="dxa"/>
          </w:tcPr>
          <w:p>
            <w:pPr/>
            <w:r>
              <w:t xml:space="preserve">Consumer catalog</w:t>
            </w:r>
          </w:p>
        </w:tc>
        <w:tc>
          <w:tcPr>
            <w:tcW w:w="3120" w:type="dxa"/>
          </w:tcPr>
          <w:p>
            <w:pPr/>
            <w:r>
              <w:t xml:space="preserve">Admin-approved catalog + custom connectors</w:t>
            </w:r>
          </w:p>
        </w:tc>
      </w:tr>
      <w:tr>
        <w:tc>
          <w:tcPr>
            <w:tcW w:w="3120" w:type="dxa"/>
          </w:tcPr>
          <w:p>
            <w:pPr/>
            <w:r>
              <w:t xml:space="preserve">Data</w:t>
            </w:r>
          </w:p>
        </w:tc>
        <w:tc>
          <w:tcPr>
            <w:tcW w:w="3120" w:type="dxa"/>
          </w:tcPr>
          <w:p>
            <w:pPr/>
            <w:r>
              <w:t xml:space="preserve">Personal; export or delete anytime</w:t>
            </w:r>
          </w:p>
        </w:tc>
        <w:tc>
          <w:tcPr>
            <w:tcW w:w="3120" w:type="dxa"/>
          </w:tcPr>
          <w:p>
            <w:pPr/>
            <w:r>
              <w:t xml:space="preserve">Tenant isolation, retention policies, US / EU residency, customer-managed keys (P1)</w:t>
            </w:r>
          </w:p>
        </w:tc>
      </w:tr>
      <w:tr>
        <w:tc>
          <w:tcPr>
            <w:tcW w:w="3120" w:type="dxa"/>
          </w:tcPr>
          <w:p>
            <w:pPr/>
            <w:r>
              <w:t xml:space="preserve">Audit</w:t>
            </w:r>
          </w:p>
        </w:tc>
        <w:tc>
          <w:tcPr>
            <w:tcW w:w="3120" w:type="dxa"/>
          </w:tcPr>
          <w:p>
            <w:pPr/>
            <w:r>
              <w:t xml:space="preserve">Personal activity log</w:t>
            </w:r>
          </w:p>
        </w:tc>
        <w:tc>
          <w:tcPr>
            <w:tcW w:w="3120" w:type="dxa"/>
          </w:tcPr>
          <w:p>
            <w:pPr/>
            <w:r>
              <w:t xml:space="preserve">Immutable audit log with SIEM export</w:t>
            </w:r>
          </w:p>
        </w:tc>
      </w:tr>
    </w:tbl>
    <w:p>
      <w:pPr/>
      <w:r>
        <w:t xml:space="preserve">iOS note: App Store guideline 4.8 requires Sign in with Apple (or an equivalent privacy-focused option) when other social logins are offered.</w:t>
      </w:r>
    </w:p>
    <w:p>
      <w:pPr>
        <w:pStyle w:val="Heading3"/>
      </w:pPr>
      <w:r>
        <w:t xml:space="preserve">13.1 Enterprise admin console</w:t>
      </w:r>
    </w:p>
    <w:p>
      <w:pPr>
        <w:pStyle w:val="ListParagraph"/>
        <w:numPr>
          <w:ilvl w:val="0"/>
          <w:numId w:val="31"/>
        </w:numPr>
      </w:pPr>
      <w:r>
        <w:rPr>
          <w:b/>
        </w:rPr>
        <w:t xml:space="preserve">ADM-01 (P0) Users and groups.</w:t>
      </w:r>
      <w:r>
        <w:t xml:space="preserve"> SCIM sync; roles: Owner, Admin, Security Auditor, Builder, Member, Viewer; license assignment.</w:t>
      </w:r>
    </w:p>
    <w:p>
      <w:pPr>
        <w:pStyle w:val="ListParagraph"/>
        <w:numPr>
          <w:ilvl w:val="0"/>
          <w:numId w:val="31"/>
        </w:numPr>
      </w:pPr>
      <w:r>
        <w:rPr>
          <w:b/>
        </w:rPr>
        <w:t xml:space="preserve">ADM-02 (P0) Budgets.</w:t>
      </w:r>
      <w:r>
        <w:t xml:space="preserve"> Organization, group and user budgets; alert thresholds; routing for over-budget requests.</w:t>
      </w:r>
    </w:p>
    <w:p>
      <w:pPr>
        <w:pStyle w:val="ListParagraph"/>
        <w:numPr>
          <w:ilvl w:val="0"/>
          <w:numId w:val="31"/>
        </w:numPr>
      </w:pPr>
      <w:r>
        <w:rPr>
          <w:b/>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31"/>
        </w:numPr>
      </w:pPr>
      <w:r>
        <w:rPr>
          <w:b/>
        </w:rPr>
        <w:t xml:space="preserve">ADM-04 (P0) Model performance.</w:t>
      </w:r>
      <w:r>
        <w:t xml:space="preserve"> Inventory dashboards (INV-04).</w:t>
      </w:r>
    </w:p>
    <w:p>
      <w:pPr>
        <w:pStyle w:val="ListParagraph"/>
        <w:numPr>
          <w:ilvl w:val="0"/>
          <w:numId w:val="31"/>
        </w:numPr>
      </w:pPr>
      <w:r>
        <w:rPr>
          <w:b/>
        </w:rPr>
        <w:t xml:space="preserve">ADM-05 (P0) Connector governance.</w:t>
      </w:r>
      <w:r>
        <w:t xml:space="preserve"> Enable pre-built connectors, approve custom ones, narrow scopes, require approvals for classes of action.</w:t>
      </w:r>
    </w:p>
    <w:p>
      <w:pPr>
        <w:pStyle w:val="ListParagraph"/>
        <w:numPr>
          <w:ilvl w:val="0"/>
          <w:numId w:val="31"/>
        </w:numPr>
      </w:pPr>
      <w:r>
        <w:rPr>
          <w:b/>
        </w:rPr>
        <w:t xml:space="preserve">ADM-06 (P0) Security monitoring.</w:t>
      </w:r>
      <w:r>
        <w:t xml:space="preserve"> Live activity feed, policy denials, anomaly alerts (unusual volume, new destinations, repeated denied calls), user and connector suspension, global kill switch; near-real-time export to Splunk, Microsoft Sentinel, syslog or webhook.</w:t>
      </w:r>
    </w:p>
    <w:p>
      <w:pPr>
        <w:pStyle w:val="ListParagraph"/>
        <w:numPr>
          <w:ilvl w:val="0"/>
          <w:numId w:val="31"/>
        </w:numPr>
      </w:pPr>
      <w:r>
        <w:rPr>
          <w:b/>
        </w:rPr>
        <w:t xml:space="preserve">ADM-07 (P0) Audit log.</w:t>
      </w:r>
      <w:r>
        <w:t xml:space="preserve"> Append-only and tamper-evident (hash-chained), searchable; holds identifiers and hashes, never payloads or prompt text (SEC-07); retention configurable, default 1 year, up to 7.</w:t>
      </w:r>
    </w:p>
    <w:p>
      <w:pPr>
        <w:pStyle w:val="ListParagraph"/>
        <w:numPr>
          <w:ilvl w:val="0"/>
          <w:numId w:val="31"/>
        </w:numPr>
      </w:pPr>
      <w:r>
        <w:rPr>
          <w:b/>
        </w:rPr>
        <w:t xml:space="preserve">ADM-08 (P1)</w:t>
      </w:r>
      <w:r>
        <w:t xml:space="preserve"> Policies exportable and importable as code, with staged rollout.</w:t>
      </w:r>
    </w:p>
    <w:p>
      <w:pPr>
        <w:pStyle w:val="Heading3"/>
      </w:pPr>
      <w:r>
        <w:t xml:space="preserve">13.2 Model providers</w:t>
      </w:r>
    </w:p>
    <w:p>
      <w:pPr>
        <w:pStyle w:val="ListParagraph"/>
        <w:numPr>
          <w:ilvl w:val="0"/>
          <w:numId w:val="32"/>
        </w:numPr>
      </w:pPr>
      <w:r>
        <w:rPr>
          <w:b/>
        </w:rPr>
        <w:t xml:space="preserve">PRV-01 (P0) Default provider.</w:t>
      </w:r>
      <w:r>
        <w:t xml:space="preserve"> Collicity-supplied models billed through Collicity credits; no setup.</w:t>
      </w:r>
    </w:p>
    <w:p>
      <w:pPr>
        <w:pStyle w:val="ListParagraph"/>
        <w:numPr>
          <w:ilvl w:val="0"/>
          <w:numId w:val="32"/>
        </w:numPr>
      </w:pPr>
      <w:r>
        <w:rPr>
          <w:b/>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32"/>
        </w:numPr>
      </w:pPr>
      <w:r>
        <w:rPr>
          <w:b/>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32"/>
        </w:numPr>
      </w:pPr>
      <w:r>
        <w:rPr>
          <w:b/>
        </w:rPr>
        <w:t xml:space="preserve">PRV-04 (P0)</w:t>
      </w:r>
      <w:r>
        <w:t xml:space="preserve"> Mixed mode with a fallback order per provider; the router only considers providers the user or tenant has configured.</w:t>
      </w:r>
    </w:p>
    <w:p>
      <w:pPr>
        <w:pStyle w:val="ListParagraph"/>
        <w:numPr>
          <w:ilvl w:val="0"/>
          <w:numId w:val="32"/>
        </w:numPr>
      </w:pPr>
      <w:r>
        <w:rPr>
          <w:b/>
        </w:rPr>
        <w:t xml:space="preserve">PRV-05 (P0)</w:t>
      </w:r>
      <w:r>
        <w:t xml:space="preserve"> Each model shows its provider's data terms (retention, training use, region) so admins can require zero-data-retention options.</w:t>
      </w:r>
    </w:p>
    <w:p>
      <w:pPr>
        <w:pStyle w:val="Heading2"/>
      </w:pPr>
      <w:r>
        <w:t xml:space="preserve">14. Payments and real-world actions</w:t>
      </w:r>
    </w:p>
    <w:p>
      <w:pPr/>
      <w:r>
        <w:t xml:space="preserve">Spending real money is a separate, stricter path than spending AI budget: its own purchase budget, a merchant allowlist, and an approval that defaults to "ask every time".</w:t>
      </w:r>
    </w:p>
    <w:p>
      <w:pPr>
        <w:pStyle w:val="ListParagraph"/>
        <w:numPr>
          <w:ilvl w:val="0"/>
          <w:numId w:val="33"/>
        </w:numPr>
      </w:pPr>
      <w:r>
        <w:rPr>
          <w:b/>
        </w:rPr>
        <w:t xml:space="preserve">PAY-01 (P0) Purchase budget,</w:t>
      </w:r>
      <w:r>
        <w:t xml:space="preserve"> separate from the AI budget: per-assignment and per-account caps, a per-transaction maximum and a per-period maximum.</w:t>
      </w:r>
    </w:p>
    <w:p>
      <w:pPr>
        <w:pStyle w:val="ListParagraph"/>
        <w:numPr>
          <w:ilvl w:val="0"/>
          <w:numId w:val="33"/>
        </w:numPr>
      </w:pPr>
      <w:r>
        <w:rPr>
          <w:b/>
        </w:rPr>
        <w:t xml:space="preserve">PAY-02 (P0) Default: approve each purchase</w:t>
      </w:r>
      <w:r>
        <w:t xml:space="preserve"> on the phone with biometrics, showing merchant, items, total including fees, tip and tax, and delivery time.</w:t>
      </w:r>
    </w:p>
    <w:p>
      <w:pPr>
        <w:pStyle w:val="ListParagraph"/>
        <w:numPr>
          <w:ilvl w:val="0"/>
          <w:numId w:val="33"/>
        </w:numPr>
      </w:pPr>
      <w:r>
        <w:rPr>
          <w:b/>
        </w:rPr>
        <w:t xml:space="preserve">PAY-03 (P0) Optional pre-authorization.</w:t>
      </w:r>
      <w:r>
        <w:t xml:space="preserve"> The user can allow auto-purchase for one assignment, named merchants and an amount ceiling. Collicity still notifies after each purchase; the pre-authorization expires (default 90 days) and can be revoked anytime.</w:t>
      </w:r>
    </w:p>
    <w:p>
      <w:pPr>
        <w:pStyle w:val="ListParagraph"/>
        <w:numPr>
          <w:ilvl w:val="0"/>
          <w:numId w:val="33"/>
        </w:numPr>
      </w:pPr>
      <w:r>
        <w:rPr>
          <w:b/>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Goal: keep Collicity out of PCI DSS cardholder-data scope.</w:t>
      </w:r>
    </w:p>
    <w:p>
      <w:pPr>
        <w:pStyle w:val="ListParagraph"/>
        <w:numPr>
          <w:ilvl w:val="0"/>
          <w:numId w:val="33"/>
        </w:numPr>
      </w:pPr>
      <w:r>
        <w:rPr>
          <w:b/>
        </w:rPr>
        <w:t xml:space="preserve">PAY-05 (P0) Price-change guard.</w:t>
      </w:r>
      <w:r>
        <w:t xml:space="preserve"> If the final total exceeds the approved amount by more than a tolerance (default 5%) or breaks any cap, stop and ask again.</w:t>
      </w:r>
    </w:p>
    <w:p>
      <w:pPr>
        <w:pStyle w:val="ListParagraph"/>
        <w:numPr>
          <w:ilvl w:val="0"/>
          <w:numId w:val="33"/>
        </w:numPr>
      </w:pPr>
      <w:r>
        <w:rPr>
          <w:b/>
        </w:rPr>
        <w:t xml:space="preserve">PAY-06 (P0) At most one order per approval,</w:t>
      </w:r>
      <w:r>
        <w:t xml:space="preserve"> enforced through the merchant's idempotency support or read-before-write duplicate detection (RUN-07); with neither, an uncertain outcome needs a fresh approval rather than a retry.</w:t>
      </w:r>
    </w:p>
    <w:p>
      <w:pPr>
        <w:pStyle w:val="ListParagraph"/>
        <w:numPr>
          <w:ilvl w:val="0"/>
          <w:numId w:val="33"/>
        </w:numPr>
      </w:pPr>
      <w:r>
        <w:rPr>
          <w:b/>
        </w:rPr>
        <w:t xml:space="preserve">PAY-07 (P0)</w:t>
      </w:r>
      <w:r>
        <w:t xml:space="preserve"> Receipts and order status attach to the run, with a visible cancel or return path.</w:t>
      </w:r>
    </w:p>
    <w:p>
      <w:pPr>
        <w:pStyle w:val="ListParagraph"/>
        <w:numPr>
          <w:ilvl w:val="0"/>
          <w:numId w:val="33"/>
        </w:numPr>
      </w:pPr>
      <w:r>
        <w:rPr>
          <w:b/>
        </w:rPr>
        <w:t xml:space="preserve">PAY-08 (P0) Safety-critical devices</w:t>
      </w:r>
      <w:r>
        <w:t xml:space="preserve"> — locks, garage doors, alarm systems — need approval every time, regardless of pre-authorization.</w:t>
      </w:r>
    </w:p>
    <w:p>
      <w:pPr>
        <w:pStyle w:val="ListParagraph"/>
        <w:numPr>
          <w:ilvl w:val="0"/>
          <w:numId w:val="33"/>
        </w:numPr>
      </w:pPr>
      <w:r>
        <w:rPr>
          <w:b/>
        </w:rPr>
        <w:t xml:space="preserve">PAY-09 (P2, Enterprise)</w:t>
      </w:r>
      <w:r>
        <w:t xml:space="preserve"> Purchasing goes through procurement systems (e.g., Coupa, SAP Ariba) under their own approval rules.</w:t>
      </w:r>
    </w:p>
    <w:p>
      <w:pPr/>
      <w:r>
        <w:rPr>
          <w:b/>
        </w:rPr>
        <w:t xml:space="preserve">Feasibility risk.</w:t>
      </w:r>
      <w:r>
        <w:t xml:space="preserve"> Unverified assumption, to check before committing: public grocery and delivery APIs mostly stop at building a cart or shoppable list, with checkout finished in the merchant's own app. Fully autonomous checkout likely needs merchant partnerships, an agent-payment protocol, or browser automation. Fallback for launch: "cart ready — tap to pay".</w:t>
      </w:r>
    </w:p>
    <w:p>
      <w:pPr>
        <w:pStyle w:val="Heading2"/>
      </w:pPr>
      <w:r>
        <w:t xml:space="preserve">15. Security, privacy and compliance</w:t>
      </w:r>
    </w:p>
    <w:p>
      <w:pPr/>
      <w:r>
        <w:t xml:space="preserve">The top threat is an agent being talked into misusing a user's legitimate access through a poisoned email, document or web page, so the controls limit what any single task can do regardless of what the model is told.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Threat</w:t>
            </w:r>
          </w:p>
        </w:tc>
        <w:tc>
          <w:tcPr>
            <w:tcW w:w="3120" w:type="dxa"/>
            <w:shd w:val="clear" w:color="auto" w:fill="F2F2F2"/>
          </w:tcPr>
          <w:p>
            <w:pPr/>
            <w:r>
              <w:t xml:space="preserve">Example</w:t>
            </w:r>
          </w:p>
        </w:tc>
        <w:tc>
          <w:tcPr>
            <w:tcW w:w="3120" w:type="dxa"/>
            <w:shd w:val="clear" w:color="auto" w:fill="F2F2F2"/>
          </w:tcPr>
          <w:p>
            <w:pPr/>
            <w:r>
              <w:t xml:space="preserve">Primary controls</w:t>
            </w:r>
          </w:p>
        </w:tc>
      </w:tr>
      <w:tr>
        <w:tc>
          <w:tcPr>
            <w:tcW w:w="3120" w:type="dxa"/>
          </w:tcPr>
          <w:p>
            <w:pPr/>
            <w:r>
              <w:t xml:space="preserve">Prompt injection via connector data</w:t>
            </w:r>
          </w:p>
        </w:tc>
        <w:tc>
          <w:tcPr>
            <w:tcW w:w="3120" w:type="dxa"/>
          </w:tcPr>
          <w:p>
            <w:pPr/>
            <w:r>
              <w:t xml:space="preserve">An email says "forward all invoices to an outside address"</w:t>
            </w:r>
          </w:p>
        </w:tc>
        <w:tc>
          <w:tcPr>
            <w:tcW w:w="3120" w:type="dxa"/>
          </w:tcPr>
          <w:p>
            <w:pPr/>
            <w:r>
              <w:t xml:space="preserve">Connector data and anything derived from it treated as untrusted (CON-10, SEC-12); capability grants (CON-02); approval on external sends; supervisor policy check</w:t>
            </w:r>
          </w:p>
        </w:tc>
      </w:tr>
      <w:tr>
        <w:tc>
          <w:tcPr>
            <w:tcW w:w="3120" w:type="dxa"/>
          </w:tcPr>
          <w:p>
            <w:pPr/>
            <w:r>
              <w:t xml:space="preserve">Obfuscated or hidden instructions</w:t>
            </w:r>
          </w:p>
        </w:tc>
        <w:tc>
          <w:tcPr>
            <w:tcW w:w="3120" w:type="dxa"/>
          </w:tcPr>
          <w:p>
            <w:pPr/>
            <w:r>
              <w:t xml:space="preserve">Instructions in Unicode tag characters, Base64, or a hidden spreadsheet sheet</w:t>
            </w:r>
          </w:p>
        </w:tc>
        <w:tc>
          <w:tcPr>
            <w:tcW w:w="3120" w:type="dxa"/>
          </w:tcPr>
          <w:p>
            <w:pPr/>
            <w:r>
              <w:t xml:space="preserve">Normalization and hidden-content flags, including attachments (CON-10)</w:t>
            </w:r>
          </w:p>
        </w:tc>
      </w:tr>
      <w:tr>
        <w:tc>
          <w:tcPr>
            <w:tcW w:w="3120" w:type="dxa"/>
          </w:tcPr>
          <w:p>
            <w:pPr/>
            <w:r>
              <w:t xml:space="preserve">Persistent injection</w:t>
            </w:r>
          </w:p>
        </w:tc>
        <w:tc>
          <w:tcPr>
            <w:tcW w:w="3120" w:type="dxa"/>
          </w:tcPr>
          <w:p>
            <w:pPr/>
            <w:r>
              <w:t xml:space="preserve">A poisoned email shapes an AI-written task description that then runs every week</w:t>
            </w:r>
          </w:p>
        </w:tc>
        <w:tc>
          <w:tcPr>
            <w:tcW w:w="3120" w:type="dxa"/>
          </w:tcPr>
          <w:p>
            <w:pPr/>
            <w:r>
              <w:t xml:space="preserve">Untrusted lineage; standing instructions change only through accepted versions (SEC-12)</w:t>
            </w:r>
          </w:p>
        </w:tc>
      </w:tr>
      <w:tr>
        <w:tc>
          <w:tcPr>
            <w:tcW w:w="3120" w:type="dxa"/>
          </w:tcPr>
          <w:p>
            <w:pPr/>
            <w:r>
              <w:t xml:space="preserve">Exfiltration through rendering</w:t>
            </w:r>
          </w:p>
        </w:tc>
        <w:tc>
          <w:tcPr>
            <w:tcW w:w="3120" w:type="dxa"/>
          </w:tcPr>
          <w:p>
            <w:pPr/>
            <w:r>
              <w:t xml:space="preserve">Model output contains an image link that sends data to an attacker's server when displayed</w:t>
            </w:r>
          </w:p>
        </w:tc>
        <w:tc>
          <w:tcPr>
            <w:tcW w:w="3120" w:type="dxa"/>
          </w:tcPr>
          <w:p>
            <w:pPr/>
            <w:r>
              <w:t xml:space="preserve">Untrusted output rendering: no auto-loaded remote resources, true link targets (SEC-11)</w:t>
            </w:r>
          </w:p>
        </w:tc>
      </w:tr>
      <w:tr>
        <w:tc>
          <w:tcPr>
            <w:tcW w:w="3120" w:type="dxa"/>
          </w:tcPr>
          <w:p>
            <w:pPr/>
            <w:r>
              <w:t xml:space="preserve">Exfiltration through an allowed channel</w:t>
            </w:r>
          </w:p>
        </w:tc>
        <w:tc>
          <w:tcPr>
            <w:tcW w:w="3120" w:type="dxa"/>
          </w:tcPr>
          <w:p>
            <w:pPr/>
            <w:r>
              <w:t xml:space="preserve">An outside requester asks for a reply "with the inventory sheet", and the draft reply carries internal data</w:t>
            </w:r>
          </w:p>
        </w:tc>
        <w:tc>
          <w:tcPr>
            <w:tcW w:w="3120" w:type="dxa"/>
          </w:tcPr>
          <w:p>
            <w:pPr/>
            <w:r>
              <w:t xml:space="preserve">Label checks on outbound content (CON-11); supervisor policy check; the approval screen shows what leaves the tenant; Collicity never sends drafts in the beta</w:t>
            </w:r>
          </w:p>
        </w:tc>
      </w:tr>
      <w:tr>
        <w:tc>
          <w:tcPr>
            <w:tcW w:w="3120" w:type="dxa"/>
          </w:tcPr>
          <w:p>
            <w:pPr/>
            <w:r>
              <w:t xml:space="preserve">Best-of-N probing</w:t>
            </w:r>
          </w:p>
        </w:tc>
        <w:tc>
          <w:tcPr>
            <w:tcW w:w="3120" w:type="dxa"/>
          </w:tcPr>
          <w:p>
            <w:pPr/>
            <w:r>
              <w:t xml:space="preserve">An attacker mails many variants of a request until one is auto-actioned</w:t>
            </w:r>
          </w:p>
        </w:tc>
        <w:tc>
          <w:tcPr>
            <w:tcW w:w="3120" w:type="dxa"/>
          </w:tcPr>
          <w:p>
            <w:pPr/>
            <w:r>
              <w:t xml:space="preserve">Per-sender limits and auto-execution cut-off (ASG-17); injection screening (SEC-13)</w:t>
            </w:r>
          </w:p>
        </w:tc>
      </w:tr>
      <w:tr>
        <w:tc>
          <w:tcPr>
            <w:tcW w:w="3120" w:type="dxa"/>
          </w:tcPr>
          <w:p>
            <w:pPr/>
            <w:r>
              <w:t xml:space="preserve">Privilege escalation / confused deputy</w:t>
            </w:r>
          </w:p>
        </w:tc>
        <w:tc>
          <w:tcPr>
            <w:tcW w:w="3120" w:type="dxa"/>
          </w:tcPr>
          <w:p>
            <w:pPr/>
            <w:r>
              <w:t xml:space="preserve">A task calls an admin API it never declared</w:t>
            </w:r>
          </w:p>
        </w:tc>
        <w:tc>
          <w:tcPr>
            <w:tcW w:w="3120" w:type="dxa"/>
          </w:tcPr>
          <w:p>
            <w:pPr/>
            <w:r>
              <w:t xml:space="preserve">Gateway policy, deny by default (CON-02, CON-03)</w:t>
            </w:r>
          </w:p>
        </w:tc>
      </w:tr>
      <w:tr>
        <w:tc>
          <w:tcPr>
            <w:tcW w:w="3120" w:type="dxa"/>
          </w:tcPr>
          <w:p>
            <w:pPr/>
            <w:r>
              <w:t xml:space="preserve">Token theft</w:t>
            </w:r>
          </w:p>
        </w:tc>
        <w:tc>
          <w:tcPr>
            <w:tcW w:w="3120" w:type="dxa"/>
          </w:tcPr>
          <w:p>
            <w:pPr/>
            <w:r>
              <w:t xml:space="preserve">A stolen refresh token is replayed</w:t>
            </w:r>
          </w:p>
        </w:tc>
        <w:tc>
          <w:tcPr>
            <w:tcW w:w="3120" w:type="dxa"/>
          </w:tcPr>
          <w:p>
            <w:pPr/>
            <w:r>
              <w:t xml:space="preserve">HSM-backed vault; tokens kept in the broker and released per step (CON-04); DPoP / mTLS binding; anomaly alerts</w:t>
            </w:r>
          </w:p>
        </w:tc>
      </w:tr>
      <w:tr>
        <w:tc>
          <w:tcPr>
            <w:tcW w:w="3120" w:type="dxa"/>
          </w:tcPr>
          <w:p>
            <w:pPr/>
            <w:r>
              <w:t xml:space="preserve">Data sent to an unapproved model</w:t>
            </w:r>
          </w:p>
        </w:tc>
        <w:tc>
          <w:tcPr>
            <w:tcW w:w="3120" w:type="dxa"/>
          </w:tcPr>
          <w:p>
            <w:pPr/>
            <w:r>
              <w:t xml:space="preserve">Confidential content routed to a non-approved provider</w:t>
            </w:r>
          </w:p>
        </w:tc>
        <w:tc>
          <w:tcPr>
            <w:tcW w:w="3120" w:type="dxa"/>
          </w:tcPr>
          <w:p>
            <w:pPr/>
            <w:r>
              <w:t xml:space="preserve">Label-aware routing (CON-11, ADM-03); zero-retention providers</w:t>
            </w:r>
          </w:p>
        </w:tc>
      </w:tr>
      <w:tr>
        <w:tc>
          <w:tcPr>
            <w:tcW w:w="3120" w:type="dxa"/>
          </w:tcPr>
          <w:p>
            <w:pPr/>
            <w:r>
              <w:t xml:space="preserve">Cross-tenant leakage</w:t>
            </w:r>
          </w:p>
        </w:tc>
        <w:tc>
          <w:tcPr>
            <w:tcW w:w="3120" w:type="dxa"/>
          </w:tcPr>
          <w:p>
            <w:pPr/>
            <w:r>
              <w:t xml:space="preserve">A bug exposes one tenant's data to another</w:t>
            </w:r>
          </w:p>
        </w:tc>
        <w:tc>
          <w:tcPr>
            <w:tcW w:w="3120" w:type="dxa"/>
          </w:tcPr>
          <w:p>
            <w:pPr/>
            <w:r>
              <w:t xml:space="preserve">Per-tenant keys; row-level security; per-tenant execution workers (dedicated for Enterprise, P1)</w:t>
            </w:r>
          </w:p>
        </w:tc>
      </w:tr>
      <w:tr>
        <w:tc>
          <w:tcPr>
            <w:tcW w:w="3120" w:type="dxa"/>
          </w:tcPr>
          <w:p>
            <w:pPr/>
            <w:r>
              <w:t xml:space="preserve">Malicious custom connector</w:t>
            </w:r>
          </w:p>
        </w:tc>
        <w:tc>
          <w:tcPr>
            <w:tcW w:w="3120" w:type="dxa"/>
          </w:tcPr>
          <w:p>
            <w:pPr/>
            <w:r>
              <w:t xml:space="preserve">A connector exfiltrates data</w:t>
            </w:r>
          </w:p>
        </w:tc>
        <w:tc>
          <w:tcPr>
            <w:tcW w:w="3120" w:type="dxa"/>
          </w:tcPr>
          <w:p>
            <w:pPr/>
            <w:r>
              <w:t xml:space="preserve">Sandbox, egress allowlist, signing, admin approval (CON-14, CON-15)</w:t>
            </w:r>
          </w:p>
        </w:tc>
      </w:tr>
      <w:tr>
        <w:tc>
          <w:tcPr>
            <w:tcW w:w="3120" w:type="dxa"/>
          </w:tcPr>
          <w:p>
            <w:pPr/>
            <w:r>
              <w:t xml:space="preserve">Runaway cost</w:t>
            </w:r>
          </w:p>
        </w:tc>
        <w:tc>
          <w:tcPr>
            <w:tcW w:w="3120" w:type="dxa"/>
          </w:tcPr>
          <w:p>
            <w:pPr/>
            <w:r>
              <w:t xml:space="preserve">A loop burns through tokens</w:t>
            </w:r>
          </w:p>
        </w:tc>
        <w:tc>
          <w:tcPr>
            <w:tcW w:w="3120" w:type="dxa"/>
          </w:tcPr>
          <w:p>
            <w:pPr/>
            <w:r>
              <w:t xml:space="preserve">Reservation-based hard stop (BUD-03); step and loop limits</w:t>
            </w:r>
          </w:p>
        </w:tc>
      </w:tr>
      <w:tr>
        <w:tc>
          <w:tcPr>
            <w:tcW w:w="3120" w:type="dxa"/>
          </w:tcPr>
          <w:p>
            <w:pPr/>
            <w:r>
              <w:t xml:space="preserve">Spoofed requester</w:t>
            </w:r>
          </w:p>
        </w:tc>
        <w:tc>
          <w:tcPr>
            <w:tcW w:w="3120" w:type="dxa"/>
          </w:tcPr>
          <w:p>
            <w:pPr/>
            <w:r>
              <w:t xml:space="preserve">A fake email from "the boss"</w:t>
            </w:r>
          </w:p>
        </w:tc>
        <w:tc>
          <w:tcPr>
            <w:tcW w:w="3120" w:type="dxa"/>
          </w:tcPr>
          <w:p>
            <w:pPr/>
            <w:r>
              <w:t xml:space="preserve">Sender identity confidence, never mail authentication or display name alone (ASG-15)</w:t>
            </w:r>
          </w:p>
        </w:tc>
      </w:tr>
      <w:tr>
        <w:tc>
          <w:tcPr>
            <w:tcW w:w="3120" w:type="dxa"/>
          </w:tcPr>
          <w:p>
            <w:pPr/>
            <w:r>
              <w:t xml:space="preserve">Unsafe physical action</w:t>
            </w:r>
          </w:p>
        </w:tc>
        <w:tc>
          <w:tcPr>
            <w:tcW w:w="3120" w:type="dxa"/>
          </w:tcPr>
          <w:p>
            <w:pPr/>
            <w:r>
              <w:t xml:space="preserve">A spoofed location unlocks a door</w:t>
            </w:r>
          </w:p>
        </w:tc>
        <w:tc>
          <w:tcPr>
            <w:tcW w:w="3120" w:type="dxa"/>
          </w:tcPr>
          <w:p>
            <w:pPr/>
            <w:r>
              <w:t xml:space="preserve">Approval for safety-critical devices (PAY-08); mock-location detection</w:t>
            </w:r>
          </w:p>
        </w:tc>
      </w:tr>
    </w:tbl>
    <w:p>
      <w:pPr>
        <w:pStyle w:val="ListParagraph"/>
        <w:numPr>
          <w:ilvl w:val="0"/>
          <w:numId w:val="34"/>
        </w:numPr>
      </w:pPr>
      <w:r>
        <w:rPr>
          <w:b/>
        </w:rPr>
        <w:t xml:space="preserve">SEC-01 (P0) Encryption.</w:t>
      </w:r>
      <w:r>
        <w:t xml:space="preserve"> TLS 1.3 in transit; AES-256 at rest; per-tenant keys in KMS / HSM; customer-managed keys for Enterprise (P1).</w:t>
      </w:r>
    </w:p>
    <w:p>
      <w:pPr>
        <w:pStyle w:val="ListParagraph"/>
        <w:numPr>
          <w:ilvl w:val="0"/>
          <w:numId w:val="34"/>
        </w:numPr>
      </w:pPr>
      <w:r>
        <w:rPr>
          <w:b/>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direct, indirect, encoded, attachment, multi-turn and best-of-N cases, run against instrumented tool stubs and data seeded with honeytokens, and re-run on every model, prompt or connector change; third-party penetration test before GA; bug bounty after GA.</w:t>
      </w:r>
    </w:p>
    <w:p>
      <w:pPr>
        <w:pStyle w:val="ListParagraph"/>
        <w:numPr>
          <w:ilvl w:val="0"/>
          <w:numId w:val="34"/>
        </w:numPr>
      </w:pPr>
      <w:r>
        <w:rPr>
          <w:b/>
        </w:rPr>
        <w:t xml:space="preserve">SEC-03 (P0) Logging hygiene.</w:t>
      </w:r>
      <w:r>
        <w:t xml:space="preserve"> Secrets and tokens are redacted from logs and prompts; Enterprise chooses prompt and response retention.</w:t>
      </w:r>
    </w:p>
    <w:p>
      <w:pPr>
        <w:pStyle w:val="ListParagraph"/>
        <w:numPr>
          <w:ilvl w:val="0"/>
          <w:numId w:val="34"/>
        </w:numPr>
      </w:pPr>
      <w:r>
        <w:rPr>
          <w:b/>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34"/>
        </w:numPr>
      </w:pPr>
      <w:r>
        <w:rPr>
          <w:b/>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w:t>
      </w:r>
    </w:p>
    <w:p>
      <w:pPr>
        <w:pStyle w:val="ListParagraph"/>
        <w:numPr>
          <w:ilvl w:val="0"/>
          <w:numId w:val="34"/>
        </w:numPr>
      </w:pPr>
      <w:r>
        <w:rPr>
          <w:b/>
        </w:rPr>
        <w:t xml:space="preserve">SEC-06 (P0) Age.</w:t>
      </w:r>
      <w:r>
        <w:t xml:space="preserve"> Home accounts are 18+ at launch, which simplifies payments and consent. </w:t>
      </w:r>
      <w:r>
        <w:rPr>
          <w:i/>
        </w:rPr>
        <w:t xml:space="preserve">(Assumption to confirm.)</w:t>
      </w:r>
    </w:p>
    <w:p>
      <w:pPr/>
      <w:r>
        <w:rPr>
          <w:b/>
        </w:rPr>
        <w:t xml:space="preserve">Data classes and retention.</w:t>
      </w:r>
      <w:r>
        <w:t xml:space="preserve"> Deletion rights and a tamper-evident audit log are reconciled by separating five data classes, each with its own retention and deletion rule.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 class</w:t>
            </w:r>
          </w:p>
        </w:tc>
        <w:tc>
          <w:tcPr>
            <w:tcW w:w="1872" w:type="dxa"/>
            <w:shd w:val="clear" w:color="auto" w:fill="F2F2F2"/>
          </w:tcPr>
          <w:p>
            <w:pPr/>
            <w:r>
              <w:t xml:space="preserve">Examples</w:t>
            </w:r>
          </w:p>
        </w:tc>
        <w:tc>
          <w:tcPr>
            <w:tcW w:w="1872" w:type="dxa"/>
            <w:shd w:val="clear" w:color="auto" w:fill="F2F2F2"/>
          </w:tcPr>
          <w:p>
            <w:pPr/>
            <w:r>
              <w:t xml:space="preserve">Default retention</w:t>
            </w:r>
          </w:p>
        </w:tc>
        <w:tc>
          <w:tcPr>
            <w:tcW w:w="1872" w:type="dxa"/>
            <w:shd w:val="clear" w:color="auto" w:fill="F2F2F2"/>
          </w:tcPr>
          <w:p>
            <w:pPr/>
            <w:r>
              <w:t xml:space="preserve">Home user asks to delete</w:t>
            </w:r>
          </w:p>
        </w:tc>
        <w:tc>
          <w:tcPr>
            <w:tcW w:w="1872" w:type="dxa"/>
            <w:shd w:val="clear" w:color="auto" w:fill="F2F2F2"/>
          </w:tcPr>
          <w:p>
            <w:pPr/>
            <w:r>
              <w:t xml:space="preserve">Enterprise</w:t>
            </w:r>
          </w:p>
        </w:tc>
      </w:tr>
      <w:tr>
        <w:tc>
          <w:tcPr>
            <w:tcW w:w="1872" w:type="dxa"/>
          </w:tcPr>
          <w:p>
            <w:pPr/>
            <w:r>
              <w:t xml:space="preserve">Operational content</w:t>
            </w:r>
          </w:p>
        </w:tc>
        <w:tc>
          <w:tcPr>
            <w:tcW w:w="1872" w:type="dxa"/>
          </w:tcPr>
          <w:p>
            <w:pPr/>
            <w:r>
              <w:t xml:space="preserve">Assignments, templates, chat history, outputs and editions</w:t>
            </w:r>
          </w:p>
        </w:tc>
        <w:tc>
          <w:tcPr>
            <w:tcW w:w="1872" w:type="dxa"/>
          </w:tcPr>
          <w:p>
            <w:pPr/>
            <w:r>
              <w:t xml:space="preserve">Until the owner deletes it</w:t>
            </w:r>
          </w:p>
        </w:tc>
        <w:tc>
          <w:tcPr>
            <w:tcW w:w="1872" w:type="dxa"/>
          </w:tcPr>
          <w:p>
            <w:pPr/>
            <w:r>
              <w:t xml:space="preserve">Deleted within 30 days</w:t>
            </w:r>
          </w:p>
        </w:tc>
        <w:tc>
          <w:tcPr>
            <w:tcW w:w="1872" w:type="dxa"/>
          </w:tcPr>
          <w:p>
            <w:pPr/>
            <w:r>
              <w:t xml:space="preserve">Tenant policy; legal hold overrides deletion</w:t>
            </w:r>
          </w:p>
        </w:tc>
      </w:tr>
      <w:tr>
        <w:tc>
          <w:tcPr>
            <w:tcW w:w="1872" w:type="dxa"/>
          </w:tcPr>
          <w:p>
            <w:pPr/>
            <w:r>
              <w:t xml:space="preserve">Prompts and model outputs</w:t>
            </w:r>
          </w:p>
        </w:tc>
        <w:tc>
          <w:tcPr>
            <w:tcW w:w="1872" w:type="dxa"/>
          </w:tcPr>
          <w:p>
            <w:pPr/>
            <w:r>
              <w:t xml:space="preserve">Run transcripts, judge prompts</w:t>
            </w:r>
          </w:p>
        </w:tc>
        <w:tc>
          <w:tcPr>
            <w:tcW w:w="1872" w:type="dxa"/>
          </w:tcPr>
          <w:p>
            <w:pPr/>
            <w:r>
              <w:t xml:space="preserve">30 days</w:t>
            </w:r>
          </w:p>
        </w:tc>
        <w:tc>
          <w:tcPr>
            <w:tcW w:w="1872" w:type="dxa"/>
          </w:tcPr>
          <w:p>
            <w:pPr/>
            <w:r>
              <w:t xml:space="preserve">Deleted within 30 days</w:t>
            </w:r>
          </w:p>
        </w:tc>
        <w:tc>
          <w:tcPr>
            <w:tcW w:w="1872" w:type="dxa"/>
          </w:tcPr>
          <w:p>
            <w:pPr/>
            <w:r>
              <w:t xml:space="preserve">Tenant-set, 0–365 days</w:t>
            </w:r>
          </w:p>
        </w:tc>
      </w:tr>
      <w:tr>
        <w:tc>
          <w:tcPr>
            <w:tcW w:w="1872" w:type="dxa"/>
          </w:tcPr>
          <w:p>
            <w:pPr/>
            <w:r>
              <w:t xml:space="preserve">Connector payloads</w:t>
            </w:r>
          </w:p>
        </w:tc>
        <w:tc>
          <w:tcPr>
            <w:tcW w:w="1872" w:type="dxa"/>
          </w:tcPr>
          <w:p>
            <w:pPr/>
            <w:r>
              <w:t xml:space="preserve">Raw data fetched from target systems</w:t>
            </w:r>
          </w:p>
        </w:tc>
        <w:tc>
          <w:tcPr>
            <w:tcW w:w="1872" w:type="dxa"/>
          </w:tcPr>
          <w:p>
            <w:pPr/>
            <w:r>
              <w:t xml:space="preserve">Run duration + 7-day debug window; never in the audit log. Exception: items a triage step discarded or didn't surface, and runs drawn into the evaluation set, are kept 90 days so missed items can be measured (SUP-06)</w:t>
            </w:r>
          </w:p>
        </w:tc>
        <w:tc>
          <w:tcPr>
            <w:tcW w:w="1872" w:type="dxa"/>
          </w:tcPr>
          <w:p>
            <w:pPr/>
            <w:r>
              <w:t xml:space="preserve">Deleted</w:t>
            </w:r>
          </w:p>
        </w:tc>
        <w:tc>
          <w:tcPr>
            <w:tcW w:w="1872" w:type="dxa"/>
          </w:tcPr>
          <w:p>
            <w:pPr/>
            <w:r>
              <w:t xml:space="preserve">Same; a tenant may shorten it, which disables missed-item measurement for that tenant</w:t>
            </w:r>
          </w:p>
        </w:tc>
      </w:tr>
      <w:tr>
        <w:tc>
          <w:tcPr>
            <w:tcW w:w="1872" w:type="dxa"/>
          </w:tcPr>
          <w:p>
            <w:pPr/>
            <w:r>
              <w:t xml:space="preserve">Derived metadata</w:t>
            </w:r>
          </w:p>
        </w:tc>
        <w:tc>
          <w:tcPr>
            <w:tcW w:w="1872" w:type="dxa"/>
          </w:tcPr>
          <w:p>
            <w:pPr/>
            <w:r>
              <w:t xml:space="preserve">Cost, token counts, model choice, supervisor evidence and scores</w:t>
            </w:r>
          </w:p>
        </w:tc>
        <w:tc>
          <w:tcPr>
            <w:tcW w:w="1872" w:type="dxa"/>
          </w:tcPr>
          <w:p>
            <w:pPr/>
            <w:r>
              <w:t xml:space="preserve">Kept for routing and billing</w:t>
            </w:r>
          </w:p>
        </w:tc>
        <w:tc>
          <w:tcPr>
            <w:tcW w:w="1872" w:type="dxa"/>
          </w:tcPr>
          <w:p>
            <w:pPr/>
            <w:r>
              <w:t xml:space="preserve">Unlinked from the person (pseudonymized)</w:t>
            </w:r>
          </w:p>
        </w:tc>
        <w:tc>
          <w:tcPr>
            <w:tcW w:w="1872" w:type="dxa"/>
          </w:tcPr>
          <w:p>
            <w:pPr/>
            <w:r>
              <w:t xml:space="preserve">Stays in the tenant; pseudonymized when a user is removed</w:t>
            </w:r>
          </w:p>
        </w:tc>
      </w:tr>
      <w:tr>
        <w:tc>
          <w:tcPr>
            <w:tcW w:w="1872" w:type="dxa"/>
          </w:tcPr>
          <w:p>
            <w:pPr/>
            <w:r>
              <w:t xml:space="preserve">Audit records</w:t>
            </w:r>
          </w:p>
        </w:tc>
        <w:tc>
          <w:tcPr>
            <w:tcW w:w="1872" w:type="dxa"/>
          </w:tcPr>
          <w:p>
            <w:pPr/>
            <w:r>
              <w:t xml:space="preserve">Who, on whose behalf, which action and resource, approval, result</w:t>
            </w:r>
          </w:p>
        </w:tc>
        <w:tc>
          <w:tcPr>
            <w:tcW w:w="1872" w:type="dxa"/>
          </w:tcPr>
          <w:p>
            <w:pPr/>
            <w:r>
              <w:t xml:space="preserve">1 year (Enterprise up to 7)</w:t>
            </w:r>
          </w:p>
        </w:tc>
        <w:tc>
          <w:tcPr>
            <w:tcW w:w="1872" w:type="dxa"/>
          </w:tcPr>
          <w:p>
            <w:pPr/>
            <w:r>
              <w:t xml:space="preserve">Personal fields crypto-shredded after the legal minimum; record and chain remain</w:t>
            </w:r>
          </w:p>
        </w:tc>
        <w:tc>
          <w:tcPr>
            <w:tcW w:w="1872" w:type="dxa"/>
          </w:tcPr>
          <w:p>
            <w:pPr/>
            <w:r>
              <w:t xml:space="preserve">Tenant is the controller and handles employee requests under its own policy</w:t>
            </w:r>
          </w:p>
        </w:tc>
      </w:tr>
    </w:tbl>
    <w:p>
      <w:pPr>
        <w:pStyle w:val="ListParagraph"/>
        <w:numPr>
          <w:ilvl w:val="0"/>
          <w:numId w:val="35"/>
        </w:numPr>
      </w:pPr>
      <w:r>
        <w:rPr>
          <w:b/>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w:t>
      </w:r>
    </w:p>
    <w:p>
      <w:pPr>
        <w:pStyle w:val="ListParagraph"/>
        <w:numPr>
          <w:ilvl w:val="0"/>
          <w:numId w:val="36"/>
        </w:numPr>
      </w:pPr>
      <w:r>
        <w:rPr>
          <w:b/>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36"/>
        </w:numPr>
      </w:pPr>
      <w:r>
        <w:rPr>
          <w:b/>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37"/>
        </w:numPr>
      </w:pPr>
      <w:r>
        <w:rPr>
          <w:b/>
        </w:rPr>
        <w:t xml:space="preserve">SEC-10 (P0) Published snapshots.</w:t>
      </w:r>
      <w:r>
        <w:t xml:space="preserve"> Publishing turns an output edition into a frozen, labeled copy that named recipients can see without access to its sources.</w:t>
      </w:r>
    </w:p>
    <w:p>
      <w:pPr>
        <w:pStyle w:val="ListParagraph"/>
        <w:numPr>
          <w:ilvl w:val="1"/>
          <w:numId w:val="38"/>
        </w:numPr>
      </w:pPr>
      <w:r>
        <w:rPr>
          <w:b/>
        </w:rPr>
        <w:t xml:space="preserve">Who may publish:</w:t>
      </w:r>
      <w:r>
        <w:t xml:space="preserve"> someone who can currently read every source, holds the Publisher permission for that destination (admins grant it per group), and confirms a disclosure screen listing the recipients and every source behind the content.</w:t>
      </w:r>
    </w:p>
    <w:p>
      <w:pPr>
        <w:pStyle w:val="ListParagraph"/>
        <w:numPr>
          <w:ilvl w:val="1"/>
          <w:numId w:val="38"/>
        </w:numPr>
      </w:pPr>
      <w:r>
        <w:rPr>
          <w:b/>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38"/>
        </w:numPr>
      </w:pPr>
      <w:r>
        <w:rPr>
          <w:b/>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38"/>
        </w:numPr>
      </w:pPr>
      <w:r>
        <w:rPr>
          <w:b/>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38"/>
        </w:numPr>
      </w:pPr>
      <w:r>
        <w:t xml:space="preserve">Every publish, view, flag and withdrawal is audit-logged.</w:t>
      </w:r>
    </w:p>
    <w:p>
      <w:pPr>
        <w:pStyle w:val="ListParagraph"/>
        <w:numPr>
          <w:ilvl w:val="0"/>
          <w:numId w:val="39"/>
        </w:numPr>
      </w:pPr>
      <w:r>
        <w:rPr>
          <w:b/>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allowlist; scripts, forms and embedded frames are stripped; and no URL in model output is fetched on anyone's behalf. Exports (TPL-05) apply the same rules before publishing.</w:t>
      </w:r>
    </w:p>
    <w:p>
      <w:pPr>
        <w:pStyle w:val="ListParagraph"/>
        <w:numPr>
          <w:ilvl w:val="0"/>
          <w:numId w:val="39"/>
        </w:numPr>
      </w:pPr>
      <w:r>
        <w:rPr>
          <w:b/>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39"/>
        </w:numPr>
      </w:pPr>
      <w:r>
        <w:rPr>
          <w:b/>
        </w:rPr>
        <w:t xml:space="preserve">SEC-13 (P1) Injection screening as a signal.</w:t>
      </w:r>
      <w:r>
        <w:t xml:space="preserve"> A classifier from a different model family than the worker screens untrusted inputs, planned actions and outputs for injection patterns, and the supervisor compares each run's actual tool calls with the task's plan. A positive result raises risk: auto-execution and pre-authorization are suspended for that item, and it goes to human review. A negative result never grants anything, since a guardrail model can itself be manipulated.</w:t>
      </w:r>
    </w:p>
    <w:p>
      <w:pPr>
        <w:pStyle w:val="Heading2"/>
      </w:pPr>
      <w:r>
        <w:t xml:space="preserve">16. Reference architecture</w:t>
      </w:r>
    </w:p>
    <w:p>
      <w:pPr/>
      <w:r>
        <w:drawing>
          <wp:inline distT="0" distB="0" distL="0" distR="0">
            <wp:extent cx="5486400" cy="5478235"/>
            <wp:docPr id="3" name="image3" descr="Reference architecture · clients, three cloud planes, data and audit"/>
            <a:graphic xmlns:a="http://schemas.openxmlformats.org/drawingml/2006/main">
              <a:graphicData uri="http://schemas.openxmlformats.org/drawingml/2006/picture">
                <pic:pic xmlns:pic="http://schemas.openxmlformats.org/drawingml/2006/picture">
                  <pic:nvPicPr>
                    <pic:cNvPr id="3" name="image3" descr="Reference architecture · clients, three cloud planes, data and audit"/>
                    <pic:cNvPicPr/>
                  </pic:nvPicPr>
                  <pic:blipFill>
                    <a:blip r:embed="rId5"/>
                    <a:stretch>
                      <a:fillRect/>
                    </a:stretch>
                  </pic:blipFill>
                  <pic:spPr>
                    <a:xfrm>
                      <a:off x="0" y="0"/>
                      <a:ext cx="5486400" cy="5478235"/>
                    </a:xfrm>
                    <a:prstGeom prst="rect">
                      <a:avLst/>
                    </a:prstGeom>
                  </pic:spPr>
                </pic:pic>
              </a:graphicData>
            </a:graphic>
          </wp:inline>
        </w:drawing>
      </w:r>
    </w:p>
    <w:p>
      <w:pPr/>
      <w:r>
        <w:t xml:space="preserve">Reference architecture · clients, three cloud planes, data and audit</w:t>
      </w:r>
    </w:p>
    <w:p>
      <w:pPr/>
      <w:r>
        <w:t xml:space="preserve">Clients never call target systems directly: the execution plane plans each action, the connector gateway checks and credentials it, and the audit log records it. Device-local actions (desktop files, HomeKit) are sent to the user's own device under the same policy check, and on-prem systems are reached through an outbound-only relay the customer installs.</w:t>
      </w:r>
    </w:p>
    <w:p>
      <w:pPr/>
      <w:r>
        <w:rPr>
          <w:b/>
        </w:rPr>
        <w:t xml:space="preserve">Default building blocks</w:t>
      </w:r>
      <w:r>
        <w:t xml:space="preserve"> (from the compliance assistant plan v3, plus Collicity additions): Python 3.12 with FastAPI and Pydantic v2, whose models double as LLM output schemas; Temporal for the orchestrator; PostgreSQL 16 with row-level security (SEC-09); a transactional outbox in Postgres as the source of truth, with Redis 7 fanning out live updates; S3-compatible object storage for snapshots and outputs; pgvector or a dedicated vector store for permission-aware retrieval; Cedar or OPA for policy; a KMS / HSM-backed secrets vault; a hosted OIDC / SAML integration service; OpenTelemetry end to end; Kubernetes and Terraform on one cloud.</w:t>
      </w:r>
    </w:p>
    <w:p>
      <w:pPr>
        <w:pStyle w:val="Heading2"/>
      </w:pPr>
      <w:r>
        <w:t xml:space="preserve">17. Non-functional requirements</w:t>
      </w:r>
    </w:p>
    <w:p>
      <w:pPr/>
      <w:r>
        <w:t xml:space="preserve">Proposed launch targets; the scale row is a placeholder until the go-to-market plan sets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Target</w:t>
            </w:r>
          </w:p>
        </w:tc>
      </w:tr>
      <w:tr>
        <w:tc>
          <w:tcPr>
            <w:tcW w:w="4680" w:type="dxa"/>
          </w:tcPr>
          <w:p>
            <w:pPr/>
            <w:r>
              <w:t xml:space="preserve">Availability</w:t>
            </w:r>
          </w:p>
        </w:tc>
        <w:tc>
          <w:tcPr>
            <w:tcW w:w="4680" w:type="dxa"/>
          </w:tcPr>
          <w:p>
            <w:pPr/>
            <w:r>
              <w:t xml:space="preserve">99.9% monthly for the control and execution planes (Enterprise SLA)</w:t>
            </w:r>
          </w:p>
        </w:tc>
      </w:tr>
      <w:tr>
        <w:tc>
          <w:tcPr>
            <w:tcW w:w="4680" w:type="dxa"/>
          </w:tcPr>
          <w:p>
            <w:pPr/>
            <w:r>
              <w:t xml:space="preserve">Schedule accuracy</w:t>
            </w:r>
          </w:p>
        </w:tc>
        <w:tc>
          <w:tcPr>
            <w:tcW w:w="4680" w:type="dxa"/>
          </w:tcPr>
          <w:p>
            <w:pPr/>
            <w:r>
              <w:t xml:space="preserve">Scheduled runs start within 60 s of their time (p99)</w:t>
            </w:r>
          </w:p>
        </w:tc>
      </w:tr>
      <w:tr>
        <w:tc>
          <w:tcPr>
            <w:tcW w:w="4680" w:type="dxa"/>
          </w:tcPr>
          <w:p>
            <w:pPr/>
            <w:r>
              <w:t xml:space="preserve">Proximity trigger latency</w:t>
            </w:r>
          </w:p>
        </w:tc>
        <w:tc>
          <w:tcPr>
            <w:tcW w:w="4680" w:type="dxa"/>
          </w:tcPr>
          <w:p>
            <w:pPr/>
            <w:r>
              <w:t xml:space="preserve">Trigger to first action under 30 s (p95) while the device is online</w:t>
            </w:r>
          </w:p>
        </w:tc>
      </w:tr>
      <w:tr>
        <w:tc>
          <w:tcPr>
            <w:tcW w:w="4680" w:type="dxa"/>
          </w:tcPr>
          <w:p>
            <w:pPr/>
            <w:r>
              <w:t xml:space="preserve">UI responsiveness</w:t>
            </w:r>
          </w:p>
        </w:tc>
        <w:tc>
          <w:tcPr>
            <w:tcW w:w="4680" w:type="dxa"/>
          </w:tcPr>
          <w:p>
            <w:pPr/>
            <w:r>
              <w:t xml:space="preserve">Interactions under 200 ms (p95), excluding model calls; first chat token under 2 s (p95) on the default provider</w:t>
            </w:r>
          </w:p>
        </w:tc>
      </w:tr>
      <w:tr>
        <w:tc>
          <w:tcPr>
            <w:tcW w:w="4680" w:type="dxa"/>
          </w:tcPr>
          <w:p>
            <w:pPr/>
            <w:r>
              <w:t xml:space="preserve">Revocation</w:t>
            </w:r>
          </w:p>
        </w:tc>
        <w:tc>
          <w:tcPr>
            <w:tcW w:w="4680" w:type="dxa"/>
          </w:tcPr>
          <w:p>
            <w:pPr/>
            <w:r>
              <w:t xml:space="preserve">User disabled → tokens revoked and runs paused within 60 s</w:t>
            </w:r>
          </w:p>
        </w:tc>
      </w:tr>
      <w:tr>
        <w:tc>
          <w:tcPr>
            <w:tcW w:w="4680" w:type="dxa"/>
          </w:tcPr>
          <w:p>
            <w:pPr/>
            <w:r>
              <w:t xml:space="preserve">Durability</w:t>
            </w:r>
          </w:p>
        </w:tc>
        <w:tc>
          <w:tcPr>
            <w:tcW w:w="4680" w:type="dxa"/>
          </w:tcPr>
          <w:p>
            <w:pPr/>
            <w:r>
              <w:t xml:space="preserve">No lost runs; RPO ≤ 5 min, RTO ≤ 1 h; audit log RPO 0</w:t>
            </w:r>
          </w:p>
        </w:tc>
      </w:tr>
      <w:tr>
        <w:tc>
          <w:tcPr>
            <w:tcW w:w="4680" w:type="dxa"/>
          </w:tcPr>
          <w:p>
            <w:pPr/>
            <w:r>
              <w:t xml:space="preserve">Scale (design point, year 1)</w:t>
            </w:r>
          </w:p>
        </w:tc>
        <w:tc>
          <w:tcPr>
            <w:tcW w:w="4680" w:type="dxa"/>
          </w:tcPr>
          <w:p>
            <w:pPr/>
            <w:r>
              <w:t xml:space="preserve">100k Home users, 500 Enterprise tenants, 10k concurrent runs</w:t>
            </w:r>
          </w:p>
        </w:tc>
      </w:tr>
      <w:tr>
        <w:tc>
          <w:tcPr>
            <w:tcW w:w="4680" w:type="dxa"/>
          </w:tcPr>
          <w:p>
            <w:pPr/>
            <w:r>
              <w:t xml:space="preserve">Data residency</w:t>
            </w:r>
          </w:p>
        </w:tc>
        <w:tc>
          <w:tcPr>
            <w:tcW w:w="4680" w:type="dxa"/>
          </w:tcPr>
          <w:p>
            <w:pPr/>
            <w:r>
              <w:t xml:space="preserve">US and EU regions at Enterprise GA</w:t>
            </w:r>
          </w:p>
        </w:tc>
      </w:tr>
      <w:tr>
        <w:tc>
          <w:tcPr>
            <w:tcW w:w="4680" w:type="dxa"/>
          </w:tcPr>
          <w:p>
            <w:pPr/>
            <w:r>
              <w:t xml:space="preserve">Observability</w:t>
            </w:r>
          </w:p>
        </w:tc>
        <w:tc>
          <w:tcPr>
            <w:tcW w:w="4680" w:type="dxa"/>
          </w:tcPr>
          <w:p>
            <w:pPr/>
            <w:r>
              <w:t xml:space="preserve">OpenTelemetry traces from client to run to model to connector, using the GenAI semantic conventions</w:t>
            </w:r>
          </w:p>
        </w:tc>
      </w:tr>
      <w:tr>
        <w:tc>
          <w:tcPr>
            <w:tcW w:w="4680" w:type="dxa"/>
          </w:tcPr>
          <w:p>
            <w:pPr/>
            <w:r>
              <w:t xml:space="preserve">Accessibility</w:t>
            </w:r>
          </w:p>
        </w:tc>
        <w:tc>
          <w:tcPr>
            <w:tcW w:w="4680" w:type="dxa"/>
          </w:tcPr>
          <w:p>
            <w:pPr/>
            <w:r>
              <w:t xml:space="preserve">WCAG 2.2 AA on all clients</w:t>
            </w:r>
          </w:p>
        </w:tc>
      </w:tr>
      <w:tr>
        <w:tc>
          <w:tcPr>
            <w:tcW w:w="4680" w:type="dxa"/>
          </w:tcPr>
          <w:p>
            <w:pPr/>
            <w:r>
              <w:t xml:space="preserve">Localization</w:t>
            </w:r>
          </w:p>
        </w:tc>
        <w:tc>
          <w:tcPr>
            <w:tcW w:w="4680" w:type="dxa"/>
          </w:tcPr>
          <w:p>
            <w:pPr/>
            <w:r>
              <w:t xml:space="preserve">English at launch; internationalization-ready from day one</w:t>
            </w:r>
          </w:p>
        </w:tc>
      </w:tr>
      <w:tr>
        <w:tc>
          <w:tcPr>
            <w:tcW w:w="4680" w:type="dxa"/>
          </w:tcPr>
          <w:p>
            <w:pPr/>
            <w:r>
              <w:t xml:space="preserve">Supportability</w:t>
            </w:r>
          </w:p>
        </w:tc>
        <w:tc>
          <w:tcPr>
            <w:tcW w:w="4680" w:type="dxa"/>
          </w:tcPr>
          <w:p>
            <w:pPr/>
            <w:r>
              <w:t xml:space="preserve">Per-run support bundle with redacted logs</w:t>
            </w:r>
          </w:p>
        </w:tc>
      </w:tr>
    </w:tbl>
    <w:p>
      <w:pPr>
        <w:pStyle w:val="Heading2"/>
      </w:pPr>
      <w:r>
        <w:t xml:space="preserve">18. Phasing and MVP scope</w:t>
      </w:r>
    </w:p>
    <w:p>
      <w:pPr/>
      <w:r>
        <w:drawing>
          <wp:inline distT="0" distB="0" distL="0" distR="0">
            <wp:extent cx="5486400" cy="4963885"/>
            <wp:docPr id="4" name="image4" descr="Phasing · 5 phases, 3 gates"/>
            <a:graphic xmlns:a="http://schemas.openxmlformats.org/drawingml/2006/main">
              <a:graphicData uri="http://schemas.openxmlformats.org/drawingml/2006/picture">
                <pic:pic xmlns:pic="http://schemas.openxmlformats.org/drawingml/2006/picture">
                  <pic:nvPicPr>
                    <pic:cNvPr id="4" name="image4" descr="Phasing · 5 phases, 3 gates"/>
                    <pic:cNvPicPr/>
                  </pic:nvPicPr>
                  <pic:blipFill>
                    <a:blip r:embed="rId6"/>
                    <a:stretch>
                      <a:fillRect/>
                    </a:stretch>
                  </pic:blipFill>
                  <pic:spPr>
                    <a:xfrm>
                      <a:off x="0" y="0"/>
                      <a:ext cx="5486400" cy="4963885"/>
                    </a:xfrm>
                    <a:prstGeom prst="rect">
                      <a:avLst/>
                    </a:prstGeom>
                  </pic:spPr>
                </pic:pic>
              </a:graphicData>
            </a:graphic>
          </wp:inline>
        </w:drawing>
      </w:r>
    </w:p>
    <w:p>
      <w:pPr/>
      <w:r>
        <w:t xml:space="preserve">Phasing · 5 phases, 3 gates</w:t>
      </w:r>
    </w:p>
    <w:p>
      <w:pPr/>
      <w:r>
        <w:t xml:space="preserve">Enterprise GA needs every requirement in the matrix's Beta and GA columns, not every P0; the matrix is authoritative for when each requirement ships. Phase 3 can overlap Phase 2 if capacity allows, and durations depend on team size (§21).</w:t>
      </w:r>
    </w:p>
    <w:p>
      <w:pPr/>
      <w:r>
        <w:rPr>
          <w:b/>
        </w:rPr>
        <w:t xml:space="preserve">Requirements by phase</w:t>
      </w:r>
      <w:r>
        <w:t xml:space="preserve"> (cumulative: each column also needs everything to its left)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Area</w:t>
            </w:r>
          </w:p>
        </w:tc>
        <w:tc>
          <w:tcPr>
            <w:tcW w:w="1872" w:type="dxa"/>
            <w:shd w:val="clear" w:color="auto" w:fill="F2F2F2"/>
          </w:tcPr>
          <w:p>
            <w:pPr/>
            <w:r>
              <w:t xml:space="preserve">Beta (Phases 0–1)</w:t>
            </w:r>
          </w:p>
        </w:tc>
        <w:tc>
          <w:tcPr>
            <w:tcW w:w="1872" w:type="dxa"/>
            <w:shd w:val="clear" w:color="auto" w:fill="F2F2F2"/>
          </w:tcPr>
          <w:p>
            <w:pPr/>
            <w:r>
              <w:t xml:space="preserve">Enterprise GA (Phase 2)</w:t>
            </w:r>
          </w:p>
        </w:tc>
        <w:tc>
          <w:tcPr>
            <w:tcW w:w="1872" w:type="dxa"/>
            <w:shd w:val="clear" w:color="auto" w:fill="F2F2F2"/>
          </w:tcPr>
          <w:p>
            <w:pPr/>
            <w:r>
              <w:t xml:space="preserve">Home (Phase 3)</w:t>
            </w:r>
          </w:p>
        </w:tc>
        <w:tc>
          <w:tcPr>
            <w:tcW w:w="1872" w:type="dxa"/>
            <w:shd w:val="clear" w:color="auto" w:fill="F2F2F2"/>
          </w:tcPr>
          <w:p>
            <w:pPr/>
            <w:r>
              <w:t xml:space="preserve">Later</w:t>
            </w:r>
          </w:p>
        </w:tc>
      </w:tr>
      <w:tr>
        <w:tc>
          <w:tcPr>
            <w:tcW w:w="1872" w:type="dxa"/>
          </w:tcPr>
          <w:p>
            <w:pPr/>
            <w:r>
              <w:t xml:space="preserve">Platforms (§5)</w:t>
            </w:r>
          </w:p>
        </w:tc>
        <w:tc>
          <w:tcPr>
            <w:tcW w:w="1872" w:type="dxa"/>
          </w:tcPr>
          <w:p>
            <w:pPr/>
            <w:r>
              <w:t xml:space="preserve">PLT-01 web only; PLT-06</w:t>
            </w:r>
          </w:p>
        </w:tc>
        <w:tc>
          <w:tcPr>
            <w:tcW w:w="1872" w:type="dxa"/>
          </w:tcPr>
          <w:p>
            <w:pPr/>
            <w:r>
              <w:t xml:space="preserve">PLT-01 desktop and mobile; PLT-02; PLT-03 approvals; PLT-05</w:t>
            </w:r>
          </w:p>
        </w:tc>
        <w:tc>
          <w:tcPr>
            <w:tcW w:w="1872" w:type="dxa"/>
          </w:tcPr>
          <w:p>
            <w:pPr/>
            <w:r>
              <w:t xml:space="preserve">PLT-03 payment biometrics; PLT-04</w:t>
            </w:r>
          </w:p>
        </w:tc>
        <w:tc>
          <w:tcPr>
            <w:tcW w:w="1872" w:type="dxa"/>
          </w:tcPr>
          <w:p>
            <w:pPr/>
            <w:r>
              <w:t xml:space="preserve">—</w:t>
            </w:r>
          </w:p>
        </w:tc>
      </w:tr>
      <w:tr>
        <w:tc>
          <w:tcPr>
            <w:tcW w:w="1872" w:type="dxa"/>
          </w:tcPr>
          <w:p>
            <w:pPr/>
            <w:r>
              <w:t xml:space="preserve">Connectors (§6)</w:t>
            </w:r>
          </w:p>
        </w:tc>
        <w:tc>
          <w:tcPr>
            <w:tcW w:w="1872" w:type="dxa"/>
          </w:tcPr>
          <w:p>
            <w:pPr/>
            <w:r>
              <w:t xml:space="preserve">CON-01–04, 06–10; CON-05 only if a partner needs it; Graph plus at most 2 partner connectors, each with a full CON-12 manifest</w:t>
            </w:r>
          </w:p>
        </w:tc>
        <w:tc>
          <w:tcPr>
            <w:tcW w:w="1872" w:type="dxa"/>
          </w:tcPr>
          <w:p>
            <w:pPr/>
            <w:r>
              <w:t xml:space="preserve">CON-11–15; enterprise launch catalog</w:t>
            </w:r>
          </w:p>
        </w:tc>
        <w:tc>
          <w:tcPr>
            <w:tcW w:w="1872" w:type="dxa"/>
          </w:tcPr>
          <w:p>
            <w:pPr/>
            <w:r>
              <w:t xml:space="preserve">Consumer catalog</w:t>
            </w:r>
          </w:p>
        </w:tc>
        <w:tc>
          <w:tcPr>
            <w:tcW w:w="1872" w:type="dxa"/>
          </w:tcPr>
          <w:p>
            <w:pPr/>
            <w:r>
              <w:t xml:space="preserve">CON-16</w:t>
            </w:r>
          </w:p>
        </w:tc>
      </w:tr>
      <w:tr>
        <w:tc>
          <w:tcPr>
            <w:tcW w:w="1872" w:type="dxa"/>
          </w:tcPr>
          <w:p>
            <w:pPr/>
            <w:r>
              <w:t xml:space="preserve">Tasks and runtime (§7)</w:t>
            </w:r>
          </w:p>
        </w:tc>
        <w:tc>
          <w:tcPr>
            <w:tcW w:w="1872" w:type="dxa"/>
          </w:tcPr>
          <w:p>
            <w:pPr/>
            <w:r>
              <w:t xml:space="preserve">ASG-01, 02, 04–06, 09–15, 17, with every action approved (no pre-authorization before gate 1); RUN-01–07</w:t>
            </w:r>
          </w:p>
        </w:tc>
        <w:tc>
          <w:tcPr>
            <w:tcW w:w="1872" w:type="dxa"/>
          </w:tcPr>
          <w:p>
            <w:pPr/>
            <w:r>
              <w:t xml:space="preserve">ASG-03, 07, 08, 16</w:t>
            </w:r>
          </w:p>
        </w:tc>
        <w:tc>
          <w:tcPr>
            <w:tcW w:w="1872" w:type="dxa"/>
          </w:tcPr>
          <w:p>
            <w:pPr/>
            <w:r>
              <w:t xml:space="preserve">—</w:t>
            </w:r>
          </w:p>
        </w:tc>
        <w:tc>
          <w:tcPr>
            <w:tcW w:w="1872" w:type="dxa"/>
          </w:tcPr>
          <w:p>
            <w:pPr/>
            <w:r>
              <w:t xml:space="preserve">—</w:t>
            </w:r>
          </w:p>
        </w:tc>
      </w:tr>
      <w:tr>
        <w:tc>
          <w:tcPr>
            <w:tcW w:w="1872" w:type="dxa"/>
          </w:tcPr>
          <w:p>
            <w:pPr/>
            <w:r>
              <w:t xml:space="preserve">Budgets (§8)</w:t>
            </w:r>
          </w:p>
        </w:tc>
        <w:tc>
          <w:tcPr>
            <w:tcW w:w="1872" w:type="dxa"/>
          </w:tcPr>
          <w:p>
            <w:pPr/>
            <w:r>
              <w:t xml:space="preserve">BUD-01–05, 08, 10; BUD-06 without groups</w:t>
            </w:r>
          </w:p>
        </w:tc>
        <w:tc>
          <w:tcPr>
            <w:tcW w:w="1872" w:type="dxa"/>
          </w:tcPr>
          <w:p>
            <w:pPr/>
            <w:r>
              <w:t xml:space="preserve">BUD-06 groups; BUD-07, 09</w:t>
            </w:r>
          </w:p>
        </w:tc>
        <w:tc>
          <w:tcPr>
            <w:tcW w:w="1872" w:type="dxa"/>
          </w:tcPr>
          <w:p>
            <w:pPr/>
            <w:r>
              <w:t xml:space="preserve">Account cap</w:t>
            </w:r>
          </w:p>
        </w:tc>
        <w:tc>
          <w:tcPr>
            <w:tcW w:w="1872" w:type="dxa"/>
          </w:tcPr>
          <w:p>
            <w:pPr/>
            <w:r>
              <w:t xml:space="preserve">—</w:t>
            </w:r>
          </w:p>
        </w:tc>
      </w:tr>
      <w:tr>
        <w:tc>
          <w:tcPr>
            <w:tcW w:w="1872" w:type="dxa"/>
          </w:tcPr>
          <w:p>
            <w:pPr/>
            <w:r>
              <w:t xml:space="preserve">Router, supervisor, inventory (§9)</w:t>
            </w:r>
          </w:p>
        </w:tc>
        <w:tc>
          <w:tcPr>
            <w:tcW w:w="1872" w:type="dxa"/>
          </w:tcPr>
          <w:p>
            <w:pPr/>
            <w:r>
              <w:t xml:space="preserve">RTR-01–05, 07; SUP-01–04, 06; INV-01–03, 06, 07</w:t>
            </w:r>
          </w:p>
        </w:tc>
        <w:tc>
          <w:tcPr>
            <w:tcW w:w="1872" w:type="dxa"/>
          </w:tcPr>
          <w:p>
            <w:pPr/>
            <w:r>
              <w:t xml:space="preserve">RTR-06; SUP-05; INV-04</w:t>
            </w:r>
          </w:p>
        </w:tc>
        <w:tc>
          <w:tcPr>
            <w:tcW w:w="1872" w:type="dxa"/>
          </w:tcPr>
          <w:p>
            <w:pPr/>
            <w:r>
              <w:t xml:space="preserve">—</w:t>
            </w:r>
          </w:p>
        </w:tc>
        <w:tc>
          <w:tcPr>
            <w:tcW w:w="1872" w:type="dxa"/>
          </w:tcPr>
          <w:p>
            <w:pPr/>
            <w:r>
              <w:t xml:space="preserve">INV-05</w:t>
            </w:r>
          </w:p>
        </w:tc>
      </w:tr>
      <w:tr>
        <w:tc>
          <w:tcPr>
            <w:tcW w:w="1872" w:type="dxa"/>
          </w:tcPr>
          <w:p>
            <w:pPr/>
            <w:r>
              <w:t xml:space="preserve">Templates (§10)</w:t>
            </w:r>
          </w:p>
        </w:tc>
        <w:tc>
          <w:tcPr>
            <w:tcW w:w="1872" w:type="dxa"/>
          </w:tcPr>
          <w:p>
            <w:pPr/>
            <w:r>
              <w:t xml:space="preserve">—</w:t>
            </w:r>
          </w:p>
        </w:tc>
        <w:tc>
          <w:tcPr>
            <w:tcW w:w="1872" w:type="dxa"/>
          </w:tcPr>
          <w:p>
            <w:pPr/>
            <w:r>
              <w:t xml:space="preserve">TPL-01–07</w:t>
            </w:r>
          </w:p>
        </w:tc>
        <w:tc>
          <w:tcPr>
            <w:tcW w:w="1872" w:type="dxa"/>
          </w:tcPr>
          <w:p>
            <w:pPr/>
            <w:r>
              <w:t xml:space="preserve">—</w:t>
            </w:r>
          </w:p>
        </w:tc>
        <w:tc>
          <w:tcPr>
            <w:tcW w:w="1872" w:type="dxa"/>
          </w:tcPr>
          <w:p>
            <w:pPr/>
            <w:r>
              <w:t xml:space="preserve">TPL-08, 09</w:t>
            </w:r>
          </w:p>
        </w:tc>
      </w:tr>
      <w:tr>
        <w:tc>
          <w:tcPr>
            <w:tcW w:w="1872" w:type="dxa"/>
          </w:tcPr>
          <w:p>
            <w:pPr/>
            <w:r>
              <w:t xml:space="preserve">Scheduling and triggers (§11)</w:t>
            </w:r>
          </w:p>
        </w:tc>
        <w:tc>
          <w:tcPr>
            <w:tcW w:w="1872" w:type="dxa"/>
          </w:tcPr>
          <w:p>
            <w:pPr/>
            <w:r>
              <w:t xml:space="preserve">SCH-03 mail events</w:t>
            </w:r>
          </w:p>
        </w:tc>
        <w:tc>
          <w:tcPr>
            <w:tcW w:w="1872" w:type="dxa"/>
          </w:tcPr>
          <w:p>
            <w:pPr/>
            <w:r>
              <w:t xml:space="preserve">SCH-01, 02, 07, 08</w:t>
            </w:r>
          </w:p>
        </w:tc>
        <w:tc>
          <w:tcPr>
            <w:tcW w:w="1872" w:type="dxa"/>
          </w:tcPr>
          <w:p>
            <w:pPr/>
            <w:r>
              <w:t xml:space="preserve">SCH-04–06</w:t>
            </w:r>
          </w:p>
        </w:tc>
        <w:tc>
          <w:tcPr>
            <w:tcW w:w="1872" w:type="dxa"/>
          </w:tcPr>
          <w:p>
            <w:pPr/>
            <w:r>
              <w:t xml:space="preserve">—</w:t>
            </w:r>
          </w:p>
        </w:tc>
      </w:tr>
      <w:tr>
        <w:tc>
          <w:tcPr>
            <w:tcW w:w="1872" w:type="dxa"/>
          </w:tcPr>
          <w:p>
            <w:pPr/>
            <w:r>
              <w:t xml:space="preserve">Q&amp;A and chat (§12)</w:t>
            </w:r>
          </w:p>
        </w:tc>
        <w:tc>
          <w:tcPr>
            <w:tcW w:w="1872" w:type="dxa"/>
          </w:tcPr>
          <w:p>
            <w:pPr/>
            <w:r>
              <w:t xml:space="preserve">QA-01–03</w:t>
            </w:r>
          </w:p>
        </w:tc>
        <w:tc>
          <w:tcPr>
            <w:tcW w:w="1872" w:type="dxa"/>
          </w:tcPr>
          <w:p>
            <w:pPr/>
            <w:r>
              <w:t xml:space="preserve">QA-04–06</w:t>
            </w:r>
          </w:p>
        </w:tc>
        <w:tc>
          <w:tcPr>
            <w:tcW w:w="1872" w:type="dxa"/>
          </w:tcPr>
          <w:p>
            <w:pPr/>
            <w:r>
              <w:t xml:space="preserve">QA-07</w:t>
            </w:r>
          </w:p>
        </w:tc>
        <w:tc>
          <w:tcPr>
            <w:tcW w:w="1872" w:type="dxa"/>
          </w:tcPr>
          <w:p>
            <w:pPr/>
            <w:r>
              <w:t xml:space="preserve">—</w:t>
            </w:r>
          </w:p>
        </w:tc>
      </w:tr>
      <w:tr>
        <w:tc>
          <w:tcPr>
            <w:tcW w:w="1872" w:type="dxa"/>
          </w:tcPr>
          <w:p>
            <w:pPr/>
            <w:r>
              <w:t xml:space="preserve">Admin and providers (§13)</w:t>
            </w:r>
          </w:p>
        </w:tc>
        <w:tc>
          <w:tcPr>
            <w:tcW w:w="1872" w:type="dxa"/>
          </w:tcPr>
          <w:p>
            <w:pPr/>
            <w:r>
              <w:t xml:space="preserve">ADM-01–03, 05, 07; ADM-06 without SIEM export; PRV-01, 03, 05; PRV-02 only for a partner's own cloud</w:t>
            </w:r>
          </w:p>
        </w:tc>
        <w:tc>
          <w:tcPr>
            <w:tcW w:w="1872" w:type="dxa"/>
          </w:tcPr>
          <w:p>
            <w:pPr/>
            <w:r>
              <w:t xml:space="preserve">ADM-04, 08; ADM-06 SIEM export; PRV-02, 04</w:t>
            </w:r>
          </w:p>
        </w:tc>
        <w:tc>
          <w:tcPr>
            <w:tcW w:w="1872" w:type="dxa"/>
          </w:tcPr>
          <w:p>
            <w:pPr/>
            <w:r>
              <w:t xml:space="preserve">Consumer sign-in</w:t>
            </w:r>
          </w:p>
        </w:tc>
        <w:tc>
          <w:tcPr>
            <w:tcW w:w="1872" w:type="dxa"/>
          </w:tcPr>
          <w:p>
            <w:pPr/>
            <w:r>
              <w:t xml:space="preserve">Local models</w:t>
            </w:r>
          </w:p>
        </w:tc>
      </w:tr>
      <w:tr>
        <w:tc>
          <w:tcPr>
            <w:tcW w:w="1872" w:type="dxa"/>
          </w:tcPr>
          <w:p>
            <w:pPr/>
            <w:r>
              <w:t xml:space="preserve">Payments (§14)</w:t>
            </w:r>
          </w:p>
        </w:tc>
        <w:tc>
          <w:tcPr>
            <w:tcW w:w="1872" w:type="dxa"/>
          </w:tcPr>
          <w:p>
            <w:pPr/>
            <w:r>
              <w:t xml:space="preserve">—</w:t>
            </w:r>
          </w:p>
        </w:tc>
        <w:tc>
          <w:tcPr>
            <w:tcW w:w="1872" w:type="dxa"/>
          </w:tcPr>
          <w:p>
            <w:pPr/>
            <w:r>
              <w:t xml:space="preserve">—</w:t>
            </w:r>
          </w:p>
        </w:tc>
        <w:tc>
          <w:tcPr>
            <w:tcW w:w="1872" w:type="dxa"/>
          </w:tcPr>
          <w:p>
            <w:pPr/>
            <w:r>
              <w:t xml:space="preserve">PAY-01–08</w:t>
            </w:r>
          </w:p>
        </w:tc>
        <w:tc>
          <w:tcPr>
            <w:tcW w:w="1872" w:type="dxa"/>
          </w:tcPr>
          <w:p>
            <w:pPr/>
            <w:r>
              <w:t xml:space="preserve">PAY-09</w:t>
            </w:r>
          </w:p>
        </w:tc>
      </w:tr>
      <w:tr>
        <w:tc>
          <w:tcPr>
            <w:tcW w:w="1872" w:type="dxa"/>
          </w:tcPr>
          <w:p>
            <w:pPr/>
            <w:r>
              <w:t xml:space="preserve">Security and privacy (§15)</w:t>
            </w:r>
          </w:p>
        </w:tc>
        <w:tc>
          <w:tcPr>
            <w:tcW w:w="1872" w:type="dxa"/>
          </w:tcPr>
          <w:p>
            <w:pPr/>
            <w:r>
              <w:t xml:space="preserve">SEC-01 without customer-managed keys; SEC-02–04, 07–12</w:t>
            </w:r>
          </w:p>
        </w:tc>
        <w:tc>
          <w:tcPr>
            <w:tcW w:w="1872" w:type="dxa"/>
          </w:tcPr>
          <w:p>
            <w:pPr/>
            <w:r>
              <w:t xml:space="preserve">SEC-01 customer-managed keys; SEC-05, 13</w:t>
            </w:r>
          </w:p>
        </w:tc>
        <w:tc>
          <w:tcPr>
            <w:tcW w:w="1872" w:type="dxa"/>
          </w:tcPr>
          <w:p>
            <w:pPr/>
            <w:r>
              <w:t xml:space="preserve">SEC-06</w:t>
            </w:r>
          </w:p>
        </w:tc>
        <w:tc>
          <w:tcPr>
            <w:tcW w:w="1872" w:type="dxa"/>
          </w:tcPr>
          <w:p>
            <w:pPr/>
            <w:r>
              <w:t xml:space="preserve">—</w:t>
            </w:r>
          </w:p>
        </w:tc>
      </w:tr>
      <w:tr>
        <w:tc>
          <w:tcPr>
            <w:tcW w:w="1872" w:type="dxa"/>
          </w:tcPr>
          <w:p>
            <w:pPr/>
            <w:r>
              <w:t xml:space="preserve">Non-functional (§17)</w:t>
            </w:r>
          </w:p>
        </w:tc>
        <w:tc>
          <w:tcPr>
            <w:tcW w:w="1872" w:type="dxa"/>
          </w:tcPr>
          <w:p>
            <w:pPr/>
            <w:r>
              <w:t xml:space="preserve">Revocation, durability, observability, accessibility</w:t>
            </w:r>
          </w:p>
        </w:tc>
        <w:tc>
          <w:tcPr>
            <w:tcW w:w="1872" w:type="dxa"/>
          </w:tcPr>
          <w:p>
            <w:pPr/>
            <w:r>
              <w:t xml:space="preserve">All rows</w:t>
            </w:r>
          </w:p>
        </w:tc>
        <w:tc>
          <w:tcPr>
            <w:tcW w:w="1872" w:type="dxa"/>
          </w:tcPr>
          <w:p>
            <w:pPr/>
            <w:r>
              <w:t xml:space="preserve">Home scale</w:t>
            </w:r>
          </w:p>
        </w:tc>
        <w:tc>
          <w:tcPr>
            <w:tcW w:w="1872" w:type="dxa"/>
          </w:tcPr>
          <w:p>
            <w:pPr/>
            <w:r>
              <w:t xml:space="preserve">—</w:t>
            </w:r>
          </w:p>
        </w:tc>
      </w:tr>
    </w:tbl>
    <w:p>
      <w:pPr/>
      <w:r>
        <w:rPr>
          <w:b/>
        </w:rPr>
        <w:t xml:space="preserve">Exit gates</w:t>
      </w:r>
      <w:r>
        <w:t xml:space="preserve"> (every criterion must hold; targets are proposals until the beta starts)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Gate</w:t>
            </w:r>
          </w:p>
        </w:tc>
        <w:tc>
          <w:tcPr>
            <w:tcW w:w="3120" w:type="dxa"/>
            <w:shd w:val="clear" w:color="auto" w:fill="F2F2F2"/>
          </w:tcPr>
          <w:p>
            <w:pPr/>
            <w:r>
              <w:t xml:space="preserve">Exit criteria</w:t>
            </w:r>
          </w:p>
        </w:tc>
        <w:tc>
          <w:tcPr>
            <w:tcW w:w="3120" w:type="dxa"/>
            <w:shd w:val="clear" w:color="auto" w:fill="F2F2F2"/>
          </w:tcPr>
          <w:p>
            <w:pPr/>
            <w:r>
              <w:t xml:space="preserve">Evidence</w:t>
            </w:r>
          </w:p>
        </w:tc>
      </w:tr>
      <w:tr>
        <w:tc>
          <w:tcPr>
            <w:tcW w:w="3120" w:type="dxa"/>
          </w:tcPr>
          <w:p>
            <w:pPr/>
            <w:r>
              <w:t xml:space="preserve">Gate 0: foundations → beta</w:t>
            </w:r>
          </w:p>
        </w:tc>
        <w:tc>
          <w:tcPr>
            <w:tcW w:w="3120" w:type="dxa"/>
          </w:tcPr>
          <w:p>
            <w:pPr/>
            <w: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invariant test suite passes</w:t>
            </w:r>
          </w:p>
        </w:tc>
        <w:tc>
          <w:tcPr>
            <w:tcW w:w="3120" w:type="dxa"/>
          </w:tcPr>
          <w:p>
            <w:pPr/>
            <w:r>
              <w:t xml:space="preserve">CI, red-team report</w:t>
            </w:r>
          </w:p>
        </w:tc>
      </w:tr>
      <w:tr>
        <w:tc>
          <w:tcPr>
            <w:tcW w:w="3120" w:type="dxa"/>
          </w:tcPr>
          <w:p>
            <w:pPr/>
            <w:r>
              <w:t xml:space="preserve">Gate 1: beta → GA build</w:t>
            </w:r>
          </w:p>
        </w:tc>
        <w:tc>
          <w:tcPr>
            <w:tcW w:w="3120" w:type="dxa"/>
          </w:tcPr>
          <w:p>
            <w:pPr/>
            <w: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w="3120" w:type="dxa"/>
          </w:tcPr>
          <w:p>
            <w:pPr/>
            <w:r>
              <w:t xml:space="preserve">Evaluation set, guardrail dashboards, CI</w:t>
            </w:r>
          </w:p>
        </w:tc>
      </w:tr>
      <w:tr>
        <w:tc>
          <w:tcPr>
            <w:tcW w:w="3120" w:type="dxa"/>
          </w:tcPr>
          <w:p>
            <w:pPr/>
            <w:r>
              <w:t xml:space="preserve">GA launch</w:t>
            </w:r>
          </w:p>
        </w:tc>
        <w:tc>
          <w:tcPr>
            <w:tcW w:w="3120" w:type="dxa"/>
          </w:tcPr>
          <w:p>
            <w:pPr/>
            <w:r>
              <w:t xml:space="preserve">Every GA-column requirement passes its acceptance tests; SOC 2 Type I report issued; third-party penetration test with no open critical or high findings; US and EU regions live</w:t>
            </w:r>
          </w:p>
        </w:tc>
        <w:tc>
          <w:tcPr>
            <w:tcW w:w="3120" w:type="dxa"/>
          </w:tcPr>
          <w:p>
            <w:pPr/>
            <w:r>
              <w:t xml:space="preserve">CI, audit and pentest reports</w:t>
            </w:r>
          </w:p>
        </w:tc>
      </w:tr>
      <w:tr>
        <w:tc>
          <w:tcPr>
            <w:tcW w:w="3120" w:type="dxa"/>
          </w:tcPr>
          <w:p>
            <w:pPr/>
            <w:r>
              <w:t xml:space="preserve">Gate 2: GA → Home</w:t>
            </w:r>
          </w:p>
        </w:tc>
        <w:tc>
          <w:tcPr>
            <w:tcW w:w="3120" w:type="dxa"/>
          </w:tcPr>
          <w:p>
            <w:pPr/>
            <w:r>
              <w:t xml:space="preserve">99.9% availability and 0 guardrail violations over the 60 days after GA; a restore drill meets the §17 RPO and RTO</w:t>
            </w:r>
          </w:p>
        </w:tc>
        <w:tc>
          <w:tcPr>
            <w:tcW w:w="3120" w:type="dxa"/>
          </w:tcPr>
          <w:p>
            <w:pPr/>
            <w:r>
              <w:t xml:space="preserve">SLO dashboards, drill report</w:t>
            </w:r>
          </w:p>
        </w:tc>
      </w:tr>
      <w:tr>
        <w:tc>
          <w:tcPr>
            <w:tcW w:w="3120" w:type="dxa"/>
          </w:tcPr>
          <w:p>
            <w:pPr/>
            <w:r>
              <w:t xml:space="preserve">Gate 3: Home purchases on</w:t>
            </w:r>
          </w:p>
        </w:tc>
        <w:tc>
          <w:tcPr>
            <w:tcW w:w="3120" w:type="dxa"/>
          </w:tcPr>
          <w:p>
            <w:pPr/>
            <w:r>
              <w:t xml:space="preserve">A signed merchant partner; app-store approval; PAY acceptance cases pass; 0 unauthorized purchases in a 4-week closed beta</w:t>
            </w:r>
          </w:p>
        </w:tc>
        <w:tc>
          <w:tcPr>
            <w:tcW w:w="3120" w:type="dxa"/>
          </w:tcPr>
          <w:p>
            <w:pPr/>
            <w:r>
              <w:t xml:space="preserve">Contract, store review, payment records</w:t>
            </w:r>
          </w:p>
        </w:tc>
      </w:tr>
    </w:tbl>
    <w:p>
      <w:pPr>
        <w:pStyle w:val="Heading3"/>
      </w:pPr>
      <w:r>
        <w:t xml:space="preserve">18.1 Beta contract: email request triage</w:t>
      </w:r>
    </w:p>
    <w:p>
      <w:pPr/>
      <w:r>
        <w:t xml:space="preserve">The beta proves one workflow end to end: an email request becomes a work-queue item, and an approved action carries it out, with every invariant holding. Its intake reuses the archived compliance plan v3.1 design.</w:t>
      </w:r>
    </w:p>
    <w:p>
      <w:pPr/>
      <w:r>
        <w:rPr>
          <w:b/>
        </w:rPr>
        <w:t xml:space="preserve">Design partners</w:t>
      </w:r>
      <w:r>
        <w:t xml:space="preserve"> (names to add, §21)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Partner</w:t>
            </w:r>
          </w:p>
        </w:tc>
        <w:tc>
          <w:tcPr>
            <w:tcW w:w="3120" w:type="dxa"/>
            <w:shd w:val="clear" w:color="auto" w:fill="F2F2F2"/>
          </w:tcPr>
          <w:p>
            <w:pPr/>
            <w:r>
              <w:t xml:space="preserve">Function</w:t>
            </w:r>
          </w:p>
        </w:tc>
        <w:tc>
          <w:tcPr>
            <w:tcW w:w="3120" w:type="dxa"/>
            <w:shd w:val="clear" w:color="auto" w:fill="F2F2F2"/>
          </w:tcPr>
          <w:p>
            <w:pPr/>
            <w:r>
              <w:t xml:space="preserve">Status</w:t>
            </w:r>
          </w:p>
        </w:tc>
      </w:tr>
      <w:tr>
        <w:tc>
          <w:tcPr>
            <w:tcW w:w="3120" w:type="dxa"/>
          </w:tcPr>
          <w:p>
            <w:pPr/>
            <w:r>
              <w:t xml:space="preserve">Compliance customer</w:t>
            </w:r>
          </w:p>
        </w:tc>
        <w:tc>
          <w:tcPr>
            <w:tcW w:w="3120" w:type="dxa"/>
          </w:tcPr>
          <w:p>
            <w:pPr/>
            <w:r>
              <w:t xml:space="preserve">Compliance</w:t>
            </w:r>
          </w:p>
        </w:tc>
        <w:tc>
          <w:tcPr>
            <w:tcW w:w="3120" w:type="dxa"/>
          </w:tcPr>
          <w:p>
            <w:pPr/>
            <w:r>
              <w:t xml:space="preserve">Identified; name to add</w:t>
            </w:r>
          </w:p>
        </w:tc>
      </w:tr>
      <w:tr>
        <w:tc>
          <w:tcPr>
            <w:tcW w:w="3120" w:type="dxa"/>
          </w:tcPr>
          <w:p>
            <w:pPr/>
            <w:r>
              <w:t xml:space="preserve">To recruit</w:t>
            </w:r>
          </w:p>
        </w:tc>
        <w:tc>
          <w:tcPr>
            <w:tcW w:w="3120" w:type="dxa"/>
          </w:tcPr>
          <w:p>
            <w:pPr/>
            <w:r>
              <w:t xml:space="preserve">IT service desk or operations</w:t>
            </w:r>
          </w:p>
        </w:tc>
        <w:tc>
          <w:tcPr>
            <w:tcW w:w="3120" w:type="dxa"/>
          </w:tcPr>
          <w:p>
            <w:pPr/>
            <w:r>
              <w:t xml:space="preserve">Needed for gate 1</w:t>
            </w:r>
          </w:p>
        </w:tc>
      </w:tr>
      <w:tr>
        <w:tc>
          <w:tcPr>
            <w:tcW w:w="3120" w:type="dxa"/>
          </w:tcPr>
          <w:p>
            <w:pPr/>
            <w:r>
              <w:t xml:space="preserve">To recruit (optional)</w:t>
            </w:r>
          </w:p>
        </w:tc>
        <w:tc>
          <w:tcPr>
            <w:tcW w:w="3120" w:type="dxa"/>
          </w:tcPr>
          <w:p>
            <w:pPr/>
            <w:r>
              <w:t xml:space="preserve">Another function</w:t>
            </w:r>
          </w:p>
        </w:tc>
        <w:tc>
          <w:tcPr>
            <w:tcW w:w="3120" w:type="dxa"/>
          </w:tcPr>
          <w:p>
            <w:pPr/>
            <w:r>
              <w:t xml:space="preserve">Strengthens gate 1</w:t>
            </w:r>
          </w:p>
        </w:tc>
      </w:tr>
    </w:tbl>
    <w:p>
      <w:pPr/>
      <w:r>
        <w:rPr>
          <w:b/>
        </w:rPr>
        <w:t xml:space="preserve">Supported inputs</w:t>
      </w:r>
    </w:p>
    <w:p>
      <w:pPr>
        <w:pStyle w:val="ListParagraph"/>
        <w:numPr>
          <w:ilvl w:val="0"/>
          <w:numId w:val="40"/>
        </w:numPr>
      </w:pPr>
      <w:r>
        <w:t xml:space="preserve">Microsoft 365 mail through Graph: the user's own mailbox and shared mailboxes they can read; selected folders; a 90-day monitored window.</w:t>
      </w:r>
    </w:p>
    <w:p>
      <w:pPr>
        <w:pStyle w:val="ListParagraph"/>
        <w:numPr>
          <w:ilvl w:val="0"/>
          <w:numId w:val="40"/>
        </w:numPr>
      </w:pPr>
      <w:r>
        <w:t xml:space="preserve">Message bodies, sanitized, with hidden regions flagged (CON-10); attachments as metadata, plus text extracted in a sandbox from PDF, DOCX and XLSX files up to 10 MB.</w:t>
      </w:r>
    </w:p>
    <w:p>
      <w:pPr>
        <w:pStyle w:val="ListParagraph"/>
        <w:numPr>
          <w:ilvl w:val="0"/>
          <w:numId w:val="40"/>
        </w:numPr>
      </w:pPr>
      <w:r>
        <w:t xml:space="preserve">English only. Not in the beta: Teams or other chat, Gmail, calendar invites, image-only content.</w:t>
      </w:r>
    </w:p>
    <w:p>
      <w:pPr/>
      <w:r>
        <w:rPr>
          <w:b/>
        </w:rPr>
        <w:t xml:space="preserve">Approved action types</w:t>
      </w:r>
      <w:r>
        <w:t xml:space="preserve"> (every action needs approval during the beta; pre-authorization starts after gate 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Action</w:t>
            </w:r>
          </w:p>
        </w:tc>
        <w:tc>
          <w:tcPr>
            <w:tcW w:w="2340" w:type="dxa"/>
            <w:shd w:val="clear" w:color="auto" w:fill="F2F2F2"/>
          </w:tcPr>
          <w:p>
            <w:pPr/>
            <w:r>
              <w:t xml:space="preserve">Capability limits</w:t>
            </w:r>
          </w:p>
        </w:tc>
        <w:tc>
          <w:tcPr>
            <w:tcW w:w="2340" w:type="dxa"/>
            <w:shd w:val="clear" w:color="auto" w:fill="F2F2F2"/>
          </w:tcPr>
          <w:p>
            <w:pPr/>
            <w:r>
              <w:t xml:space="preserve">Duplicate prevention (RUN-07)</w:t>
            </w:r>
          </w:p>
        </w:tc>
        <w:tc>
          <w:tcPr>
            <w:tcW w:w="2340" w:type="dxa"/>
            <w:shd w:val="clear" w:color="auto" w:fill="F2F2F2"/>
          </w:tcPr>
          <w:p>
            <w:pPr/>
            <w:r>
              <w:t xml:space="preserve">Recovery (RUN-06)</w:t>
            </w:r>
          </w:p>
        </w:tc>
      </w:tr>
      <w:tr>
        <w:tc>
          <w:tcPr>
            <w:tcW w:w="2340" w:type="dxa"/>
          </w:tcPr>
          <w:p>
            <w:pPr/>
            <w:r>
              <w:t xml:space="preserve">Update a row in a named Excel table</w:t>
            </w:r>
          </w:p>
        </w:tc>
        <w:tc>
          <w:tcPr>
            <w:tcW w:w="2340" w:type="dxa"/>
          </w:tcPr>
          <w:p>
            <w:pPr/>
            <w:r>
              <w:t xml:space="preserve">Named workbook and table; allowlisted columns; numeric change limits</w:t>
            </w:r>
          </w:p>
        </w:tc>
        <w:tc>
          <w:tcPr>
            <w:tcW w:w="2340" w:type="dxa"/>
          </w:tcPr>
          <w:p>
            <w:pPr/>
            <w:r>
              <w:t xml:space="preserve">(b) conditional write where Graph supports it, else (c)</w:t>
            </w:r>
          </w:p>
        </w:tc>
        <w:tc>
          <w:tcPr>
            <w:tcW w:w="2340" w:type="dxa"/>
          </w:tcPr>
          <w:p>
            <w:pPr/>
            <w:r>
              <w:t xml:space="preserve">Compensable: restore prior values</w:t>
            </w:r>
          </w:p>
        </w:tc>
      </w:tr>
      <w:tr>
        <w:tc>
          <w:tcPr>
            <w:tcW w:w="2340" w:type="dxa"/>
          </w:tcPr>
          <w:p>
            <w:pPr/>
            <w:r>
              <w:t xml:space="preserve">Create or update an item in a named SharePoint list</w:t>
            </w:r>
          </w:p>
        </w:tc>
        <w:tc>
          <w:tcPr>
            <w:tcW w:w="2340" w:type="dxa"/>
          </w:tcPr>
          <w:p>
            <w:pPr/>
            <w:r>
              <w:t xml:space="preserve">Named list; allowlisted fields</w:t>
            </w:r>
          </w:p>
        </w:tc>
        <w:tc>
          <w:tcPr>
            <w:tcW w:w="2340" w:type="dxa"/>
          </w:tcPr>
          <w:p>
            <w:pPr/>
            <w:r>
              <w:t xml:space="preserve">(c) for creates; (b) or (c) for updates</w:t>
            </w:r>
          </w:p>
        </w:tc>
        <w:tc>
          <w:tcPr>
            <w:tcW w:w="2340" w:type="dxa"/>
          </w:tcPr>
          <w:p>
            <w:pPr/>
            <w:r>
              <w:t xml:space="preserve">Compensable: delete the item or restore values</w:t>
            </w:r>
          </w:p>
        </w:tc>
      </w:tr>
      <w:tr>
        <w:tc>
          <w:tcPr>
            <w:tcW w:w="2340" w:type="dxa"/>
          </w:tcPr>
          <w:p>
            <w:pPr/>
            <w:r>
              <w:t xml:space="preserve">Create or update a ticket in one partner ticketing system</w:t>
            </w:r>
          </w:p>
        </w:tc>
        <w:tc>
          <w:tcPr>
            <w:tcW w:w="2340" w:type="dxa"/>
          </w:tcPr>
          <w:p>
            <w:pPr/>
            <w:r>
              <w:t xml:space="preserve">One project or queue; allowlisted fields</w:t>
            </w:r>
          </w:p>
        </w:tc>
        <w:tc>
          <w:tcPr>
            <w:tcW w:w="2340" w:type="dxa"/>
          </w:tcPr>
          <w:p>
            <w:pPr/>
            <w:r>
              <w:t xml:space="preserve">(a) if the system enforces idempotency keys, else (c)</w:t>
            </w:r>
          </w:p>
        </w:tc>
        <w:tc>
          <w:tcPr>
            <w:tcW w:w="2340" w:type="dxa"/>
          </w:tcPr>
          <w:p>
            <w:pPr/>
            <w:r>
              <w:t xml:space="preserve">Compensable: close as created in error, or restore fields</w:t>
            </w:r>
          </w:p>
        </w:tc>
      </w:tr>
      <w:tr>
        <w:tc>
          <w:tcPr>
            <w:tcW w:w="2340" w:type="dxa"/>
          </w:tcPr>
          <w:p>
            <w:pPr/>
            <w:r>
              <w:t xml:space="preserve">Draft a reply in the user's mailbox</w:t>
            </w:r>
          </w:p>
        </w:tc>
        <w:tc>
          <w:tcPr>
            <w:tcW w:w="2340" w:type="dxa"/>
          </w:tcPr>
          <w:p>
            <w:pPr/>
            <w:r>
              <w:t xml:space="preserve">Original sender only; Collicity never sends</w:t>
            </w:r>
          </w:p>
        </w:tc>
        <w:tc>
          <w:tcPr>
            <w:tcW w:w="2340" w:type="dxa"/>
          </w:tcPr>
          <w:p>
            <w:pPr/>
            <w:r>
              <w:t xml:space="preserve">(c) correlation ID in a message header</w:t>
            </w:r>
          </w:p>
        </w:tc>
        <w:tc>
          <w:tcPr>
            <w:tcW w:w="2340" w:type="dxa"/>
          </w:tcPr>
          <w:p>
            <w:pPr/>
            <w:r>
              <w:t xml:space="preserve">Compensable: delete the draft</w:t>
            </w:r>
          </w:p>
        </w:tc>
      </w:tr>
    </w:tbl>
    <w:p>
      <w:pPr/>
      <w:r>
        <w:t xml:space="preserve">Out of the beta: sending email, deleting records, and changing permissions or settings.</w:t>
      </w:r>
    </w:p>
    <w:p>
      <w:pPr/>
      <w:r>
        <w:rPr>
          <w:b/>
        </w:rPr>
        <w:t xml:space="preserve">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Who</w:t>
            </w:r>
          </w:p>
        </w:tc>
        <w:tc>
          <w:tcPr>
            <w:tcW w:w="3120" w:type="dxa"/>
            <w:shd w:val="clear" w:color="auto" w:fill="F2F2F2"/>
          </w:tcPr>
          <w:p>
            <w:pPr/>
            <w:r>
              <w:t xml:space="preserve">Can</w:t>
            </w:r>
          </w:p>
        </w:tc>
      </w:tr>
      <w:tr>
        <w:tc>
          <w:tcPr>
            <w:tcW w:w="3120" w:type="dxa"/>
          </w:tcPr>
          <w:p>
            <w:pPr/>
            <w:r>
              <w:t xml:space="preserve">Queue owner</w:t>
            </w:r>
          </w:p>
        </w:tc>
        <w:tc>
          <w:tcPr>
            <w:tcW w:w="3120" w:type="dxa"/>
          </w:tcPr>
          <w:p>
            <w:pPr/>
            <w:r>
              <w:t xml:space="preserve">Owner of the monitored mailbox or the assignment</w:t>
            </w:r>
          </w:p>
        </w:tc>
        <w:tc>
          <w:tcPr>
            <w:tcW w:w="3120" w:type="dxa"/>
          </w:tcPr>
          <w:p>
            <w:pPr/>
            <w:r>
              <w:t xml:space="preserve">Accept or reject items, approve actions, name delegates</w:t>
            </w:r>
          </w:p>
        </w:tc>
      </w:tr>
      <w:tr>
        <w:tc>
          <w:tcPr>
            <w:tcW w:w="3120" w:type="dxa"/>
          </w:tcPr>
          <w:p>
            <w:pPr/>
            <w:r>
              <w:t xml:space="preserve">Delegate approver</w:t>
            </w:r>
          </w:p>
        </w:tc>
        <w:tc>
          <w:tcPr>
            <w:tcW w:w="3120" w:type="dxa"/>
          </w:tcPr>
          <w:p>
            <w:pPr/>
            <w:r>
              <w:t xml:space="preserve">Named by the queue owner; must pass SEC-08 visibility for the item</w:t>
            </w:r>
          </w:p>
        </w:tc>
        <w:tc>
          <w:tcPr>
            <w:tcW w:w="3120" w:type="dxa"/>
          </w:tcPr>
          <w:p>
            <w:pPr/>
            <w:r>
              <w:t xml:space="preserve">Accept items and approve actions on that queue</w:t>
            </w:r>
          </w:p>
        </w:tc>
      </w:tr>
      <w:tr>
        <w:tc>
          <w:tcPr>
            <w:tcW w:w="3120" w:type="dxa"/>
          </w:tcPr>
          <w:p>
            <w:pPr/>
            <w:r>
              <w:t xml:space="preserve">Requester</w:t>
            </w:r>
          </w:p>
        </w:tc>
        <w:tc>
          <w:tcPr>
            <w:tcW w:w="3120" w:type="dxa"/>
          </w:tcPr>
          <w:p>
            <w:pPr/>
            <w:r>
              <w:t xml:space="preserve">The email's sender</w:t>
            </w:r>
          </w:p>
        </w:tc>
        <w:tc>
          <w:tcPr>
            <w:tcW w:w="3120" w:type="dxa"/>
          </w:tcPr>
          <w:p>
            <w:pPr/>
            <w:r>
              <w:t xml:space="preserve">Nothing in Collicity; follow-up mail becomes change, cancel or complete proposals checked against authority rules</w:t>
            </w:r>
          </w:p>
        </w:tc>
      </w:tr>
      <w:tr>
        <w:tc>
          <w:tcPr>
            <w:tcW w:w="3120" w:type="dxa"/>
          </w:tcPr>
          <w:p>
            <w:pPr/>
            <w:r>
              <w:t xml:space="preserve">Tenant admin</w:t>
            </w:r>
          </w:p>
        </w:tc>
        <w:tc>
          <w:tcPr>
            <w:tcW w:w="3120" w:type="dxa"/>
          </w:tcPr>
          <w:p>
            <w:pPr/>
            <w:r>
              <w:t xml:space="preserve">Customer administrator</w:t>
            </w:r>
          </w:p>
        </w:tc>
        <w:tc>
          <w:tcPr>
            <w:tcW w:w="3120" w:type="dxa"/>
          </w:tcPr>
          <w:p>
            <w:pPr/>
            <w:r>
              <w:t xml:space="preserve">Configure connectors, capabilities and budgets; suspend; never approve another person's actions</w:t>
            </w:r>
          </w:p>
        </w:tc>
      </w:tr>
    </w:tbl>
    <w:p>
      <w:pPr/>
      <w:r>
        <w:rPr>
          <w:b/>
        </w:rPr>
        <w:t xml:space="preserve">Queue item lifecycle.</w:t>
      </w:r>
      <w:r>
        <w:t xml:space="preserve"> Main path: Proposed → Accepted → Action proposed → Approved → Executing → Done, with completion evidence. Other states: Rejected (disposition: not relevant, duplicate of, already completed, wrong split, wrong merge, out of scope), Merged, Cancelled (only through an accepted cancel proposal), Needs reassignment (the owner lost access) and Needs repair (RUN-06, RUN-07). One email can create several items. Follow-up mail updates unapproved fields directly; approved fields, cancellation and completion change only through accepted proposals.</w:t>
      </w:r>
    </w:p>
    <w:p>
      <w:pPr/>
      <w:r>
        <w:rPr>
          <w:b/>
        </w:rPr>
        <w:t xml:space="preserve">Acceptance cases</w:t>
      </w:r>
    </w:p>
    <w:p>
      <w:pPr>
        <w:pStyle w:val="ListParagraph"/>
        <w:numPr>
          <w:ilvl w:val="0"/>
          <w:numId w:val="41"/>
        </w:numPr>
      </w:pPr>
      <w:r>
        <w:t xml:space="preserve">Adopted from the archive, reading obligation as queue item and proposal as approval request: all 21 cases in </w:t>
      </w:r>
      <w:r>
        <w:rPr>
          <w:rStyle w:val="CodeChar"/>
        </w:rPr>
        <w:t xml:space="preserve">acceptance-cases-release-1-v3-1.md</w:t>
      </w:r>
      <w:r>
        <w:t xml:space="preserve">, with AC-10 and AC-14 as written in </w:t>
      </w:r>
      <w:r>
        <w:rPr>
          <w:rStyle w:val="CodeChar"/>
        </w:rPr>
        <w:t xml:space="preserve">acceptance-cases-release-1.md</w:t>
      </w:r>
      <w:r>
        <w:t xml:space="preserve">. AC-15 (missed requests) and AC-16 (adjudicated precision) define two gate 1 metrics.</w:t>
      </w:r>
    </w:p>
    <w:p>
      <w:pPr>
        <w:pStyle w:val="ListParagraph"/>
        <w:numPr>
          <w:ilvl w:val="0"/>
          <w:numId w:val="41"/>
        </w:numPr>
      </w:pPr>
      <w:r>
        <w:t xml:space="preserve">New cases to write for the action half: capability violation blocked (CON-02); lost acknowledgement for each action type (RUN-07); compensation and partial side effects (RUN-06); budget pause and resume (§7.6); stale approval (RUN-04); revocation mid-run (RUN-05); snapshot withdrawal (SEC-10); exfiltration through rendering blocked (SEC-11); untrusted lineage across steps and no writes to standing instructions (SEC-12); obfuscated and attachment-hidden instructions flagged (CON-10); per-sender throttling (ASG-17).</w:t>
      </w:r>
    </w:p>
    <w:p>
      <w:pPr/>
      <w:r>
        <w:rPr>
          <w:b/>
        </w:rPr>
        <w:t xml:space="preserve">Exit:</w:t>
      </w:r>
      <w:r>
        <w:t xml:space="preserve"> gate 1 in the exit-gates table above.</w:t>
      </w:r>
    </w:p>
    <w:p>
      <w:pPr>
        <w:pStyle w:val="Heading2"/>
      </w:pPr>
      <w:r>
        <w:t xml:space="preserve">19. Success metrics</w:t>
      </w:r>
    </w:p>
    <w:p>
      <w:pPr/>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Type</w:t>
            </w:r>
          </w:p>
        </w:tc>
        <w:tc>
          <w:tcPr>
            <w:tcW w:w="2340" w:type="dxa"/>
            <w:shd w:val="clear" w:color="auto" w:fill="F2F2F2"/>
          </w:tcPr>
          <w:p>
            <w:pPr/>
            <w:r>
              <w:t xml:space="preserve">Proposed target</w:t>
            </w:r>
          </w:p>
        </w:tc>
        <w:tc>
          <w:tcPr>
            <w:tcW w:w="2340" w:type="dxa"/>
            <w:shd w:val="clear" w:color="auto" w:fill="F2F2F2"/>
          </w:tcPr>
          <w:p>
            <w:pPr/>
            <w:r>
              <w:t xml:space="preserve">Measured by</w:t>
            </w:r>
          </w:p>
        </w:tc>
      </w:tr>
      <w:tr>
        <w:tc>
          <w:tcPr>
            <w:tcW w:w="2340" w:type="dxa"/>
          </w:tcPr>
          <w:p>
            <w:pPr/>
            <w:r>
              <w:t xml:space="preserve">New users who run an assignment within 7 days</w:t>
            </w:r>
          </w:p>
        </w:tc>
        <w:tc>
          <w:tcPr>
            <w:tcW w:w="2340" w:type="dxa"/>
          </w:tcPr>
          <w:p>
            <w:pPr/>
            <w:r>
              <w:t xml:space="preserve">Leading</w:t>
            </w:r>
          </w:p>
        </w:tc>
        <w:tc>
          <w:tcPr>
            <w:tcW w:w="2340" w:type="dxa"/>
          </w:tcPr>
          <w:p>
            <w:pPr/>
            <w:r>
              <w:t xml:space="preserve">35%</w:t>
            </w:r>
          </w:p>
        </w:tc>
        <w:tc>
          <w:tcPr>
            <w:tcW w:w="2340" w:type="dxa"/>
          </w:tcPr>
          <w:p>
            <w:pPr/>
            <w:r>
              <w:t xml:space="preserve">Product analytics</w:t>
            </w:r>
          </w:p>
        </w:tc>
      </w:tr>
      <w:tr>
        <w:tc>
          <w:tcPr>
            <w:tcW w:w="2340" w:type="dxa"/>
          </w:tcPr>
          <w:p>
            <w:pPr/>
            <w:r>
              <w:t xml:space="preserve">AI-built assignments accepted with ≤2 edits</w:t>
            </w:r>
          </w:p>
        </w:tc>
        <w:tc>
          <w:tcPr>
            <w:tcW w:w="2340" w:type="dxa"/>
          </w:tcPr>
          <w:p>
            <w:pPr/>
            <w:r>
              <w:t xml:space="preserve">Leading</w:t>
            </w:r>
          </w:p>
        </w:tc>
        <w:tc>
          <w:tcPr>
            <w:tcW w:w="2340" w:type="dxa"/>
          </w:tcPr>
          <w:p>
            <w:pPr/>
            <w:r>
              <w:t xml:space="preserve">60%</w:t>
            </w:r>
          </w:p>
        </w:tc>
        <w:tc>
          <w:tcPr>
            <w:tcW w:w="2340" w:type="dxa"/>
          </w:tcPr>
          <w:p>
            <w:pPr/>
            <w:r>
              <w:t xml:space="preserve">Builder telemetry</w:t>
            </w:r>
          </w:p>
        </w:tc>
      </w:tr>
      <w:tr>
        <w:tc>
          <w:tcPr>
            <w:tcW w:w="2340" w:type="dxa"/>
          </w:tcPr>
          <w:p>
            <w:pPr/>
            <w:r>
              <w:t xml:space="preserve">Runs whose actual cost lands within ±25% of the estimate</w:t>
            </w:r>
          </w:p>
        </w:tc>
        <w:tc>
          <w:tcPr>
            <w:tcW w:w="2340" w:type="dxa"/>
          </w:tcPr>
          <w:p>
            <w:pPr/>
            <w:r>
              <w:t xml:space="preserve">Leading</w:t>
            </w:r>
          </w:p>
        </w:tc>
        <w:tc>
          <w:tcPr>
            <w:tcW w:w="2340" w:type="dxa"/>
          </w:tcPr>
          <w:p>
            <w:pPr/>
            <w:r>
              <w:t xml:space="preserve">80%</w:t>
            </w:r>
          </w:p>
        </w:tc>
        <w:tc>
          <w:tcPr>
            <w:tcW w:w="2340" w:type="dxa"/>
          </w:tcPr>
          <w:p>
            <w:pPr/>
            <w:r>
              <w:t xml:space="preserve">Budget ledger</w:t>
            </w:r>
          </w:p>
        </w:tc>
      </w:tr>
      <w:tr>
        <w:tc>
          <w:tcPr>
            <w:tcW w:w="2340" w:type="dxa"/>
          </w:tcPr>
          <w:p>
            <w:pPr/>
            <w:r>
              <w:t xml:space="preserve">Median time from approval request to decision</w:t>
            </w:r>
          </w:p>
        </w:tc>
        <w:tc>
          <w:tcPr>
            <w:tcW w:w="2340" w:type="dxa"/>
          </w:tcPr>
          <w:p>
            <w:pPr/>
            <w:r>
              <w:t xml:space="preserve">Leading</w:t>
            </w:r>
          </w:p>
        </w:tc>
        <w:tc>
          <w:tcPr>
            <w:tcW w:w="2340" w:type="dxa"/>
          </w:tcPr>
          <w:p>
            <w:pPr/>
            <w:r>
              <w:t xml:space="preserve">&lt;10 min (Home), &lt;1 h (Enterprise)</w:t>
            </w:r>
          </w:p>
        </w:tc>
        <w:tc>
          <w:tcPr>
            <w:tcW w:w="2340" w:type="dxa"/>
          </w:tcPr>
          <w:p>
            <w:pPr/>
            <w:r>
              <w:t xml:space="preserve">Approval events</w:t>
            </w:r>
          </w:p>
        </w:tc>
      </w:tr>
      <w:tr>
        <w:tc>
          <w:tcPr>
            <w:tcW w:w="2340" w:type="dxa"/>
          </w:tcPr>
          <w:p>
            <w:pPr/>
            <w:r>
              <w:t xml:space="preserve">Missed requests: relevant requests in sampled inbound mail that never became queue items</w:t>
            </w:r>
          </w:p>
        </w:tc>
        <w:tc>
          <w:tcPr>
            <w:tcW w:w="2340" w:type="dxa"/>
          </w:tcPr>
          <w:p>
            <w:pPr/>
            <w:r>
              <w:t xml:space="preserve">Quality</w:t>
            </w:r>
          </w:p>
        </w:tc>
        <w:tc>
          <w:tcPr>
            <w:tcW w:w="2340" w:type="dxa"/>
          </w:tcPr>
          <w:p>
            <w:pPr/>
            <w:r>
              <w:t xml:space="preserve">≤10%, upper 95% bound ≤15%</w:t>
            </w:r>
          </w:p>
        </w:tc>
        <w:tc>
          <w:tcPr>
            <w:tcW w:w="2340" w:type="dxa"/>
          </w:tcPr>
          <w:p>
            <w:pPr/>
            <w:r>
              <w:t xml:space="preserve">Sample stratified by pipeline stage, including pre-filter drops; bootstrap interval (archived AC-15)</w:t>
            </w:r>
          </w:p>
        </w:tc>
      </w:tr>
      <w:tr>
        <w:tc>
          <w:tcPr>
            <w:tcW w:w="2340" w:type="dxa"/>
          </w:tcPr>
          <w:p>
            <w:pPr/>
            <w:r>
              <w:t xml:space="preserve">Triage precision: adjudicated queue items that were real requests</w:t>
            </w:r>
          </w:p>
        </w:tc>
        <w:tc>
          <w:tcPr>
            <w:tcW w:w="2340" w:type="dxa"/>
          </w:tcPr>
          <w:p>
            <w:pPr/>
            <w:r>
              <w:t xml:space="preserve">Quality</w:t>
            </w:r>
          </w:p>
        </w:tc>
        <w:tc>
          <w:tcPr>
            <w:tcW w:w="2340" w:type="dxa"/>
          </w:tcPr>
          <w:p>
            <w:pPr/>
            <w:r>
              <w:t xml:space="preserve">≥80%</w:t>
            </w:r>
          </w:p>
        </w:tc>
        <w:tc>
          <w:tcPr>
            <w:tcW w:w="2340" w:type="dxa"/>
          </w:tcPr>
          <w:p>
            <w:pPr/>
            <w:r>
              <w:t xml:space="preserve">Reviewer decisions, pending items excluded (archived AC-16)</w:t>
            </w:r>
          </w:p>
        </w:tc>
      </w:tr>
      <w:tr>
        <w:tc>
          <w:tcPr>
            <w:tcW w:w="2340" w:type="dxa"/>
          </w:tcPr>
          <w:p>
            <w:pPr/>
            <w:r>
              <w:t xml:space="preserve">Escaped defect rate: defective delivered runs ÷ adjudicated delivered runs</w:t>
            </w:r>
          </w:p>
        </w:tc>
        <w:tc>
          <w:tcPr>
            <w:tcW w:w="2340" w:type="dxa"/>
          </w:tcPr>
          <w:p>
            <w:pPr/>
            <w:r>
              <w:t xml:space="preserve">Quality</w:t>
            </w:r>
          </w:p>
        </w:tc>
        <w:tc>
          <w:tcPr>
            <w:tcW w:w="2340" w:type="dxa"/>
          </w:tcPr>
          <w:p>
            <w:pPr/>
            <w:r>
              <w:t xml:space="preserve">&lt;2%</w:t>
            </w:r>
          </w:p>
        </w:tc>
        <w:tc>
          <w:tcPr>
            <w:tcW w:w="2340" w:type="dxa"/>
          </w:tcPr>
          <w:p>
            <w:pPr/>
            <w:r>
              <w:t xml:space="preserve">Evaluation set; paused, cancelled and withheld runs excluded</w:t>
            </w:r>
          </w:p>
        </w:tc>
      </w:tr>
      <w:tr>
        <w:tc>
          <w:tcPr>
            <w:tcW w:w="2340" w:type="dxa"/>
          </w:tcPr>
          <w:p>
            <w:pPr/>
            <w:r>
              <w:t xml:space="preserve">Supervisor precision: flags that were real defects</w:t>
            </w:r>
          </w:p>
        </w:tc>
        <w:tc>
          <w:tcPr>
            <w:tcW w:w="2340" w:type="dxa"/>
          </w:tcPr>
          <w:p>
            <w:pPr/>
            <w:r>
              <w:t xml:space="preserve">Quality</w:t>
            </w:r>
          </w:p>
        </w:tc>
        <w:tc>
          <w:tcPr>
            <w:tcW w:w="2340" w:type="dxa"/>
          </w:tcPr>
          <w:p>
            <w:pPr/>
            <w:r>
              <w:t xml:space="preserve">≥80%</w:t>
            </w:r>
          </w:p>
        </w:tc>
        <w:tc>
          <w:tcPr>
            <w:tcW w:w="2340" w:type="dxa"/>
          </w:tcPr>
          <w:p>
            <w:pPr/>
            <w:r>
              <w:t xml:space="preserve">Evaluation set</w:t>
            </w:r>
          </w:p>
        </w:tc>
      </w:tr>
      <w:tr>
        <w:tc>
          <w:tcPr>
            <w:tcW w:w="2340" w:type="dxa"/>
          </w:tcPr>
          <w:p>
            <w:pPr/>
            <w:r>
              <w:t xml:space="preserve">Supervisor recall: real defects the supervisor flagged</w:t>
            </w:r>
          </w:p>
        </w:tc>
        <w:tc>
          <w:tcPr>
            <w:tcW w:w="2340" w:type="dxa"/>
          </w:tcPr>
          <w:p>
            <w:pPr/>
            <w:r>
              <w:t xml:space="preserve">Quality</w:t>
            </w:r>
          </w:p>
        </w:tc>
        <w:tc>
          <w:tcPr>
            <w:tcW w:w="2340" w:type="dxa"/>
          </w:tcPr>
          <w:p>
            <w:pPr/>
            <w:r>
              <w:t xml:space="preserve">≥90%</w:t>
            </w:r>
          </w:p>
        </w:tc>
        <w:tc>
          <w:tcPr>
            <w:tcW w:w="2340" w:type="dxa"/>
          </w:tcPr>
          <w:p>
            <w:pPr/>
            <w:r>
              <w:t xml:space="preserve">Evaluation set</w:t>
            </w:r>
          </w:p>
        </w:tc>
      </w:tr>
      <w:tr>
        <w:tc>
          <w:tcPr>
            <w:tcW w:w="2340" w:type="dxa"/>
          </w:tcPr>
          <w:p>
            <w:pPr/>
            <w:r>
              <w:t xml:space="preserve">Unnecessary interventions: retries or take-overs on correct output</w:t>
            </w:r>
          </w:p>
        </w:tc>
        <w:tc>
          <w:tcPr>
            <w:tcW w:w="2340" w:type="dxa"/>
          </w:tcPr>
          <w:p>
            <w:pPr/>
            <w:r>
              <w:t xml:space="preserve">Quality</w:t>
            </w:r>
          </w:p>
        </w:tc>
        <w:tc>
          <w:tcPr>
            <w:tcW w:w="2340" w:type="dxa"/>
          </w:tcPr>
          <w:p>
            <w:pPr/>
            <w:r>
              <w:t xml:space="preserve">≤10% of interventions</w:t>
            </w:r>
          </w:p>
        </w:tc>
        <w:tc>
          <w:tcPr>
            <w:tcW w:w="2340" w:type="dxa"/>
          </w:tcPr>
          <w:p>
            <w:pPr/>
            <w:r>
              <w:t xml:space="preserve">Evaluation set</w:t>
            </w:r>
          </w:p>
        </w:tc>
      </w:tr>
      <w:tr>
        <w:tc>
          <w:tcPr>
            <w:tcW w:w="2340" w:type="dxa"/>
          </w:tcPr>
          <w:p>
            <w:pPr/>
            <w:r>
              <w:t xml:space="preserve">Supervision cost share</w:t>
            </w:r>
          </w:p>
        </w:tc>
        <w:tc>
          <w:tcPr>
            <w:tcW w:w="2340" w:type="dxa"/>
          </w:tcPr>
          <w:p>
            <w:pPr/>
            <w:r>
              <w:t xml:space="preserve">Quality</w:t>
            </w:r>
          </w:p>
        </w:tc>
        <w:tc>
          <w:tcPr>
            <w:tcW w:w="2340" w:type="dxa"/>
          </w:tcPr>
          <w:p>
            <w:pPr/>
            <w:r>
              <w:t xml:space="preserve">≤15% of run cost</w:t>
            </w:r>
          </w:p>
        </w:tc>
        <w:tc>
          <w:tcPr>
            <w:tcW w:w="2340" w:type="dxa"/>
          </w:tcPr>
          <w:p>
            <w:pPr/>
            <w:r>
              <w:t xml:space="preserve">Budget ledger</w:t>
            </w:r>
          </w:p>
        </w:tc>
      </w:tr>
      <w:tr>
        <w:tc>
          <w:tcPr>
            <w:tcW w:w="2340" w:type="dxa"/>
          </w:tcPr>
          <w:p>
            <w:pPr/>
            <w:r>
              <w:t xml:space="preserve">Net cost per verified-successful task</w:t>
            </w:r>
          </w:p>
        </w:tc>
        <w:tc>
          <w:tcPr>
            <w:tcW w:w="2340" w:type="dxa"/>
          </w:tcPr>
          <w:p>
            <w:pPr/>
            <w:r>
              <w:t xml:space="preserve">Quality</w:t>
            </w:r>
          </w:p>
        </w:tc>
        <w:tc>
          <w:tcPr>
            <w:tcW w:w="2340" w:type="dxa"/>
          </w:tcPr>
          <w:p>
            <w:pPr/>
            <w:r>
              <w:t xml:space="preserve">≥40% below frontier-only baseline (G3)</w:t>
            </w:r>
          </w:p>
        </w:tc>
        <w:tc>
          <w:tcPr>
            <w:tcW w:w="2340" w:type="dxa"/>
          </w:tcPr>
          <w:p>
            <w:pPr/>
            <w:r>
              <w:t xml:space="preserve">Budget ledger + evaluation set</w:t>
            </w:r>
          </w:p>
        </w:tc>
      </w:tr>
      <w:tr>
        <w:tc>
          <w:tcPr>
            <w:tcW w:w="2340" w:type="dxa"/>
          </w:tcPr>
          <w:p>
            <w:pPr/>
            <w:r>
              <w:t xml:space="preserve">Assignments still running 8 weeks after creation</w:t>
            </w:r>
          </w:p>
        </w:tc>
        <w:tc>
          <w:tcPr>
            <w:tcW w:w="2340" w:type="dxa"/>
          </w:tcPr>
          <w:p>
            <w:pPr/>
            <w:r>
              <w:t xml:space="preserve">Lagging</w:t>
            </w:r>
          </w:p>
        </w:tc>
        <w:tc>
          <w:tcPr>
            <w:tcW w:w="2340" w:type="dxa"/>
          </w:tcPr>
          <w:p>
            <w:pPr/>
            <w:r>
              <w:t xml:space="preserve">50%</w:t>
            </w:r>
          </w:p>
        </w:tc>
        <w:tc>
          <w:tcPr>
            <w:tcW w:w="2340" w:type="dxa"/>
          </w:tcPr>
          <w:p>
            <w:pPr/>
            <w:r>
              <w:t xml:space="preserve">Product analytics</w:t>
            </w:r>
          </w:p>
        </w:tc>
      </w:tr>
      <w:tr>
        <w:tc>
          <w:tcPr>
            <w:tcW w:w="2340" w:type="dxa"/>
          </w:tcPr>
          <w:p>
            <w:pPr/>
            <w:r>
              <w:t xml:space="preserve">Enterprise seats active weekly</w:t>
            </w:r>
          </w:p>
        </w:tc>
        <w:tc>
          <w:tcPr>
            <w:tcW w:w="2340" w:type="dxa"/>
          </w:tcPr>
          <w:p>
            <w:pPr/>
            <w:r>
              <w:t xml:space="preserve">Lagging</w:t>
            </w:r>
          </w:p>
        </w:tc>
        <w:tc>
          <w:tcPr>
            <w:tcW w:w="2340" w:type="dxa"/>
          </w:tcPr>
          <w:p>
            <w:pPr/>
            <w:r>
              <w:t xml:space="preserve">60% of licensed</w:t>
            </w:r>
          </w:p>
        </w:tc>
        <w:tc>
          <w:tcPr>
            <w:tcW w:w="2340" w:type="dxa"/>
          </w:tcPr>
          <w:p>
            <w:pPr/>
            <w:r>
              <w:t xml:space="preserve">Admin console</w:t>
            </w:r>
          </w:p>
        </w:tc>
      </w:tr>
      <w:tr>
        <w:tc>
          <w:tcPr>
            <w:tcW w:w="2340" w:type="dxa"/>
          </w:tcPr>
          <w:p>
            <w:pPr/>
            <w:r>
              <w:t xml:space="preserve">Connector calls beyond the user's permission ceiling (invariant 1)</w:t>
            </w:r>
          </w:p>
        </w:tc>
        <w:tc>
          <w:tcPr>
            <w:tcW w:w="2340" w:type="dxa"/>
          </w:tcPr>
          <w:p>
            <w:pPr/>
            <w:r>
              <w:t xml:space="preserve">Guardrail</w:t>
            </w:r>
          </w:p>
        </w:tc>
        <w:tc>
          <w:tcPr>
            <w:tcW w:w="2340" w:type="dxa"/>
          </w:tcPr>
          <w:p>
            <w:pPr/>
            <w:r>
              <w:t xml:space="preserve">0</w:t>
            </w:r>
          </w:p>
        </w:tc>
        <w:tc>
          <w:tcPr>
            <w:tcW w:w="2340" w:type="dxa"/>
          </w:tcPr>
          <w:p>
            <w:pPr/>
            <w:r>
              <w:t xml:space="preserve">Gateway + audit log</w:t>
            </w:r>
          </w:p>
        </w:tc>
      </w:tr>
      <w:tr>
        <w:tc>
          <w:tcPr>
            <w:tcW w:w="2340" w:type="dxa"/>
          </w:tcPr>
          <w:p>
            <w:pPr/>
            <w:r>
              <w:t xml:space="preserve">Side effects, including purchases, without valid authorization (invariant 2)</w:t>
            </w:r>
          </w:p>
        </w:tc>
        <w:tc>
          <w:tcPr>
            <w:tcW w:w="2340" w:type="dxa"/>
          </w:tcPr>
          <w:p>
            <w:pPr/>
            <w:r>
              <w:t xml:space="preserve">Guardrail</w:t>
            </w:r>
          </w:p>
        </w:tc>
        <w:tc>
          <w:tcPr>
            <w:tcW w:w="2340" w:type="dxa"/>
          </w:tcPr>
          <w:p>
            <w:pPr/>
            <w:r>
              <w:t xml:space="preserve">0</w:t>
            </w:r>
          </w:p>
        </w:tc>
        <w:tc>
          <w:tcPr>
            <w:tcW w:w="2340" w:type="dxa"/>
          </w:tcPr>
          <w:p>
            <w:pPr/>
            <w:r>
              <w:t xml:space="preserve">Audit log + payment records</w:t>
            </w:r>
          </w:p>
        </w:tc>
      </w:tr>
      <w:tr>
        <w:tc>
          <w:tcPr>
            <w:tcW w:w="2340" w:type="dxa"/>
          </w:tcPr>
          <w:p>
            <w:pPr/>
            <w:r>
              <w:t xml:space="preserve">Credentials found in prompts, outputs or logs (invariant 3)</w:t>
            </w:r>
          </w:p>
        </w:tc>
        <w:tc>
          <w:tcPr>
            <w:tcW w:w="2340" w:type="dxa"/>
          </w:tcPr>
          <w:p>
            <w:pPr/>
            <w:r>
              <w:t xml:space="preserve">Guardrail</w:t>
            </w:r>
          </w:p>
        </w:tc>
        <w:tc>
          <w:tcPr>
            <w:tcW w:w="2340" w:type="dxa"/>
          </w:tcPr>
          <w:p>
            <w:pPr/>
            <w:r>
              <w:t xml:space="preserve">0</w:t>
            </w:r>
          </w:p>
        </w:tc>
        <w:tc>
          <w:tcPr>
            <w:tcW w:w="2340" w:type="dxa"/>
          </w:tcPr>
          <w:p>
            <w:pPr/>
            <w:r>
              <w:t xml:space="preserve">Secret scanning of stored prompts and logs</w:t>
            </w:r>
          </w:p>
        </w:tc>
      </w:tr>
      <w:tr>
        <w:tc>
          <w:tcPr>
            <w:tcW w:w="2340" w:type="dxa"/>
          </w:tcPr>
          <w:p>
            <w:pPr/>
            <w:r>
              <w:t xml:space="preserve">Billable operations started without a reservation, or budget overruns without authorization (invariant 4)</w:t>
            </w:r>
          </w:p>
        </w:tc>
        <w:tc>
          <w:tcPr>
            <w:tcW w:w="2340" w:type="dxa"/>
          </w:tcPr>
          <w:p>
            <w:pPr/>
            <w:r>
              <w:t xml:space="preserve">Guardrail</w:t>
            </w:r>
          </w:p>
        </w:tc>
        <w:tc>
          <w:tcPr>
            <w:tcW w:w="2340" w:type="dxa"/>
          </w:tcPr>
          <w:p>
            <w:pPr/>
            <w:r>
              <w:t xml:space="preserve">0</w:t>
            </w:r>
          </w:p>
        </w:tc>
        <w:tc>
          <w:tcPr>
            <w:tcW w:w="2340" w:type="dxa"/>
          </w:tcPr>
          <w:p>
            <w:pPr/>
            <w:r>
              <w:t xml:space="preserve">Budget ledger reconciliation</w:t>
            </w:r>
          </w:p>
        </w:tc>
      </w:tr>
      <w:tr>
        <w:tc>
          <w:tcPr>
            <w:tcW w:w="2340" w:type="dxa"/>
          </w:tcPr>
          <w:p>
            <w:pPr/>
            <w:r>
              <w:t xml:space="preserve">Injection test cases that expanded authority or leaked a honeytoken (invariant 5)</w:t>
            </w:r>
          </w:p>
        </w:tc>
        <w:tc>
          <w:tcPr>
            <w:tcW w:w="2340" w:type="dxa"/>
          </w:tcPr>
          <w:p>
            <w:pPr/>
            <w:r>
              <w:t xml:space="preserve">Guardrail</w:t>
            </w:r>
          </w:p>
        </w:tc>
        <w:tc>
          <w:tcPr>
            <w:tcW w:w="2340" w:type="dxa"/>
          </w:tcPr>
          <w:p>
            <w:pPr/>
            <w:r>
              <w:t xml:space="preserve">0</w:t>
            </w:r>
          </w:p>
        </w:tc>
        <w:tc>
          <w:tcPr>
            <w:tcW w:w="2340" w:type="dxa"/>
          </w:tcPr>
          <w:p>
            <w:pPr/>
            <w:r>
              <w:t xml:space="preserve">Release-gating red-team suite</w:t>
            </w:r>
          </w:p>
        </w:tc>
      </w:tr>
    </w:tbl>
    <w:p>
      <w:pPr>
        <w:pStyle w:val="Heading2"/>
      </w:pPr>
      <w:r>
        <w:t xml:space="preserve">20. Key risks</w:t>
      </w:r>
    </w:p>
    <w:p>
      <w:pPr/>
      <w:r>
        <w:t xml:space="preserve">Scope is the largest risk: six platforms, two editions and real-money purchases at once would delay learning by many months, so phasing (§18) is the main mitigation.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Scope: six platforms × two editions × payments</w:t>
            </w:r>
          </w:p>
        </w:tc>
        <w:tc>
          <w:tcPr>
            <w:tcW w:w="3120" w:type="dxa"/>
          </w:tcPr>
          <w:p>
            <w:pPr/>
            <w:r>
              <w:t xml:space="preserve">Slow launch, thin quality</w:t>
            </w:r>
          </w:p>
        </w:tc>
        <w:tc>
          <w:tcPr>
            <w:tcW w:w="3120" w:type="dxa"/>
          </w:tcPr>
          <w:p>
            <w:pPr/>
            <w:r>
              <w:t xml:space="preserve">Phase by edition and capability; one UI codebase; execution centralized in the cloud</w:t>
            </w:r>
          </w:p>
        </w:tc>
      </w:tr>
      <w:tr>
        <w:tc>
          <w:tcPr>
            <w:tcW w:w="3120" w:type="dxa"/>
          </w:tcPr>
          <w:p>
            <w:pPr/>
            <w:r>
              <w:t xml:space="preserve">Prompt injection causes a harmful action</w:t>
            </w:r>
          </w:p>
        </w:tc>
        <w:tc>
          <w:tcPr>
            <w:tcW w:w="3120" w:type="dxa"/>
          </w:tcPr>
          <w:p>
            <w:pPr/>
            <w:r>
              <w:t xml:space="preserve">Security incident, loss of trust</w:t>
            </w:r>
          </w:p>
        </w:tc>
        <w:tc>
          <w:tcPr>
            <w:tcW w:w="3120" w:type="dxa"/>
          </w:tcPr>
          <w:p>
            <w:pPr/>
            <w:r>
              <w:t xml:space="preserve">§15 controls; approvals default on; red-team before the beta and before GA</w:t>
            </w:r>
          </w:p>
        </w:tc>
      </w:tr>
      <w:tr>
        <w:tc>
          <w:tcPr>
            <w:tcW w:w="3120" w:type="dxa"/>
          </w:tcPr>
          <w:p>
            <w:pPr/>
            <w:r>
              <w:t xml:space="preserve">Merchants don't allow agent checkout</w:t>
            </w:r>
          </w:p>
        </w:tc>
        <w:tc>
          <w:tcPr>
            <w:tcW w:w="3120" w:type="dxa"/>
          </w:tcPr>
          <w:p>
            <w:pPr/>
            <w:r>
              <w:t xml:space="preserve">Meal-plan purchase step blocked</w:t>
            </w:r>
          </w:p>
        </w:tc>
        <w:tc>
          <w:tcPr>
            <w:tcW w:w="3120" w:type="dxa"/>
          </w:tcPr>
          <w:p>
            <w:pPr/>
            <w:r>
              <w:t xml:space="preserve">Partner early; launch with "cart ready — tap to pay"</w:t>
            </w:r>
          </w:p>
        </w:tc>
      </w:tr>
      <w:tr>
        <w:tc>
          <w:tcPr>
            <w:tcW w:w="3120" w:type="dxa"/>
          </w:tcPr>
          <w:p>
            <w:pPr/>
            <w:r>
              <w:t xml:space="preserve">Key target systems lack delegated auth</w:t>
            </w:r>
          </w:p>
        </w:tc>
        <w:tc>
          <w:tcPr>
            <w:tcW w:w="3120" w:type="dxa"/>
          </w:tcPr>
          <w:p>
            <w:pPr/>
            <w:r>
              <w:t xml:space="preserve">Weakens the "user's own permissions" promise</w:t>
            </w:r>
          </w:p>
        </w:tc>
        <w:tc>
          <w:tcPr>
            <w:tcW w:w="3120" w:type="dxa"/>
          </w:tcPr>
          <w:p>
            <w:pPr/>
            <w:r>
              <w:t xml:space="preserve">Personal credentials or live entitlement checks (CON-05); publish a per-connector attribution matrix</w:t>
            </w:r>
          </w:p>
        </w:tc>
      </w:tr>
      <w:tr>
        <w:tc>
          <w:tcPr>
            <w:tcW w:w="3120" w:type="dxa"/>
          </w:tcPr>
          <w:p>
            <w:pPr/>
            <w:r>
              <w:t xml:space="preserve">Sparse routing data early on</w:t>
            </w:r>
          </w:p>
        </w:tc>
        <w:tc>
          <w:tcPr>
            <w:tcW w:w="3120" w:type="dxa"/>
          </w:tcPr>
          <w:p>
            <w:pPr/>
            <w:r>
              <w:t xml:space="preserve">Poor model choices, higher cost</w:t>
            </w:r>
          </w:p>
        </w:tc>
        <w:tc>
          <w:tcPr>
            <w:tcW w:w="3120" w:type="dxa"/>
          </w:tcPr>
          <w:p>
            <w:pPr/>
            <w:r>
              <w:t xml:space="preserve">Benchmark priors; conservative quality bars; capped exploration</w:t>
            </w:r>
          </w:p>
        </w:tc>
      </w:tr>
      <w:tr>
        <w:tc>
          <w:tcPr>
            <w:tcW w:w="3120" w:type="dxa"/>
          </w:tcPr>
          <w:p>
            <w:pPr/>
            <w:r>
              <w:t xml:space="preserve">Model and price churn</w:t>
            </w:r>
          </w:p>
        </w:tc>
        <w:tc>
          <w:tcPr>
            <w:tcW w:w="3120" w:type="dxa"/>
          </w:tcPr>
          <w:p>
            <w:pPr/>
            <w:r>
              <w:t xml:space="preserve">Wrong estimates, stale inventory</w:t>
            </w:r>
          </w:p>
        </w:tc>
        <w:tc>
          <w:tcPr>
            <w:tcW w:w="3120" w:type="dxa"/>
          </w:tcPr>
          <w:p>
            <w:pPr/>
            <w:r>
              <w:t xml:space="preserve">Versioned price catalog; per-version inventory records</w:t>
            </w:r>
          </w:p>
        </w:tc>
      </w:tr>
      <w:tr>
        <w:tc>
          <w:tcPr>
            <w:tcW w:w="3120" w:type="dxa"/>
          </w:tcPr>
          <w:p>
            <w:pPr/>
            <w:r>
              <w:t xml:space="preserve">OS limits on background location</w:t>
            </w:r>
          </w:p>
        </w:tc>
        <w:tc>
          <w:tcPr>
            <w:tcW w:w="3120" w:type="dxa"/>
          </w:tcPr>
          <w:p>
            <w:pPr/>
            <w:r>
              <w:t xml:space="preserve">Late or missed proximity actions</w:t>
            </w:r>
          </w:p>
        </w:tc>
        <w:tc>
          <w:tcPr>
            <w:tcW w:w="3120" w:type="dxa"/>
          </w:tcPr>
          <w:p>
            <w:pPr/>
            <w:r>
              <w:t xml:space="preserve">Cooldowns, missed-trigger policy, visible trigger health</w:t>
            </w:r>
          </w:p>
        </w:tc>
      </w:tr>
      <w:tr>
        <w:tc>
          <w:tcPr>
            <w:tcW w:w="3120" w:type="dxa"/>
          </w:tcPr>
          <w:p>
            <w:pPr/>
            <w:r>
              <w:t xml:space="preserve">Supervisor overhead</w:t>
            </w:r>
          </w:p>
        </w:tc>
        <w:tc>
          <w:tcPr>
            <w:tcW w:w="3120" w:type="dxa"/>
          </w:tcPr>
          <w:p>
            <w:pPr/>
            <w:r>
              <w:t xml:space="preserve">Erodes cost savings</w:t>
            </w:r>
          </w:p>
        </w:tc>
        <w:tc>
          <w:tcPr>
            <w:tcW w:w="3120" w:type="dxa"/>
          </w:tcPr>
          <w:p>
            <w:pPr/>
            <w:r>
              <w:t xml:space="preserve">Deterministic checks first; sample by criticality</w:t>
            </w:r>
          </w:p>
        </w:tc>
      </w:tr>
      <w:tr>
        <w:tc>
          <w:tcPr>
            <w:tcW w:w="3120" w:type="dxa"/>
          </w:tcPr>
          <w:p>
            <w:pPr/>
            <w:r>
              <w:t xml:space="preserve">App store review of payments and location</w:t>
            </w:r>
          </w:p>
        </w:tc>
        <w:tc>
          <w:tcPr>
            <w:tcW w:w="3120" w:type="dxa"/>
          </w:tcPr>
          <w:p>
            <w:pPr/>
            <w:r>
              <w:t xml:space="preserve">Launch delay</w:t>
            </w:r>
          </w:p>
        </w:tc>
        <w:tc>
          <w:tcPr>
            <w:tcW w:w="3120" w:type="dxa"/>
          </w:tcPr>
          <w:p>
            <w:pPr/>
            <w:r>
              <w:t xml:space="preserve">Early review consultation; clear in-app disclosures</w:t>
            </w:r>
          </w:p>
        </w:tc>
      </w:tr>
      <w:tr>
        <w:tc>
          <w:tcPr>
            <w:tcW w:w="3120" w:type="dxa"/>
          </w:tcPr>
          <w:p>
            <w:pPr/>
            <w:r>
              <w:t xml:space="preserve">Liability for wrong purchases or actions</w:t>
            </w:r>
          </w:p>
        </w:tc>
        <w:tc>
          <w:tcPr>
            <w:tcW w:w="3120" w:type="dxa"/>
          </w:tcPr>
          <w:p>
            <w:pPr/>
            <w:r>
              <w:t xml:space="preserve">Refunds, disputes</w:t>
            </w:r>
          </w:p>
        </w:tc>
        <w:tc>
          <w:tcPr>
            <w:tcW w:w="3120" w:type="dxa"/>
          </w:tcPr>
          <w:p>
            <w:pPr/>
            <w:r>
              <w:t xml:space="preserve">Approvals default on; caps; clear terms of service</w:t>
            </w:r>
          </w:p>
        </w:tc>
      </w:tr>
    </w:tbl>
    <w:p>
      <w:pPr>
        <w:pStyle w:val="Heading2"/>
      </w:pPr>
      <w:r>
        <w:t xml:space="preserve">21. Decisions and open questions</w:t>
      </w:r>
    </w:p>
    <w:p>
      <w:pPr/>
      <w:r>
        <w:t xml:space="preserve">Scoping decisions through the beta contract are made. The first remaining blocker is naming the beta design partners; team size, target date and the mobile stack follow.</w:t>
      </w:r>
    </w:p>
    <w:p>
      <w:pPr/>
      <w:r>
        <w:rPr>
          <w:b/>
        </w:rPr>
        <w:t xml:space="preserve">Decided 2026-10-05</w:t>
      </w:r>
    </w:p>
    <w:p>
      <w:pPr>
        <w:pStyle w:val="ListParagraph"/>
        <w:numPr>
          <w:ilvl w:val="0"/>
          <w:numId w:val="42"/>
        </w:numPr>
      </w:pPr>
      <w:r>
        <w:rPr>
          <w:b/>
        </w:rPr>
        <w:t xml:space="preserve">Launch edition:</w:t>
      </w:r>
      <w:r>
        <w:t xml:space="preserve"> Enterprise first; Home follows, starting with its non-payment features.</w:t>
      </w:r>
    </w:p>
    <w:p>
      <w:pPr>
        <w:pStyle w:val="ListParagraph"/>
        <w:numPr>
          <w:ilvl w:val="0"/>
          <w:numId w:val="42"/>
        </w:numPr>
      </w:pPr>
      <w:r>
        <w:rPr>
          <w:b/>
        </w:rPr>
        <w:t xml:space="preserve">Beta workflow:</w:t>
      </w:r>
      <w:r>
        <w:t xml:space="preserve"> email request triage with approved actions; the contract is in §18.1.</w:t>
      </w:r>
    </w:p>
    <w:p>
      <w:pPr>
        <w:pStyle w:val="ListParagraph"/>
        <w:numPr>
          <w:ilvl w:val="0"/>
          <w:numId w:val="42"/>
        </w:numPr>
      </w:pPr>
      <w:r>
        <w:rPr>
          <w:b/>
        </w:rPr>
        <w:t xml:space="preserve">Deployment:</w:t>
      </w:r>
      <w:r>
        <w:t xml:space="preserve"> multi-tenant SaaS plus an outbound-only on-prem relay; a dedicated single-tenant cloud comes later.</w:t>
      </w:r>
    </w:p>
    <w:p>
      <w:pPr>
        <w:pStyle w:val="ListParagraph"/>
        <w:numPr>
          <w:ilvl w:val="0"/>
          <w:numId w:val="42"/>
        </w:numPr>
      </w:pPr>
      <w:r>
        <w:rPr>
          <w:b/>
        </w:rPr>
        <w:t xml:space="preserve">Purchasing:</w:t>
      </w:r>
      <w:r>
        <w:t xml:space="preserve"> approve each purchase by default; opt-in, capped pre-authorization per assignment and merchant (PAY-02, PAY-03).</w:t>
      </w:r>
    </w:p>
    <w:p>
      <w:pPr>
        <w:pStyle w:val="ListParagraph"/>
        <w:numPr>
          <w:ilvl w:val="0"/>
          <w:numId w:val="42"/>
        </w:numPr>
      </w:pPr>
      <w:r>
        <w:rPr>
          <w:b/>
        </w:rPr>
        <w:t xml:space="preserve">Systems without OAuth:</w:t>
      </w:r>
      <w:r>
        <w:t xml:space="preserve"> personal credentials in the vault; admin-governed service accounts as a badged exception with live entitlement checks (CON-05).</w:t>
      </w:r>
    </w:p>
    <w:p>
      <w:pPr>
        <w:pStyle w:val="ListParagraph"/>
        <w:numPr>
          <w:ilvl w:val="0"/>
          <w:numId w:val="42"/>
        </w:numPr>
      </w:pPr>
      <w:r>
        <w:rPr>
          <w:b/>
        </w:rPr>
        <w:t xml:space="preserve">Stack defaults:</w:t>
      </w:r>
      <w:r>
        <w:t xml:space="preserve"> the compliance assistant plan v3 stack (§5, §16); only the mobile stack remains open.</w:t>
      </w:r>
    </w:p>
    <w:p>
      <w:pPr>
        <w:pStyle w:val="ListParagraph"/>
        <w:numPr>
          <w:ilvl w:val="0"/>
          <w:numId w:val="42"/>
        </w:numPr>
      </w:pPr>
      <w:r>
        <w:rPr>
          <w:b/>
        </w:rPr>
        <w:t xml:space="preserve">Prior work:</w:t>
      </w:r>
      <w:r>
        <w:t xml:space="preserve"> the compliance assistant plans v1–v3.1 and their acceptance cases are archived under </w:t>
      </w:r>
      <w:r>
        <w:rPr>
          <w:rStyle w:val="CodeChar"/>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r>
        <w:rPr>
          <w:b/>
        </w:rPr>
        <w:t xml:space="preserve">Open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Owner</w:t>
            </w:r>
          </w:p>
        </w:tc>
        <w:tc>
          <w:tcPr>
            <w:tcW w:w="2340" w:type="dxa"/>
            <w:shd w:val="clear" w:color="auto" w:fill="F2F2F2"/>
          </w:tcPr>
          <w:p>
            <w:pPr/>
            <w:r>
              <w:t xml:space="preserve">Blocking?</w:t>
            </w:r>
          </w:p>
        </w:tc>
        <w:tc>
          <w:tcPr>
            <w:tcW w:w="2340" w:type="dxa"/>
            <w:shd w:val="clear" w:color="auto" w:fill="F2F2F2"/>
          </w:tcPr>
          <w:p>
            <w:pPr/>
            <w:r>
              <w:t xml:space="preserve">Default if unanswered</w:t>
            </w:r>
          </w:p>
        </w:tc>
      </w:tr>
      <w:tr>
        <w:tc>
          <w:tcPr>
            <w:tcW w:w="2340" w:type="dxa"/>
          </w:tcPr>
          <w:p>
            <w:pPr/>
            <w:r>
              <w:t xml:space="preserve">Who are the named beta design partners (§18.1)?</w:t>
            </w:r>
          </w:p>
        </w:tc>
        <w:tc>
          <w:tcPr>
            <w:tcW w:w="2340" w:type="dxa"/>
          </w:tcPr>
          <w:p>
            <w:pPr/>
            <w:r>
              <w:t xml:space="preserve">Product owner</w:t>
            </w:r>
          </w:p>
        </w:tc>
        <w:tc>
          <w:tcPr>
            <w:tcW w:w="2340" w:type="dxa"/>
          </w:tcPr>
          <w:p>
            <w:pPr/>
            <w:r>
              <w:t xml:space="preserve">Yes, first: they fix the mailboxes, action types and ticketing connector</w:t>
            </w:r>
          </w:p>
        </w:tc>
        <w:tc>
          <w:tcPr>
            <w:tcW w:w="2340" w:type="dxa"/>
          </w:tcPr>
          <w:p>
            <w:pPr/>
            <w:r>
              <w:t xml:space="preserve">The compliance customer plus one IT service desk or operations team</w:t>
            </w:r>
          </w:p>
        </w:tc>
      </w:tr>
      <w:tr>
        <w:tc>
          <w:tcPr>
            <w:tcW w:w="2340" w:type="dxa"/>
          </w:tcPr>
          <w:p>
            <w:pPr/>
            <w:r>
              <w:t xml:space="preserve">Mobile stack: React Native / Expo or Tauri 2 mobile? (Everything else uses the adopted defaults, §16)</w:t>
            </w:r>
          </w:p>
        </w:tc>
        <w:tc>
          <w:tcPr>
            <w:tcW w:w="2340" w:type="dxa"/>
          </w:tcPr>
          <w:p>
            <w:pPr/>
            <w:r>
              <w:t xml:space="preserve">Engineering</w:t>
            </w:r>
          </w:p>
        </w:tc>
        <w:tc>
          <w:tcPr>
            <w:tcW w:w="2340" w:type="dxa"/>
          </w:tcPr>
          <w:p>
            <w:pPr/>
            <w:r>
              <w:t xml:space="preserve">Before Phase 2 mobile work</w:t>
            </w:r>
          </w:p>
        </w:tc>
        <w:tc>
          <w:tcPr>
            <w:tcW w:w="2340" w:type="dxa"/>
          </w:tcPr>
          <w:p>
            <w:pPr/>
            <w:r>
              <w:t xml:space="preserve">React Native / Expo</w:t>
            </w:r>
          </w:p>
        </w:tc>
      </w:tr>
      <w:tr>
        <w:tc>
          <w:tcPr>
            <w:tcW w:w="2340" w:type="dxa"/>
          </w:tcPr>
          <w:p>
            <w:pPr/>
            <w:r>
              <w:t xml:space="preserve">Team size and target date for the Enterprise beta?</w:t>
            </w:r>
          </w:p>
        </w:tc>
        <w:tc>
          <w:tcPr>
            <w:tcW w:w="2340" w:type="dxa"/>
          </w:tcPr>
          <w:p>
            <w:pPr/>
            <w:r>
              <w:t xml:space="preserve">Product owner</w:t>
            </w:r>
          </w:p>
        </w:tc>
        <w:tc>
          <w:tcPr>
            <w:tcW w:w="2340" w:type="dxa"/>
          </w:tcPr>
          <w:p>
            <w:pPr/>
            <w:r>
              <w:t xml:space="preserve">Yes, for phasing</w:t>
            </w:r>
          </w:p>
        </w:tc>
        <w:tc>
          <w:tcPr>
            <w:tcW w:w="2340" w:type="dxa"/>
          </w:tcPr>
          <w:p>
            <w:pPr/>
            <w:r>
              <w:t xml:space="preserve">—</w:t>
            </w:r>
          </w:p>
        </w:tc>
      </w:tr>
      <w:tr>
        <w:tc>
          <w:tcPr>
            <w:tcW w:w="2340" w:type="dxa"/>
          </w:tcPr>
          <w:p>
            <w:pPr/>
            <w:r>
              <w:t xml:space="preserve">Confirm runtime defaults RUN-01 to RUN-07 and the run states</w:t>
            </w:r>
          </w:p>
        </w:tc>
        <w:tc>
          <w:tcPr>
            <w:tcW w:w="2340" w:type="dxa"/>
          </w:tcPr>
          <w:p>
            <w:pPr/>
            <w:r>
              <w:t xml:space="preserve">Engineering, product</w:t>
            </w:r>
          </w:p>
        </w:tc>
        <w:tc>
          <w:tcPr>
            <w:tcW w:w="2340" w:type="dxa"/>
          </w:tcPr>
          <w:p>
            <w:pPr/>
            <w:r>
              <w:t xml:space="preserve">Before orchestrator build</w:t>
            </w:r>
          </w:p>
        </w:tc>
        <w:tc>
          <w:tcPr>
            <w:tcW w:w="2340" w:type="dxa"/>
          </w:tcPr>
          <w:p>
            <w:pPr/>
            <w:r>
              <w:t xml:space="preserve">As proposed in §7.5 and §7.6</w:t>
            </w:r>
          </w:p>
        </w:tc>
      </w:tr>
      <w:tr>
        <w:tc>
          <w:tcPr>
            <w:tcW w:w="2340" w:type="dxa"/>
          </w:tcPr>
          <w:p>
            <w:pPr/>
            <w:r>
              <w:t xml:space="preserve">Scoring policy per task type; evaluation-set sample size and reviewers</w:t>
            </w:r>
          </w:p>
        </w:tc>
        <w:tc>
          <w:tcPr>
            <w:tcW w:w="2340" w:type="dxa"/>
          </w:tcPr>
          <w:p>
            <w:pPr/>
            <w:r>
              <w:t xml:space="preserve">Product, data</w:t>
            </w:r>
          </w:p>
        </w:tc>
        <w:tc>
          <w:tcPr>
            <w:tcW w:w="2340" w:type="dxa"/>
          </w:tcPr>
          <w:p>
            <w:pPr/>
            <w:r>
              <w:t xml:space="preserve">Before beta</w:t>
            </w:r>
          </w:p>
        </w:tc>
        <w:tc>
          <w:tcPr>
            <w:tcW w:w="2340" w:type="dxa"/>
          </w:tcPr>
          <w:p>
            <w:pPr/>
            <w:r>
              <w:t xml:space="preserve">Deterministic checks gate; each design partner names reviewers</w:t>
            </w:r>
          </w:p>
        </w:tc>
      </w:tr>
      <w:tr>
        <w:tc>
          <w:tcPr>
            <w:tcW w:w="2340" w:type="dxa"/>
          </w:tcPr>
          <w:p>
            <w:pPr/>
            <w:r>
              <w:t xml:space="preserve">AI budget period: per run + per month, or lifetime per assignment?</w:t>
            </w:r>
          </w:p>
        </w:tc>
        <w:tc>
          <w:tcPr>
            <w:tcW w:w="2340" w:type="dxa"/>
          </w:tcPr>
          <w:p>
            <w:pPr/>
            <w:r>
              <w:t xml:space="preserve">Product</w:t>
            </w:r>
          </w:p>
        </w:tc>
        <w:tc>
          <w:tcPr>
            <w:tcW w:w="2340" w:type="dxa"/>
          </w:tcPr>
          <w:p>
            <w:pPr/>
            <w:r>
              <w:t xml:space="preserve">Before budget build</w:t>
            </w:r>
          </w:p>
        </w:tc>
        <w:tc>
          <w:tcPr>
            <w:tcW w:w="2340" w:type="dxa"/>
          </w:tcPr>
          <w:p>
            <w:pPr/>
            <w:r>
              <w:t xml:space="preserve">Per run + per month</w:t>
            </w:r>
          </w:p>
        </w:tc>
      </w:tr>
      <w:tr>
        <w:tc>
          <w:tcPr>
            <w:tcW w:w="2340" w:type="dxa"/>
          </w:tcPr>
          <w:p>
            <w:pPr/>
            <w:r>
              <w:t xml:space="preserve">Pricing: seats plus usage credits? Margin on default-provider tokens? Discount for own keys?</w:t>
            </w:r>
          </w:p>
        </w:tc>
        <w:tc>
          <w:tcPr>
            <w:tcW w:w="2340" w:type="dxa"/>
          </w:tcPr>
          <w:p>
            <w:pPr/>
            <w:r>
              <w:t xml:space="preserve">Business</w:t>
            </w:r>
          </w:p>
        </w:tc>
        <w:tc>
          <w:tcPr>
            <w:tcW w:w="2340" w:type="dxa"/>
          </w:tcPr>
          <w:p>
            <w:pPr/>
            <w:r>
              <w:t xml:space="preserve">Before beta</w:t>
            </w:r>
          </w:p>
        </w:tc>
        <w:tc>
          <w:tcPr>
            <w:tcW w:w="2340" w:type="dxa"/>
          </w:tcPr>
          <w:p>
            <w:pPr/>
            <w:r>
              <w:t xml:space="preserve">Seats + credits at cost-plus</w:t>
            </w:r>
          </w:p>
        </w:tc>
      </w:tr>
      <w:tr>
        <w:tc>
          <w:tcPr>
            <w:tcW w:w="2340" w:type="dxa"/>
          </w:tcPr>
          <w:p>
            <w:pPr/>
            <w:r>
              <w:t xml:space="preserve">Which compliance frameworks do the first target customers require (FedRAMP, HIPAA)?</w:t>
            </w:r>
          </w:p>
        </w:tc>
        <w:tc>
          <w:tcPr>
            <w:tcW w:w="2340" w:type="dxa"/>
          </w:tcPr>
          <w:p>
            <w:pPr/>
            <w:r>
              <w:t xml:space="preserve">Sales, legal</w:t>
            </w:r>
          </w:p>
        </w:tc>
        <w:tc>
          <w:tcPr>
            <w:tcW w:w="2340" w:type="dxa"/>
          </w:tcPr>
          <w:p>
            <w:pPr/>
            <w:r>
              <w:t xml:space="preserve">Before Enterprise GA</w:t>
            </w:r>
          </w:p>
        </w:tc>
        <w:tc>
          <w:tcPr>
            <w:tcW w:w="2340" w:type="dxa"/>
          </w:tcPr>
          <w:p>
            <w:pPr/>
            <w:r>
              <w:t xml:space="preserve">SOC 2 + ISO 27001</w:t>
            </w:r>
          </w:p>
        </w:tc>
      </w:tr>
      <w:tr>
        <w:tc>
          <w:tcPr>
            <w:tcW w:w="2340" w:type="dxa"/>
          </w:tcPr>
          <w:p>
            <w:pPr/>
            <w:r>
              <w:t xml:space="preserve">Which grocery and delivery partners to approach for Home?</w:t>
            </w:r>
          </w:p>
        </w:tc>
        <w:tc>
          <w:tcPr>
            <w:tcW w:w="2340" w:type="dxa"/>
          </w:tcPr>
          <w:p>
            <w:pPr/>
            <w:r>
              <w:t xml:space="preserve">Business development</w:t>
            </w:r>
          </w:p>
        </w:tc>
        <w:tc>
          <w:tcPr>
            <w:tcW w:w="2340" w:type="dxa"/>
          </w:tcPr>
          <w:p>
            <w:pPr/>
            <w:r>
              <w:t xml:space="preserve">Before Home</w:t>
            </w:r>
          </w:p>
        </w:tc>
        <w:tc>
          <w:tcPr>
            <w:tcW w:w="2340" w:type="dxa"/>
          </w:tcPr>
          <w:p>
            <w:pPr/>
            <w:r>
              <w:t xml:space="preserve">—</w:t>
            </w:r>
          </w:p>
        </w:tc>
      </w:tr>
      <w:tr>
        <w:tc>
          <w:tcPr>
            <w:tcW w:w="2340" w:type="dxa"/>
          </w:tcPr>
          <w:p>
            <w:pPr/>
            <w:r>
              <w:t xml:space="preserve">Household sharing in Home (shared assignments, several approvers)?</w:t>
            </w:r>
          </w:p>
        </w:tc>
        <w:tc>
          <w:tcPr>
            <w:tcW w:w="2340" w:type="dxa"/>
          </w:tcPr>
          <w:p>
            <w:pPr/>
            <w:r>
              <w:t xml:space="preserve">Product</w:t>
            </w:r>
          </w:p>
        </w:tc>
        <w:tc>
          <w:tcPr>
            <w:tcW w:w="2340" w:type="dxa"/>
          </w:tcPr>
          <w:p>
            <w:pPr/>
            <w:r>
              <w:t xml:space="preserve">No</w:t>
            </w:r>
          </w:p>
        </w:tc>
        <w:tc>
          <w:tcPr>
            <w:tcW w:w="2340" w:type="dxa"/>
          </w:tcPr>
          <w:p>
            <w:pPr/>
            <w:r>
              <w:t xml:space="preserve">Single-user Home at launch</w:t>
            </w:r>
          </w:p>
        </w:tc>
      </w:tr>
      <w:tr>
        <w:tc>
          <w:tcPr>
            <w:tcW w:w="2340" w:type="dxa"/>
          </w:tcPr>
          <w:p>
            <w:pPr/>
            <w:r>
              <w:t xml:space="preserve">Allow browser-automation connectors for sites with no API?</w:t>
            </w:r>
          </w:p>
        </w:tc>
        <w:tc>
          <w:tcPr>
            <w:tcW w:w="2340" w:type="dxa"/>
          </w:tcPr>
          <w:p>
            <w:pPr/>
            <w:r>
              <w:t xml:space="preserve">Product, security</w:t>
            </w:r>
          </w:p>
        </w:tc>
        <w:tc>
          <w:tcPr>
            <w:tcW w:w="2340" w:type="dxa"/>
          </w:tcPr>
          <w:p>
            <w:pPr/>
            <w:r>
              <w:t xml:space="preserve">No (P2)</w:t>
            </w:r>
          </w:p>
        </w:tc>
        <w:tc>
          <w:tcPr>
            <w:tcW w:w="2340" w:type="dxa"/>
          </w:tcPr>
          <w:p>
            <w:pPr/>
            <w:r>
              <w:t xml:space="preserve">Not in v1</w:t>
            </w:r>
          </w:p>
        </w:tc>
      </w:tr>
      <w:tr>
        <w:tc>
          <w:tcPr>
            <w:tcW w:w="2340" w:type="dxa"/>
          </w:tcPr>
          <w:p>
            <w:pPr/>
            <w:r>
              <w:t xml:space="preserve">Support local models on desktop?</w:t>
            </w:r>
          </w:p>
        </w:tc>
        <w:tc>
          <w:tcPr>
            <w:tcW w:w="2340" w:type="dxa"/>
          </w:tcPr>
          <w:p>
            <w:pPr/>
            <w:r>
              <w:t xml:space="preserve">Product</w:t>
            </w:r>
          </w:p>
        </w:tc>
        <w:tc>
          <w:tcPr>
            <w:tcW w:w="2340" w:type="dxa"/>
          </w:tcPr>
          <w:p>
            <w:pPr/>
            <w:r>
              <w:t xml:space="preserve">No (P2)</w:t>
            </w:r>
          </w:p>
        </w:tc>
        <w:tc>
          <w:tcPr>
            <w:tcW w:w="2340" w:type="dxa"/>
          </w:tcPr>
          <w:p>
            <w:pPr/>
            <w:r>
              <w:t xml:space="preserve">Not in v1</w:t>
            </w:r>
          </w:p>
        </w:tc>
      </w:tr>
      <w:tr>
        <w:tc>
          <w:tcPr>
            <w:tcW w:w="2340" w:type="dxa"/>
          </w:tcPr>
          <w:p>
            <w:pPr/>
            <w:r>
              <w:t xml:space="preserve">Public marketplace for connectors, templates and blueprints, with revenue share?</w:t>
            </w:r>
          </w:p>
        </w:tc>
        <w:tc>
          <w:tcPr>
            <w:tcW w:w="2340" w:type="dxa"/>
          </w:tcPr>
          <w:p>
            <w:pPr/>
            <w:r>
              <w:t xml:space="preserve">Business</w:t>
            </w:r>
          </w:p>
        </w:tc>
        <w:tc>
          <w:tcPr>
            <w:tcW w:w="2340" w:type="dxa"/>
          </w:tcPr>
          <w:p>
            <w:pPr/>
            <w:r>
              <w:t xml:space="preserve">No (P2)</w:t>
            </w:r>
          </w:p>
        </w:tc>
        <w:tc>
          <w:tcPr>
            <w:tcW w:w="2340" w:type="dxa"/>
          </w:tcPr>
          <w:p>
            <w:pPr/>
            <w:r>
              <w:t xml:space="preserve">Organization-internal sharing only</w:t>
            </w:r>
          </w:p>
        </w:tc>
      </w:tr>
      <w:tr>
        <w:tc>
          <w:tcPr>
            <w:tcW w:w="2340" w:type="dxa"/>
          </w:tcPr>
          <w:p>
            <w:pPr/>
            <w:r>
              <w:t xml:space="preserve">Offer opt-in cross-tenant model benchmarks (INV-05)?</w:t>
            </w:r>
          </w:p>
        </w:tc>
        <w:tc>
          <w:tcPr>
            <w:tcW w:w="2340" w:type="dxa"/>
          </w:tcPr>
          <w:p>
            <w:pPr/>
            <w:r>
              <w:t xml:space="preserve">Product, legal</w:t>
            </w:r>
          </w:p>
        </w:tc>
        <w:tc>
          <w:tcPr>
            <w:tcW w:w="2340" w:type="dxa"/>
          </w:tcPr>
          <w:p>
            <w:pPr/>
            <w:r>
              <w:t xml:space="preserve">No</w:t>
            </w:r>
          </w:p>
        </w:tc>
        <w:tc>
          <w:tcPr>
            <w:tcW w:w="2340" w:type="dxa"/>
          </w:tcPr>
          <w:p>
            <w:pPr/>
            <w:r>
              <w:t xml:space="preserve">Opt-in only</w:t>
            </w:r>
          </w:p>
        </w:tc>
      </w:tr>
      <w:tr>
        <w:tc>
          <w:tcPr>
            <w:tcW w:w="2340" w:type="dxa"/>
          </w:tcPr>
          <w:p>
            <w:pPr/>
            <w:r>
              <w:t xml:space="preserve">Home minimum age?</w:t>
            </w:r>
          </w:p>
        </w:tc>
        <w:tc>
          <w:tcPr>
            <w:tcW w:w="2340" w:type="dxa"/>
          </w:tcPr>
          <w:p>
            <w:pPr/>
            <w:r>
              <w:t xml:space="preserve">Legal</w:t>
            </w:r>
          </w:p>
        </w:tc>
        <w:tc>
          <w:tcPr>
            <w:tcW w:w="2340" w:type="dxa"/>
          </w:tcPr>
          <w:p>
            <w:pPr/>
            <w:r>
              <w:t xml:space="preserve">Before Home launch</w:t>
            </w:r>
          </w:p>
        </w:tc>
        <w:tc>
          <w:tcPr>
            <w:tcW w:w="2340" w:type="dxa"/>
          </w:tcPr>
          <w:p>
            <w:pPr/>
            <w:r>
              <w:t xml:space="preserve">18+</w:t>
            </w:r>
          </w:p>
        </w:tc>
      </w:tr>
    </w:tbl>
    <w:p>
      <w:pPr>
        <w:pStyle w:val="Heading2"/>
      </w:pPr>
      <w:r>
        <w:t xml:space="preserve">Revision history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Date</w:t>
            </w:r>
          </w:p>
        </w:tc>
        <w:tc>
          <w:tcPr>
            <w:tcW w:w="3120" w:type="dxa"/>
            <w:shd w:val="clear" w:color="auto" w:fill="F2F2F2"/>
          </w:tcPr>
          <w:p>
            <w:pPr/>
            <w:r>
              <w:t xml:space="preserve">Changes</w:t>
            </w:r>
          </w:p>
        </w:tc>
      </w:tr>
      <w:tr>
        <w:tc>
          <w:tcPr>
            <w:tcW w:w="3120" w:type="dxa"/>
          </w:tcPr>
          <w:p>
            <w:pPr/>
            <w:r>
              <w:t xml:space="preserve">v0.4</w:t>
            </w:r>
          </w:p>
        </w:tc>
        <w:tc>
          <w:tcPr>
            <w:tcW w:w="3120" w:type="dxa"/>
          </w:tcPr>
          <w:p>
            <w:pPr/>
            <w:r>
              <w:t xml:space="preserve">2026-10-05</w:t>
            </w:r>
          </w:p>
        </w:tc>
        <w:tc>
          <w:tcPr>
            <w:tcW w:w="3120" w:type="dxa"/>
          </w:tcPr>
          <w:p>
            <w:pPr/>
            <w: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c>
          <w:tcPr>
            <w:tcW w:w="3120" w:type="dxa"/>
          </w:tcPr>
          <w:p>
            <w:pPr/>
            <w:r>
              <w:t xml:space="preserve">v0.3</w:t>
            </w:r>
          </w:p>
        </w:tc>
        <w:tc>
          <w:tcPr>
            <w:tcW w:w="3120" w:type="dxa"/>
          </w:tcPr>
          <w:p>
            <w:pPr/>
            <w:r>
              <w:t xml:space="preserve">2026-10-05</w:t>
            </w:r>
          </w:p>
        </w:tc>
        <w:tc>
          <w:tcPr>
            <w:tcW w:w="3120" w:type="dxa"/>
          </w:tcPr>
          <w:p>
            <w:pPr/>
            <w: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c>
          <w:tcPr>
            <w:tcW w:w="3120" w:type="dxa"/>
          </w:tcPr>
          <w:p>
            <w:pPr/>
            <w:r>
              <w:t xml:space="preserve">v0.2</w:t>
            </w:r>
          </w:p>
        </w:tc>
        <w:tc>
          <w:tcPr>
            <w:tcW w:w="3120" w:type="dxa"/>
          </w:tcPr>
          <w:p>
            <w:pPr/>
            <w:r>
              <w:t xml:space="preserve">2026-10-05</w:t>
            </w:r>
          </w:p>
        </w:tc>
        <w:tc>
          <w:tcPr>
            <w:tcW w:w="3120" w:type="dxa"/>
          </w:tcPr>
          <w:p>
            <w:pPr/>
            <w:r>
              <w:t xml:space="preserve">First review: product invariants, runtime semantics, evidence classes and lower-bound routing, data classes, evaluation set; fixes ported from the archived compliance plans; stack defaults; beta workflow default</w:t>
            </w:r>
          </w:p>
        </w:tc>
      </w:tr>
      <w:tr>
        <w:tc>
          <w:tcPr>
            <w:tcW w:w="3120" w:type="dxa"/>
          </w:tcPr>
          <w:p>
            <w:pPr/>
            <w:r>
              <w:t xml:space="preserve">v0.1</w:t>
            </w:r>
          </w:p>
        </w:tc>
        <w:tc>
          <w:tcPr>
            <w:tcW w:w="3120" w:type="dxa"/>
          </w:tcPr>
          <w:p>
            <w:pPr/>
            <w:r>
              <w:t xml:space="preserve">2026-10-05</w:t>
            </w:r>
          </w:p>
        </w:tc>
        <w:tc>
          <w:tcPr>
            <w:tcW w:w="3120" w:type="dxa"/>
          </w:tcPr>
          <w:p>
            <w:pPr/>
            <w:r>
              <w:t xml:space="preserve">First draft</w:t>
            </w:r>
          </w:p>
        </w:tc>
      </w:tr>
    </w:tbl>
    <w:p>
      <w:pPr>
        <w:pStyle w:val="Heading2"/>
      </w:pPr>
      <w:r>
        <w:t xml:space="preserve">Sources</w:t>
      </w:r>
    </w:p>
    <w:p>
      <w:pPr>
        <w:pStyle w:val="ListParagraph"/>
        <w:numPr>
          <w:ilvl w:val="0"/>
          <w:numId w:val="43"/>
        </w:numPr>
      </w:pPr>
      <w:hyperlink r:id="rId7" w:history="1">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43"/>
        </w:numPr>
      </w:pPr>
      <w:hyperlink r:id="rId8" w:history="1">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43"/>
        </w:numPr>
      </w:pPr>
      <w:hyperlink r:id="rId9" w:history="1">
        <w:r>
          <w:rPr>
            <w:rStyle w:val="Hyperlink"/>
          </w:rPr>
          <w:t xml:space="preserve">OWASP LLM Prompt Injection Prevention Cheat Sheet</w:t>
        </w:r>
      </w:hyperlink>
      <w:r>
        <w:t xml:space="preserve">: attack types and defenses behind CON-10, ASG-17, SEC-02 and SEC-11 to SEC-13.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docs.temporal.io/activity-definition#idempotency" TargetMode="External"/><Relationship Id="rId8" Type="http://schemas.openxmlformats.org/officeDocument/2006/relationships/hyperlink" Target="https://learn.microsoft.com/en-us/entra/identity-platform/configurable-token-lifetimes" TargetMode="External"/><Relationship Id="rId9" Type="http://schemas.openxmlformats.org/officeDocument/2006/relationships/hyperlink" Target="https://cheatsheetseries.owasp.org/cheatsheets/LLM_Prompt_Injection_Prevention_Cheat_Sheet.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Collicity — Product Specification (Draft v0.4)</dc:title>
  <dc:description>Claude Docs node/6b70eefd-a017@131 docx-w6</dc:description>
  <cp:revision>131</cp:revision>
</cp:coreProperties>
</file>