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v0.16)</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under the v0.7 wording, so no review blocks gate 0; every review is due before the GA build. The one exception is an optional late-beta mandate pilot, which runs only after the outside reviewer re-confirms MR‑09 and MR‑11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3889"/>
        <w:gridCol w:w="4018"/>
      </w:tblGrid>
      <w:tr>
        <w:trPr>
          <w:tblHeader/>
        </w:trPr>
        <w:tc>
          <w:tcPr>
            <w:tcW w:type="dxa" w:w="1453"/>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889"/>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18"/>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in the beta outside the mandate pilot</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MR‑02</w:t>
            </w:r>
          </w:p>
        </w:tc>
        <w:tc>
          <w:tcPr>
            <w:tcW w:type="dxa" w:w="3889"/>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18"/>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MR‑09, MR‑11</w:t>
            </w:r>
          </w:p>
        </w:tc>
        <w:tc>
          <w:tcPr>
            <w:tcW w:type="dxa" w:w="3889"/>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18"/>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MR‑10</w:t>
            </w:r>
          </w:p>
        </w:tc>
        <w:tc>
          <w:tcPr>
            <w:tcW w:type="dxa" w:w="3889"/>
            <w:tcMar>
              <w:top w:type="dxa" w:w="60"/>
              <w:left w:type="dxa" w:w="100"/>
              <w:bottom w:type="dxa" w:w="60"/>
              <w:right w:type="dxa" w:w="100"/>
            </w:tcMar>
          </w:tcPr>
          <w:p>
            <w:pPr>
              <w:spacing w:after="0" w:before="0" w:line="252"/>
            </w:pPr>
            <w:r>
              <w:rPr>
                <w:sz w:val="19"/>
                <w:szCs w:val="19"/>
              </w:rPr>
              <w:t xml:space="preserve">Purchase mandates (PAY‑03)</w:t>
            </w:r>
          </w:p>
        </w:tc>
        <w:tc>
          <w:tcPr>
            <w:tcW w:type="dxa" w:w="4018"/>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MR‑12</w:t>
            </w:r>
          </w:p>
        </w:tc>
        <w:tc>
          <w:tcPr>
            <w:tcW w:type="dxa" w:w="3889"/>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18"/>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MR‑17</w:t>
            </w:r>
          </w:p>
        </w:tc>
        <w:tc>
          <w:tcPr>
            <w:tcW w:type="dxa" w:w="3889"/>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18"/>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MR‑24</w:t>
            </w:r>
          </w:p>
        </w:tc>
        <w:tc>
          <w:tcPr>
            <w:tcW w:type="dxa" w:w="3889"/>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18"/>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MR‑25</w:t>
            </w:r>
          </w:p>
        </w:tc>
        <w:tc>
          <w:tcPr>
            <w:tcW w:type="dxa" w:w="3889"/>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18"/>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One gesture may approve several actions at once, each shown in full and explicitly selected, and each gets its own approval record (ASG‑11).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and it saves them real time,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1"/>
        <w:gridCol w:w="2425"/>
        <w:gridCol w:w="4347"/>
        <w:gridCol w:w="2037"/>
      </w:tblGrid>
      <w:tr>
        <w:trPr>
          <w:tblHeader/>
        </w:trPr>
        <w:tc>
          <w:tcPr>
            <w:tcW w:type="dxa" w:w="55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347"/>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2037"/>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G1</w:t>
            </w:r>
          </w:p>
        </w:tc>
        <w:tc>
          <w:tcPr>
            <w:tcW w:type="dxa" w:w="242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347"/>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2037"/>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G2</w:t>
            </w:r>
          </w:p>
        </w:tc>
        <w:tc>
          <w:tcPr>
            <w:tcW w:type="dxa" w:w="2425"/>
            <w:tcMar>
              <w:top w:type="dxa" w:w="60"/>
              <w:left w:type="dxa" w:w="100"/>
              <w:bottom w:type="dxa" w:w="60"/>
              <w:right w:type="dxa" w:w="100"/>
            </w:tcMar>
          </w:tcPr>
          <w:p>
            <w:pPr>
              <w:spacing w:after="0" w:before="0" w:line="252"/>
            </w:pPr>
            <w:r>
              <w:rPr>
                <w:sz w:val="19"/>
                <w:szCs w:val="19"/>
              </w:rPr>
              <w:t xml:space="preserve">No spend surprises</w:t>
            </w:r>
          </w:p>
        </w:tc>
        <w:tc>
          <w:tcPr>
            <w:tcW w:type="dxa" w:w="4347"/>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2037"/>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G3</w:t>
            </w:r>
          </w:p>
        </w:tc>
        <w:tc>
          <w:tcPr>
            <w:tcW w:type="dxa" w:w="242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347"/>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2037"/>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G4</w:t>
            </w:r>
          </w:p>
        </w:tc>
        <w:tc>
          <w:tcPr>
            <w:tcW w:type="dxa" w:w="2425"/>
            <w:tcMar>
              <w:top w:type="dxa" w:w="60"/>
              <w:left w:type="dxa" w:w="100"/>
              <w:bottom w:type="dxa" w:w="60"/>
              <w:right w:type="dxa" w:w="100"/>
            </w:tcMar>
          </w:tcPr>
          <w:p>
            <w:pPr>
              <w:spacing w:after="0" w:before="0" w:line="252"/>
            </w:pPr>
            <w:r>
              <w:rPr>
                <w:sz w:val="19"/>
                <w:szCs w:val="19"/>
              </w:rPr>
              <w:t xml:space="preserve">Trustworthy output</w:t>
            </w:r>
          </w:p>
        </w:tc>
        <w:tc>
          <w:tcPr>
            <w:tcW w:type="dxa" w:w="4347"/>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2037"/>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G5</w:t>
            </w:r>
          </w:p>
        </w:tc>
        <w:tc>
          <w:tcPr>
            <w:tcW w:type="dxa" w:w="242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347"/>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2037"/>
            <w:tcMar>
              <w:top w:type="dxa" w:w="60"/>
              <w:left w:type="dxa" w:w="100"/>
              <w:bottom w:type="dxa" w:w="60"/>
              <w:right w:type="dxa" w:w="100"/>
            </w:tcMar>
          </w:tcPr>
          <w:p>
            <w:pPr>
              <w:spacing w:after="0" w:before="0" w:line="252"/>
            </w:pPr>
            <w:r>
              <w:rPr>
                <w:sz w:val="19"/>
                <w:szCs w:val="19"/>
              </w:rPr>
              <w:t xml:space="preserve">100%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G6</w:t>
            </w:r>
          </w:p>
        </w:tc>
        <w:tc>
          <w:tcPr>
            <w:tcW w:type="dxa" w:w="2425"/>
            <w:tcMar>
              <w:top w:type="dxa" w:w="60"/>
              <w:left w:type="dxa" w:w="100"/>
              <w:bottom w:type="dxa" w:w="60"/>
              <w:right w:type="dxa" w:w="100"/>
            </w:tcMar>
          </w:tcPr>
          <w:p>
            <w:pPr>
              <w:spacing w:after="0" w:before="0" w:line="252"/>
            </w:pPr>
            <w:r>
              <w:rPr>
                <w:sz w:val="19"/>
                <w:szCs w:val="19"/>
              </w:rPr>
              <w:t xml:space="preserve">Collicity saves people real work</w:t>
            </w:r>
          </w:p>
        </w:tc>
        <w:tc>
          <w:tcPr>
            <w:tcW w:type="dxa" w:w="4347"/>
            <w:tcMar>
              <w:top w:type="dxa" w:w="60"/>
              <w:left w:type="dxa" w:w="100"/>
              <w:bottom w:type="dxa" w:w="60"/>
              <w:right w:type="dxa" w:w="100"/>
            </w:tcMar>
          </w:tcPr>
          <w:p>
            <w:pPr>
              <w:spacing w:after="0" w:before="0" w:line="252"/>
            </w:pPr>
            <w:r>
              <w:rPr>
                <w:sz w:val="19"/>
                <w:szCs w:val="19"/>
              </w:rPr>
              <w:t xml:space="preserve">Hands-on minutes per completed request across intake, review, approvals, corrections and repair, against a week-0 baseline for comparable request types and complexity, with completion coverage and quality held (§19)</w:t>
            </w:r>
          </w:p>
        </w:tc>
        <w:tc>
          <w:tcPr>
            <w:tcW w:type="dxa" w:w="2037"/>
            <w:tcMar>
              <w:top w:type="dxa" w:w="60"/>
              <w:left w:type="dxa" w:w="100"/>
              <w:bottom w:type="dxa" w:w="60"/>
              <w:right w:type="dxa" w:w="100"/>
            </w:tcMar>
          </w:tcPr>
          <w:p>
            <w:pPr>
              <w:spacing w:after="0" w:before="0" w:line="252"/>
            </w:pPr>
            <w:r>
              <w:rPr>
                <w:sz w:val="19"/>
                <w:szCs w:val="19"/>
              </w:rPr>
              <w:t xml:space="preserve">≥30% lower (design partners validate the threshold)</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each shown in full.</w:t>
      </w:r>
    </w:p>
    <w:p>
      <w:pPr>
        <w:pStyle w:val="ListParagraph"/>
        <w:numPr>
          <w:ilvl w:val="1"/>
          <w:numId w:val="2"/>
        </w:numPr>
        <w:spacing w:after="60" w:before="0"/>
      </w:pPr>
      <w:r>
        <w:rPr>
          <w:b/>
          <w:bCs/>
        </w:rPr>
        <w:t xml:space="preserve">Batch approval:</w:t>
      </w:r>
      <w:r>
        <w:t xml:space="preserve"> one gesture may approve an explicitly selected set of the actions on a screen. It creates a separate approval record for each action, binding that action's own parameters, target version, compensation and expiry. Nothing outside the selected set is approved, and no future action is. If one action goes stale, only that action returns for review; the others keep their approvals (RUN‑04). High-impact actions (RUN‑04) are always approved one at a time. A batch may change at most 10 records in total; larger sets are split or approved one at a time. Batch approval is a reading of MR‑11 (§21).</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 A suggestion (ASG‑26) never creates one by itself.</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high sender confidence, or a named contact under ASG‑16's external-sender policy,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except in the optional late-beta pilot (§18.1); otherwise the beta approves every action.</w:t>
      </w:r>
    </w:p>
    <w:p>
      <w:pPr>
        <w:pStyle w:val="ListParagraph"/>
        <w:numPr>
          <w:ilvl w:val="0"/>
          <w:numId w:val="2"/>
        </w:numPr>
        <w:spacing w:after="60" w:before="0"/>
      </w:pPr>
      <w:r>
        <w:rPr>
          <w:b/>
          <w:bCs/>
        </w:rPr>
        <w:t xml:space="preserve">ASG‑26 (P1, pending MR review) Mandate suggestions.</w:t>
      </w:r>
      <w:r>
        <w:t xml:space="preserve"> Earned autonomy earns an offer, never authority. Once a person has approved at least 20 actions of one kind (default), Collicity may suggest a mandate for them.</w:t>
      </w:r>
    </w:p>
    <w:p>
      <w:pPr>
        <w:pStyle w:val="ListParagraph"/>
        <w:numPr>
          <w:ilvl w:val="1"/>
          <w:numId w:val="2"/>
        </w:numPr>
        <w:spacing w:after="60" w:before="0"/>
      </w:pPr>
      <w:r>
        <w:rPr>
          <w:b/>
          <w:bCs/>
        </w:rPr>
        <w:t xml:space="preserve">The evidence:</w:t>
      </w:r>
      <w:r>
        <w:t xml:space="preserve"> the suggestion shows the targets, fields and amounts observed, every edit, rejection, failure and undo, and how recovery behaved where it was needed (RUN‑06).</w:t>
      </w:r>
    </w:p>
    <w:p>
      <w:pPr>
        <w:pStyle w:val="ListParagraph"/>
        <w:numPr>
          <w:ilvl w:val="1"/>
          <w:numId w:val="2"/>
        </w:numPr>
        <w:spacing w:after="60" w:before="0"/>
      </w:pPr>
      <w:r>
        <w:rPr>
          <w:b/>
          <w:bCs/>
        </w:rPr>
        <w:t xml:space="preserve">The bounds:</w:t>
      </w:r>
      <w:r>
        <w:t xml:space="preserve"> proposed bounds are no wider than that evidence: only targets and fields seen, amounts within the observed range. The owner can narrow them further.</w:t>
      </w:r>
    </w:p>
    <w:p>
      <w:pPr>
        <w:pStyle w:val="ListParagraph"/>
        <w:numPr>
          <w:ilvl w:val="1"/>
          <w:numId w:val="2"/>
        </w:numPr>
        <w:spacing w:after="60" w:before="0"/>
      </w:pPr>
      <w:r>
        <w:rPr>
          <w:b/>
          <w:bCs/>
        </w:rPr>
        <w:t xml:space="preserve">Incomplete signal:</w:t>
      </w:r>
      <w:r>
        <w:t xml:space="preserve"> clean approvals don't establish safety, because repeated actions may cover only one easy case and a mistake nobody caught looks clean. A suggestion therefore counts only approvals whose outcome window closed without a correction (INV‑06), and none is made while the evaluation set shows an escaped defect for that kind of action (SUP‑06).</w:t>
      </w:r>
    </w:p>
    <w:p>
      <w:pPr>
        <w:pStyle w:val="ListParagraph"/>
        <w:numPr>
          <w:ilvl w:val="1"/>
          <w:numId w:val="2"/>
        </w:numPr>
        <w:spacing w:after="60" w:before="0"/>
      </w:pPr>
      <w:r>
        <w:rPr>
          <w:b/>
          <w:bCs/>
        </w:rPr>
        <w:t xml:space="preserve">The decision:</w:t>
      </w:r>
      <w:r>
        <w:t xml:space="preserve"> the owner still creates the mandate deliberately, with phishing-resistant step-up authentication (ASG‑24, CON‑21). Declining a suggestion is recorded, and the same suggestion isn't repeated for 30 days.</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or medium for a named contact under ASG‑16's external-sender policy;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or a named contact under the external-sender policy below; a change within the mandate's bounds (e.g., at most 10% of the current value); and no screening positive or hidden-text citation. Payment, banking and remit-to details, and a contact’s own address, phone or identity fields, are never eligible. Otherwise the item waits for a click.</w:t>
      </w:r>
    </w:p>
    <w:p>
      <w:pPr>
        <w:pStyle w:val="ListParagraph"/>
        <w:numPr>
          <w:ilvl w:val="1"/>
          <w:numId w:val="2"/>
        </w:numPr>
        <w:spacing w:after="60" w:before="0"/>
      </w:pPr>
      <w:r>
        <w:rPr>
          <w:b/>
          <w:bCs/>
        </w:rPr>
        <w:t xml:space="preserve">External-sender policy:</w:t>
      </w:r>
      <w:r>
        <w:t xml:space="preserve"> a contact outside the tenant at medium confidence (a known contact passing aligned DMARC, ASG‑15) is useful evidence but not enough on its own. A queue mandate may cover such a contact only if it names the contact, the targets and the fields; limits amounts tightly; covers only reversible changes whose recovery path has been tested (RUN‑06); and the owner turns the policy on for that mandate. The message stays data, interpreted under the owner's mandate (MR‑13). The policy is off by default, and it is offered only once design-partner evidence shows how much real triage mail it would cover (§21).</w:t>
      </w:r>
    </w:p>
    <w:p>
      <w:pPr>
        <w:spacing w:after="60" w:before="0"/>
        <w:ind w:left="720"/>
      </w:pP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unlocks, opens or disarms a home security device, or turns off a security camera (PAY‑08),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in a batch, each approval goes stale on its own, ASG‑11),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An approval to unlock, open, disarm or turn off a camera executes immediately; if it can’t, it lapses and the person approves again, with the biometric and presence checks.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3266"/>
        <w:gridCol w:w="3984"/>
      </w:tblGrid>
      <w:tr>
        <w:trPr>
          <w:tblHeader/>
        </w:trPr>
        <w:tc>
          <w:tcPr>
            <w:tcW w:type="dxa" w:w="2110"/>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6"/>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6"/>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84"/>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Rule-override request</w:t>
            </w:r>
          </w:p>
        </w:tc>
        <w:tc>
          <w:tcPr>
            <w:tcW w:type="dxa" w:w="3266"/>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84"/>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6"/>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84"/>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6"/>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84"/>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Tool-description poisoning</w:t>
            </w:r>
          </w:p>
        </w:tc>
        <w:tc>
          <w:tcPr>
            <w:tcW w:type="dxa" w:w="3266"/>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84"/>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Persistent injection</w:t>
            </w:r>
          </w:p>
        </w:tc>
        <w:tc>
          <w:tcPr>
            <w:tcW w:type="dxa" w:w="3266"/>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84"/>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6"/>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84"/>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6"/>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84"/>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Best-of-N probing</w:t>
            </w:r>
          </w:p>
        </w:tc>
        <w:tc>
          <w:tcPr>
            <w:tcW w:type="dxa" w:w="3266"/>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84"/>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or named contacts under the external-sender policy (ASG‑16); injection screening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Mandate abuse</w:t>
            </w:r>
          </w:p>
        </w:tc>
        <w:tc>
          <w:tcPr>
            <w:tcW w:type="dxa" w:w="3266"/>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84"/>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shared assignment</w:t>
            </w:r>
          </w:p>
        </w:tc>
        <w:tc>
          <w:tcPr>
            <w:tcW w:type="dxa" w:w="3266"/>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84"/>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6"/>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84"/>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Approver without authority</w:t>
            </w:r>
          </w:p>
        </w:tc>
        <w:tc>
          <w:tcPr>
            <w:tcW w:type="dxa" w:w="3266"/>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84"/>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Token theft</w:t>
            </w:r>
          </w:p>
        </w:tc>
        <w:tc>
          <w:tcPr>
            <w:tcW w:type="dxa" w:w="3266"/>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84"/>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Agent impersonation</w:t>
            </w:r>
          </w:p>
        </w:tc>
        <w:tc>
          <w:tcPr>
            <w:tcW w:type="dxa" w:w="3266"/>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84"/>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Signing-key theft</w:t>
            </w:r>
          </w:p>
        </w:tc>
        <w:tc>
          <w:tcPr>
            <w:tcW w:type="dxa" w:w="3266"/>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84"/>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6"/>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84"/>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Cross-tenant leakage</w:t>
            </w:r>
          </w:p>
        </w:tc>
        <w:tc>
          <w:tcPr>
            <w:tcW w:type="dxa" w:w="3266"/>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84"/>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custom connector</w:t>
            </w:r>
          </w:p>
        </w:tc>
        <w:tc>
          <w:tcPr>
            <w:tcW w:type="dxa" w:w="3266"/>
            <w:tcMar>
              <w:top w:type="dxa" w:w="60"/>
              <w:left w:type="dxa" w:w="100"/>
              <w:bottom w:type="dxa" w:w="60"/>
              <w:right w:type="dxa" w:w="100"/>
            </w:tcMar>
          </w:tcPr>
          <w:p>
            <w:pPr>
              <w:spacing w:after="0" w:before="0" w:line="252"/>
            </w:pPr>
            <w:r>
              <w:rPr>
                <w:sz w:val="19"/>
                <w:szCs w:val="19"/>
              </w:rPr>
              <w:t xml:space="preserve">A connector exfiltrates data</w:t>
            </w:r>
          </w:p>
        </w:tc>
        <w:tc>
          <w:tcPr>
            <w:tcW w:type="dxa" w:w="3984"/>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Runaway cost</w:t>
            </w:r>
          </w:p>
        </w:tc>
        <w:tc>
          <w:tcPr>
            <w:tcW w:type="dxa" w:w="3266"/>
            <w:tcMar>
              <w:top w:type="dxa" w:w="60"/>
              <w:left w:type="dxa" w:w="100"/>
              <w:bottom w:type="dxa" w:w="60"/>
              <w:right w:type="dxa" w:w="100"/>
            </w:tcMar>
          </w:tcPr>
          <w:p>
            <w:pPr>
              <w:spacing w:after="0" w:before="0" w:line="252"/>
            </w:pPr>
            <w:r>
              <w:rPr>
                <w:sz w:val="19"/>
                <w:szCs w:val="19"/>
              </w:rPr>
              <w:t xml:space="preserve">A loop burns through tokens</w:t>
            </w:r>
          </w:p>
        </w:tc>
        <w:tc>
          <w:tcPr>
            <w:tcW w:type="dxa" w:w="3984"/>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Spoofed requester</w:t>
            </w:r>
          </w:p>
        </w:tc>
        <w:tc>
          <w:tcPr>
            <w:tcW w:type="dxa" w:w="3266"/>
            <w:tcMar>
              <w:top w:type="dxa" w:w="60"/>
              <w:left w:type="dxa" w:w="100"/>
              <w:bottom w:type="dxa" w:w="60"/>
              <w:right w:type="dxa" w:w="100"/>
            </w:tcMar>
          </w:tcPr>
          <w:p>
            <w:pPr>
              <w:spacing w:after="0" w:before="0" w:line="252"/>
            </w:pPr>
            <w:r>
              <w:rPr>
                <w:sz w:val="19"/>
                <w:szCs w:val="19"/>
              </w:rPr>
              <w:t xml:space="preserve">A fake email from "the boss"</w:t>
            </w:r>
          </w:p>
        </w:tc>
        <w:tc>
          <w:tcPr>
            <w:tcW w:type="dxa" w:w="3984"/>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 an external contact's mail runs under a mandate only if the mandate names the contact (ASG‑16)</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Compromised partner mailbox</w:t>
            </w:r>
          </w:p>
        </w:tc>
        <w:tc>
          <w:tcPr>
            <w:tcW w:type="dxa" w:w="3266"/>
            <w:tcMar>
              <w:top w:type="dxa" w:w="60"/>
              <w:left w:type="dxa" w:w="100"/>
              <w:bottom w:type="dxa" w:w="60"/>
              <w:right w:type="dxa" w:w="100"/>
            </w:tcMar>
          </w:tcPr>
          <w:p>
            <w:pPr>
              <w:spacing w:after="0" w:before="0" w:line="252"/>
            </w:pPr>
            <w:r>
              <w:rPr>
                <w:sz w:val="19"/>
                <w:szCs w:val="19"/>
              </w:rPr>
              <w:t xml:space="preserve">A real vendor account, passing DMARC, asks to change payment or contact details</w:t>
            </w:r>
          </w:p>
        </w:tc>
        <w:tc>
          <w:tcPr>
            <w:tcW w:type="dxa" w:w="3984"/>
            <w:tcMar>
              <w:top w:type="dxa" w:w="60"/>
              <w:left w:type="dxa" w:w="100"/>
              <w:bottom w:type="dxa" w:w="60"/>
              <w:right w:type="dxa" w:w="100"/>
            </w:tcMar>
          </w:tcPr>
          <w:p>
            <w:pPr>
              <w:spacing w:after="0" w:before="0" w:line="252"/>
            </w:pPr>
            <w:r>
              <w:rPr>
                <w:sz w:val="19"/>
                <w:szCs w:val="19"/>
              </w:rPr>
              <w:t xml:space="preserve">Those fields are never mandate-eligible (ASG‑16); named contacts, tight bounds, tested recovery only.</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Unsafe physical action</w:t>
            </w:r>
          </w:p>
        </w:tc>
        <w:tc>
          <w:tcPr>
            <w:tcW w:type="dxa" w:w="3266"/>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84"/>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under the v0.7 wording, apart from the optional mandate pilot (§18.1).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455"/>
        <w:gridCol w:w="2222"/>
        <w:gridCol w:w="1743"/>
        <w:gridCol w:w="1362"/>
      </w:tblGrid>
      <w:tr>
        <w:trPr>
          <w:tblHeader/>
        </w:trPr>
        <w:tc>
          <w:tcPr>
            <w:tcW w:type="dxa" w:w="157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55"/>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2"/>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3"/>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2"/>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Platforms (§5)</w:t>
            </w:r>
          </w:p>
        </w:tc>
        <w:tc>
          <w:tcPr>
            <w:tcW w:type="dxa" w:w="2455"/>
            <w:tcMar>
              <w:top w:type="dxa" w:w="60"/>
              <w:left w:type="dxa" w:w="100"/>
              <w:bottom w:type="dxa" w:w="60"/>
              <w:right w:type="dxa" w:w="100"/>
            </w:tcMar>
          </w:tcPr>
          <w:p>
            <w:pPr>
              <w:spacing w:after="0" w:before="0" w:line="252"/>
            </w:pPr>
            <w:r>
              <w:rPr>
                <w:sz w:val="19"/>
                <w:szCs w:val="19"/>
              </w:rPr>
              <w:t xml:space="preserve">PLT‑01 web only; PLT‑06</w:t>
            </w:r>
          </w:p>
        </w:tc>
        <w:tc>
          <w:tcPr>
            <w:tcW w:type="dxa" w:w="2222"/>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3"/>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Connectors (§6)</w:t>
            </w:r>
          </w:p>
        </w:tc>
        <w:tc>
          <w:tcPr>
            <w:tcW w:type="dxa" w:w="2455"/>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22"/>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3"/>
            <w:tcMar>
              <w:top w:type="dxa" w:w="60"/>
              <w:left w:type="dxa" w:w="100"/>
              <w:bottom w:type="dxa" w:w="60"/>
              <w:right w:type="dxa" w:w="100"/>
            </w:tcMar>
          </w:tcPr>
          <w:p>
            <w:pPr>
              <w:spacing w:after="0" w:before="0" w:line="252"/>
            </w:pPr>
            <w:r>
              <w:rPr>
                <w:sz w:val="19"/>
                <w:szCs w:val="19"/>
              </w:rPr>
              <w:t xml:space="preserve">Consumer catalog</w:t>
            </w:r>
          </w:p>
        </w:tc>
        <w:tc>
          <w:tcPr>
            <w:tcW w:type="dxa" w:w="1362"/>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Tasks and runtime (§7)</w:t>
            </w:r>
          </w:p>
        </w:tc>
        <w:tc>
          <w:tcPr>
            <w:tcW w:type="dxa" w:w="2455"/>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 an optional ASG‑16 pilot with ASG‑24’s controls (§18.1)</w:t>
            </w:r>
          </w:p>
        </w:tc>
        <w:tc>
          <w:tcPr>
            <w:tcW w:type="dxa" w:w="2222"/>
            <w:tcMar>
              <w:top w:type="dxa" w:w="60"/>
              <w:left w:type="dxa" w:w="100"/>
              <w:bottom w:type="dxa" w:w="60"/>
              <w:right w:type="dxa" w:w="100"/>
            </w:tcMar>
          </w:tcPr>
          <w:p>
            <w:pPr>
              <w:spacing w:after="0" w:before="0" w:line="252"/>
            </w:pPr>
            <w:r>
              <w:rPr>
                <w:sz w:val="19"/>
                <w:szCs w:val="19"/>
              </w:rPr>
              <w:t xml:space="preserve">ASG‑03, 07, 08, 18–23; ASG‑16, 24, 26 and RUN‑04 and RUN‑06 as amended (pending MR review)</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Budgets (§8)</w:t>
            </w:r>
          </w:p>
        </w:tc>
        <w:tc>
          <w:tcPr>
            <w:tcW w:type="dxa" w:w="2455"/>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2"/>
            <w:tcMar>
              <w:top w:type="dxa" w:w="60"/>
              <w:left w:type="dxa" w:w="100"/>
              <w:bottom w:type="dxa" w:w="60"/>
              <w:right w:type="dxa" w:w="100"/>
            </w:tcMar>
          </w:tcPr>
          <w:p>
            <w:pPr>
              <w:spacing w:after="0" w:before="0" w:line="252"/>
            </w:pPr>
            <w:r>
              <w:rPr>
                <w:sz w:val="19"/>
                <w:szCs w:val="19"/>
              </w:rPr>
              <w:t xml:space="preserve">BUD‑06 groups; BUD‑07, 09</w:t>
            </w:r>
          </w:p>
        </w:tc>
        <w:tc>
          <w:tcPr>
            <w:tcW w:type="dxa" w:w="1743"/>
            <w:tcMar>
              <w:top w:type="dxa" w:w="60"/>
              <w:left w:type="dxa" w:w="100"/>
              <w:bottom w:type="dxa" w:w="60"/>
              <w:right w:type="dxa" w:w="100"/>
            </w:tcMar>
          </w:tcPr>
          <w:p>
            <w:pPr>
              <w:spacing w:after="0" w:before="0" w:line="252"/>
            </w:pPr>
            <w:r>
              <w:rPr>
                <w:sz w:val="19"/>
                <w:szCs w:val="19"/>
              </w:rPr>
              <w:t xml:space="preserve">Account cap</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Router, supervisor, inventory (§9)</w:t>
            </w:r>
          </w:p>
        </w:tc>
        <w:tc>
          <w:tcPr>
            <w:tcW w:type="dxa" w:w="2455"/>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2"/>
            <w:tcMar>
              <w:top w:type="dxa" w:w="60"/>
              <w:left w:type="dxa" w:w="100"/>
              <w:bottom w:type="dxa" w:w="60"/>
              <w:right w:type="dxa" w:w="100"/>
            </w:tcMar>
          </w:tcPr>
          <w:p>
            <w:pPr>
              <w:spacing w:after="0" w:before="0" w:line="252"/>
            </w:pPr>
            <w:r>
              <w:rPr>
                <w:sz w:val="19"/>
                <w:szCs w:val="19"/>
              </w:rPr>
              <w:t xml:space="preserve">RTR‑06; SUP‑05; INV‑04</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Templates (§10)</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TPL‑01–07</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Scheduling and triggers (§11)</w:t>
            </w:r>
          </w:p>
        </w:tc>
        <w:tc>
          <w:tcPr>
            <w:tcW w:type="dxa" w:w="2455"/>
            <w:tcMar>
              <w:top w:type="dxa" w:w="60"/>
              <w:left w:type="dxa" w:w="100"/>
              <w:bottom w:type="dxa" w:w="60"/>
              <w:right w:type="dxa" w:w="100"/>
            </w:tcMar>
          </w:tcPr>
          <w:p>
            <w:pPr>
              <w:spacing w:after="0" w:before="0" w:line="252"/>
            </w:pPr>
            <w:r>
              <w:rPr>
                <w:sz w:val="19"/>
                <w:szCs w:val="19"/>
              </w:rPr>
              <w:t xml:space="preserve">SCH‑03 mail events</w:t>
            </w:r>
          </w:p>
        </w:tc>
        <w:tc>
          <w:tcPr>
            <w:tcW w:type="dxa" w:w="2222"/>
            <w:tcMar>
              <w:top w:type="dxa" w:w="60"/>
              <w:left w:type="dxa" w:w="100"/>
              <w:bottom w:type="dxa" w:w="60"/>
              <w:right w:type="dxa" w:w="100"/>
            </w:tcMar>
          </w:tcPr>
          <w:p>
            <w:pPr>
              <w:spacing w:after="0" w:before="0" w:line="252"/>
            </w:pPr>
            <w:r>
              <w:rPr>
                <w:sz w:val="19"/>
                <w:szCs w:val="19"/>
              </w:rPr>
              <w:t xml:space="preserve">SCH‑01, 02, 07, 08</w:t>
            </w:r>
          </w:p>
        </w:tc>
        <w:tc>
          <w:tcPr>
            <w:tcW w:type="dxa" w:w="1743"/>
            <w:tcMar>
              <w:top w:type="dxa" w:w="60"/>
              <w:left w:type="dxa" w:w="100"/>
              <w:bottom w:type="dxa" w:w="60"/>
              <w:right w:type="dxa" w:w="100"/>
            </w:tcMar>
          </w:tcPr>
          <w:p>
            <w:pPr>
              <w:spacing w:after="0" w:before="0" w:line="252"/>
            </w:pPr>
            <w:r>
              <w:rPr>
                <w:sz w:val="19"/>
                <w:szCs w:val="19"/>
              </w:rPr>
              <w:t xml:space="preserve">SCH‑04–06</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Q&amp;A and chat (§12)</w:t>
            </w:r>
          </w:p>
        </w:tc>
        <w:tc>
          <w:tcPr>
            <w:tcW w:type="dxa" w:w="2455"/>
            <w:tcMar>
              <w:top w:type="dxa" w:w="60"/>
              <w:left w:type="dxa" w:w="100"/>
              <w:bottom w:type="dxa" w:w="60"/>
              <w:right w:type="dxa" w:w="100"/>
            </w:tcMar>
          </w:tcPr>
          <w:p>
            <w:pPr>
              <w:spacing w:after="0" w:before="0" w:line="252"/>
            </w:pPr>
            <w:r>
              <w:rPr>
                <w:sz w:val="19"/>
                <w:szCs w:val="19"/>
              </w:rPr>
              <w:t xml:space="preserve">QA‑01–03</w:t>
            </w:r>
          </w:p>
        </w:tc>
        <w:tc>
          <w:tcPr>
            <w:tcW w:type="dxa" w:w="2222"/>
            <w:tcMar>
              <w:top w:type="dxa" w:w="60"/>
              <w:left w:type="dxa" w:w="100"/>
              <w:bottom w:type="dxa" w:w="60"/>
              <w:right w:type="dxa" w:w="100"/>
            </w:tcMar>
          </w:tcPr>
          <w:p>
            <w:pPr>
              <w:spacing w:after="0" w:before="0" w:line="252"/>
            </w:pPr>
            <w:r>
              <w:rPr>
                <w:sz w:val="19"/>
                <w:szCs w:val="19"/>
              </w:rPr>
              <w:t xml:space="preserve">QA‑04–06</w:t>
            </w:r>
          </w:p>
        </w:tc>
        <w:tc>
          <w:tcPr>
            <w:tcW w:type="dxa" w:w="1743"/>
            <w:tcMar>
              <w:top w:type="dxa" w:w="60"/>
              <w:left w:type="dxa" w:w="100"/>
              <w:bottom w:type="dxa" w:w="60"/>
              <w:right w:type="dxa" w:w="100"/>
            </w:tcMar>
          </w:tcPr>
          <w:p>
            <w:pPr>
              <w:spacing w:after="0" w:before="0" w:line="252"/>
            </w:pPr>
            <w:r>
              <w:rPr>
                <w:sz w:val="19"/>
                <w:szCs w:val="19"/>
              </w:rPr>
              <w:t xml:space="preserve">QA‑07</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Admin and providers (§13)</w:t>
            </w:r>
          </w:p>
        </w:tc>
        <w:tc>
          <w:tcPr>
            <w:tcW w:type="dxa" w:w="2455"/>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22"/>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3"/>
            <w:tcMar>
              <w:top w:type="dxa" w:w="60"/>
              <w:left w:type="dxa" w:w="100"/>
              <w:bottom w:type="dxa" w:w="60"/>
              <w:right w:type="dxa" w:w="100"/>
            </w:tcMar>
          </w:tcPr>
          <w:p>
            <w:pPr>
              <w:spacing w:after="0" w:before="0" w:line="252"/>
            </w:pPr>
            <w:r>
              <w:rPr>
                <w:sz w:val="19"/>
                <w:szCs w:val="19"/>
              </w:rPr>
              <w:t xml:space="preserve">Consumer sign-in</w:t>
            </w:r>
          </w:p>
        </w:tc>
        <w:tc>
          <w:tcPr>
            <w:tcW w:type="dxa" w:w="1362"/>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Payments (§14)</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w:t>
            </w:r>
          </w:p>
        </w:tc>
        <w:tc>
          <w:tcPr>
            <w:tcW w:type="dxa" w:w="1743"/>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2"/>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Security and privacy (§15)</w:t>
            </w:r>
          </w:p>
        </w:tc>
        <w:tc>
          <w:tcPr>
            <w:tcW w:type="dxa" w:w="2455"/>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22"/>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743"/>
            <w:tcMar>
              <w:top w:type="dxa" w:w="60"/>
              <w:left w:type="dxa" w:w="100"/>
              <w:bottom w:type="dxa" w:w="60"/>
              <w:right w:type="dxa" w:w="100"/>
            </w:tcMar>
          </w:tcPr>
          <w:p>
            <w:pPr>
              <w:spacing w:after="0" w:before="0" w:line="252"/>
            </w:pPr>
            <w:r>
              <w:rPr>
                <w:sz w:val="19"/>
                <w:szCs w:val="19"/>
              </w:rPr>
              <w:t xml:space="preserve">SEC‑06</w:t>
            </w:r>
          </w:p>
        </w:tc>
        <w:tc>
          <w:tcPr>
            <w:tcW w:type="dxa" w:w="1362"/>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Non-functional (§17)</w:t>
            </w:r>
          </w:p>
        </w:tc>
        <w:tc>
          <w:tcPr>
            <w:tcW w:type="dxa" w:w="2455"/>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2"/>
            <w:tcMar>
              <w:top w:type="dxa" w:w="60"/>
              <w:left w:type="dxa" w:w="100"/>
              <w:bottom w:type="dxa" w:w="60"/>
              <w:right w:type="dxa" w:w="100"/>
            </w:tcMar>
          </w:tcPr>
          <w:p>
            <w:pPr>
              <w:spacing w:after="0" w:before="0" w:line="252"/>
            </w:pPr>
            <w:r>
              <w:rPr>
                <w:sz w:val="19"/>
                <w:szCs w:val="19"/>
              </w:rPr>
              <w:t xml:space="preserve">All rows</w:t>
            </w:r>
          </w:p>
        </w:tc>
        <w:tc>
          <w:tcPr>
            <w:tcW w:type="dxa" w:w="1743"/>
            <w:tcMar>
              <w:top w:type="dxa" w:w="60"/>
              <w:left w:type="dxa" w:w="100"/>
              <w:bottom w:type="dxa" w:w="60"/>
              <w:right w:type="dxa" w:w="100"/>
            </w:tcMar>
          </w:tcPr>
          <w:p>
            <w:pPr>
              <w:spacing w:after="0" w:before="0" w:line="252"/>
            </w:pPr>
            <w:r>
              <w:rPr>
                <w:sz w:val="19"/>
                <w:szCs w:val="19"/>
              </w:rPr>
              <w:t xml:space="preserve">Home scale</w:t>
            </w:r>
          </w:p>
        </w:tc>
        <w:tc>
          <w:tcPr>
            <w:tcW w:type="dxa" w:w="1362"/>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 hands-on time per completed request at least 30% below each partner's week-0 baseline for comparable request types and complexity, with completion coverage no lower than the baseline and the quality targets above met (G6, §19)</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under the master rules' v0.7 wording (§1): every action, compensations included, is approved in a live session, and the beta has no service accounts, model-written code or queries, or security changes, and no mandates outside the optional pilot below.</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except in the optional mandate pilot; mandates otherwise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Mandate pilot (optional, late beta).</w:t>
      </w:r>
      <w:r>
        <w:t xml:space="preserve"> One design partner may run queue mandates (ASG‑16) for internal senders on one action type, for the last weeks of the beta. Everywhere else, every action is still approved. The pilot starts only when all of these hold:</w:t>
      </w:r>
    </w:p>
    <w:p>
      <w:pPr>
        <w:pStyle w:val="ListParagraph"/>
        <w:numPr>
          <w:ilvl w:val="0"/>
          <w:numId w:val="2"/>
        </w:numPr>
        <w:spacing w:after="60" w:before="0"/>
      </w:pPr>
      <w:r>
        <w:t xml:space="preserve">the outside reviewer has re-confirmed MR‑09 and MR‑11 (§1);</w:t>
      </w:r>
    </w:p>
    <w:p>
      <w:pPr>
        <w:pStyle w:val="ListParagraph"/>
        <w:numPr>
          <w:ilvl w:val="0"/>
          <w:numId w:val="2"/>
        </w:numPr>
        <w:spacing w:after="60" w:before="0"/>
      </w:pPr>
      <w:r>
        <w:t xml:space="preserve">that action type's compensation has passed its acceptance cases (RUN‑06) in the partner's tenant;</w:t>
      </w:r>
    </w:p>
    <w:p>
      <w:pPr>
        <w:pStyle w:val="ListParagraph"/>
        <w:numPr>
          <w:ilvl w:val="0"/>
          <w:numId w:val="2"/>
        </w:numPr>
        <w:spacing w:after="60" w:before="0"/>
      </w:pPr>
      <w:r>
        <w:t xml:space="preserve">injection screening (SEC‑13) and every mandate control (ASG‑24) are live;</w:t>
      </w:r>
    </w:p>
    <w:p>
      <w:pPr>
        <w:pStyle w:val="ListParagraph"/>
        <w:numPr>
          <w:ilvl w:val="0"/>
          <w:numId w:val="2"/>
        </w:numPr>
        <w:spacing w:after="60" w:before="0"/>
      </w:pPr>
      <w:r>
        <w:t xml:space="preserve">the queue owner opts in, knowing the beta contract changes for that one action type.</w:t>
      </w:r>
    </w:p>
    <w:p>
      <w:pPr>
        <w:spacing w:after="0"/>
      </w:pPr>
    </w:p>
    <w:p>
      <w:r>
        <w:t xml:space="preserve">The pilot's results feed gate 1 as evidence, not as a criterion.</w:t>
      </w:r>
    </w:p>
    <w:p>
      <w:r>
        <w:rPr>
          <w:b/>
          <w:bCs/>
        </w:rPr>
        <w:t xml:space="preserve">Efficiency baseline.</w:t>
      </w:r>
      <w:r>
        <w:t xml:space="preserve"> In week 0, before Collicity runs, each design partner's hands-on time per request is measured by request type and complexity, across intake, review, the change itself, corrections and repair, along with which requests get completed. The beta is measured the same way, so gate 1 compares like with like (G6). Approval latency is measured separately from hands-on time (§19).</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1418"/>
        <w:gridCol w:w="2323"/>
        <w:gridCol w:w="2707"/>
      </w:tblGrid>
      <w:tr>
        <w:trPr>
          <w:tblHeader/>
        </w:trPr>
        <w:tc>
          <w:tcPr>
            <w:tcW w:type="dxa" w:w="291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418"/>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323"/>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707"/>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35%</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60%</w:t>
            </w:r>
          </w:p>
        </w:tc>
        <w:tc>
          <w:tcPr>
            <w:tcW w:type="dxa" w:w="2707"/>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&lt;10 min (Home), &lt;1 h (Enterprise)</w:t>
            </w:r>
          </w:p>
        </w:tc>
        <w:tc>
          <w:tcPr>
            <w:tcW w:type="dxa" w:w="2707"/>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Hands-on time per completed request: minutes across intake, review, approvals, corrections and repair</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≥30% below the week-0 baseline for comparable request types and complexity (G6)</w:t>
            </w:r>
          </w:p>
        </w:tc>
        <w:tc>
          <w:tcPr>
            <w:tcW w:type="dxa" w:w="2707"/>
            <w:tcMar>
              <w:top w:type="dxa" w:w="60"/>
              <w:left w:type="dxa" w:w="100"/>
              <w:bottom w:type="dxa" w:w="60"/>
              <w:right w:type="dxa" w:w="100"/>
            </w:tcMar>
          </w:tcPr>
          <w:p>
            <w:pPr>
              <w:spacing w:after="0" w:before="0" w:line="252"/>
            </w:pPr>
            <w:r>
              <w:rPr>
                <w:sz w:val="19"/>
                <w:szCs w:val="19"/>
              </w:rPr>
              <w:t xml:space="preserve">Week-0 time study with each design partner; telemetry on review, approval and repair screens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Completion coverage: relevant requests completed through Collicity, by request type</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No lower than the week-0 baseline, so time saved never comes from dropping hard requests</w:t>
            </w:r>
          </w:p>
        </w:tc>
        <w:tc>
          <w:tcPr>
            <w:tcW w:type="dxa" w:w="2707"/>
            <w:tcMar>
              <w:top w:type="dxa" w:w="60"/>
              <w:left w:type="dxa" w:w="100"/>
              <w:bottom w:type="dxa" w:w="60"/>
              <w:right w:type="dxa" w:w="100"/>
            </w:tcMar>
          </w:tcPr>
          <w:p>
            <w:pPr>
              <w:spacing w:after="0" w:before="0" w:line="252"/>
            </w:pPr>
            <w:r>
              <w:rPr>
                <w:sz w:val="19"/>
                <w:szCs w:val="19"/>
              </w:rPr>
              <w:t xml:space="preserve">Evaluation set (SUP‑06); partner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Share of actions run under a mandate (GA)</w:t>
            </w:r>
          </w:p>
        </w:tc>
        <w:tc>
          <w:tcPr>
            <w:tcW w:type="dxa" w:w="1418"/>
            <w:tcMar>
              <w:top w:type="dxa" w:w="60"/>
              <w:left w:type="dxa" w:w="100"/>
              <w:bottom w:type="dxa" w:w="60"/>
              <w:right w:type="dxa" w:w="100"/>
            </w:tcMar>
          </w:tcPr>
          <w:p>
            <w:pPr>
              <w:spacing w:after="0" w:before="0" w:line="252"/>
            </w:pPr>
            <w:r>
              <w:rPr>
                <w:sz w:val="19"/>
                <w:szCs w:val="19"/>
              </w:rPr>
              <w:t xml:space="preserve">Diagnostic</w:t>
            </w:r>
          </w:p>
        </w:tc>
        <w:tc>
          <w:tcPr>
            <w:tcW w:type="dxa" w:w="2323"/>
            <w:tcMar>
              <w:top w:type="dxa" w:w="60"/>
              <w:left w:type="dxa" w:w="100"/>
              <w:bottom w:type="dxa" w:w="60"/>
              <w:right w:type="dxa" w:w="100"/>
            </w:tcMar>
          </w:tcPr>
          <w:p>
            <w:pPr>
              <w:spacing w:after="0" w:before="0" w:line="252"/>
            </w:pPr>
            <w:r>
              <w:rPr>
                <w:sz w:val="19"/>
                <w:szCs w:val="19"/>
              </w:rPr>
              <w:t xml:space="preserve">None; it shows where autonomy is used, and isn't a success target by itself</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upper 95% bound ≤15%</w:t>
            </w:r>
          </w:p>
        </w:tc>
        <w:tc>
          <w:tcPr>
            <w:tcW w:type="dxa" w:w="2707"/>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&lt;2%</w:t>
            </w:r>
          </w:p>
        </w:tc>
        <w:tc>
          <w:tcPr>
            <w:tcW w:type="dxa" w:w="2707"/>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≥90%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of interventions</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Supervision cost share</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≤15% of run cost</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707"/>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50%</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60% of licensed</w:t>
            </w:r>
          </w:p>
        </w:tc>
        <w:tc>
          <w:tcPr>
            <w:tcW w:type="dxa" w:w="2707"/>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Master-rule violations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18"/>
        <w:gridCol w:w="4073"/>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18"/>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73"/>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18"/>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73"/>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18"/>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73"/>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18"/>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73"/>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18"/>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73"/>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18"/>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73"/>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18"/>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73"/>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18"/>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73"/>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18"/>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73"/>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18"/>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73"/>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18"/>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73"/>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18"/>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 or a batch approval covers an action that wasn't shown in full and explicitly selected, or a batch approval includes a high-impact action, or a batch changes more than 10 records</w:t>
            </w:r>
          </w:p>
        </w:tc>
        <w:tc>
          <w:tcPr>
            <w:tcW w:type="dxa" w:w="4073"/>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 batch approval records that don't match the actions displayed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18"/>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73"/>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18"/>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73"/>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18"/>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73"/>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18"/>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73"/>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18"/>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73"/>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18"/>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73"/>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18"/>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73"/>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18"/>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73"/>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18"/>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73"/>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18"/>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73"/>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18"/>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73"/>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18"/>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73"/>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18"/>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73"/>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18"/>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73"/>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18"/>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73"/>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5"/>
        <w:gridCol w:w="2680"/>
        <w:gridCol w:w="4255"/>
      </w:tblGrid>
      <w:tr>
        <w:trPr>
          <w:tblHeader/>
        </w:trPr>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80"/>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55"/>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80"/>
            <w:tcMar>
              <w:top w:type="dxa" w:w="60"/>
              <w:left w:type="dxa" w:w="100"/>
              <w:bottom w:type="dxa" w:w="60"/>
              <w:right w:type="dxa" w:w="100"/>
            </w:tcMar>
          </w:tcPr>
          <w:p>
            <w:pPr>
              <w:spacing w:after="0" w:before="0" w:line="252"/>
            </w:pPr>
            <w:r>
              <w:rPr>
                <w:sz w:val="19"/>
                <w:szCs w:val="19"/>
              </w:rPr>
              <w:t xml:space="preserve">Slow launch, thin quality</w:t>
            </w:r>
          </w:p>
        </w:tc>
        <w:tc>
          <w:tcPr>
            <w:tcW w:type="dxa" w:w="4255"/>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80"/>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55"/>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80"/>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55"/>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80"/>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55"/>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Sparse routing data early on</w:t>
            </w:r>
          </w:p>
        </w:tc>
        <w:tc>
          <w:tcPr>
            <w:tcW w:type="dxa" w:w="2680"/>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55"/>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Model and price churn</w:t>
            </w:r>
          </w:p>
        </w:tc>
        <w:tc>
          <w:tcPr>
            <w:tcW w:type="dxa" w:w="2680"/>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55"/>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80"/>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55"/>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Supervisor overhead</w:t>
            </w:r>
          </w:p>
        </w:tc>
        <w:tc>
          <w:tcPr>
            <w:tcW w:type="dxa" w:w="2680"/>
            <w:tcMar>
              <w:top w:type="dxa" w:w="60"/>
              <w:left w:type="dxa" w:w="100"/>
              <w:bottom w:type="dxa" w:w="60"/>
              <w:right w:type="dxa" w:w="100"/>
            </w:tcMar>
          </w:tcPr>
          <w:p>
            <w:pPr>
              <w:spacing w:after="0" w:before="0" w:line="252"/>
            </w:pPr>
            <w:r>
              <w:rPr>
                <w:sz w:val="19"/>
                <w:szCs w:val="19"/>
              </w:rPr>
              <w:t xml:space="preserve">Erodes cost savings</w:t>
            </w:r>
          </w:p>
        </w:tc>
        <w:tc>
          <w:tcPr>
            <w:tcW w:type="dxa" w:w="4255"/>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80"/>
            <w:tcMar>
              <w:top w:type="dxa" w:w="60"/>
              <w:left w:type="dxa" w:w="100"/>
              <w:bottom w:type="dxa" w:w="60"/>
              <w:right w:type="dxa" w:w="100"/>
            </w:tcMar>
          </w:tcPr>
          <w:p>
            <w:pPr>
              <w:spacing w:after="0" w:before="0" w:line="252"/>
            </w:pPr>
            <w:r>
              <w:rPr>
                <w:sz w:val="19"/>
                <w:szCs w:val="19"/>
              </w:rPr>
              <w:t xml:space="preserve">Launch delay</w:t>
            </w:r>
          </w:p>
        </w:tc>
        <w:tc>
          <w:tcPr>
            <w:tcW w:type="dxa" w:w="4255"/>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80"/>
            <w:tcMar>
              <w:top w:type="dxa" w:w="60"/>
              <w:left w:type="dxa" w:w="100"/>
              <w:bottom w:type="dxa" w:w="60"/>
              <w:right w:type="dxa" w:w="100"/>
            </w:tcMar>
          </w:tcPr>
          <w:p>
            <w:pPr>
              <w:spacing w:after="0" w:before="0" w:line="252"/>
            </w:pPr>
            <w:r>
              <w:rPr>
                <w:sz w:val="19"/>
                <w:szCs w:val="19"/>
              </w:rPr>
              <w:t xml:space="preserve">Refunds, disputes</w:t>
            </w:r>
          </w:p>
        </w:tc>
        <w:tc>
          <w:tcPr>
            <w:tcW w:type="dxa" w:w="4255"/>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80"/>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55"/>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80"/>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55"/>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Approvals cap the time Collicity saves</w:t>
            </w:r>
          </w:p>
        </w:tc>
        <w:tc>
          <w:tcPr>
            <w:tcW w:type="dxa" w:w="2680"/>
            <w:tcMar>
              <w:top w:type="dxa" w:w="60"/>
              <w:left w:type="dxa" w:w="100"/>
              <w:bottom w:type="dxa" w:w="60"/>
              <w:right w:type="dxa" w:w="100"/>
            </w:tcMar>
          </w:tcPr>
          <w:p>
            <w:pPr>
              <w:spacing w:after="0" w:before="0" w:line="252"/>
            </w:pPr>
            <w:r>
              <w:rPr>
                <w:sz w:val="19"/>
                <w:szCs w:val="19"/>
              </w:rPr>
              <w:t xml:space="preserve">The work is automated, but people wait on approvals, so little time is saved</w:t>
            </w:r>
          </w:p>
        </w:tc>
        <w:tc>
          <w:tcPr>
            <w:tcW w:type="dxa" w:w="4255"/>
            <w:tcMar>
              <w:top w:type="dxa" w:w="60"/>
              <w:left w:type="dxa" w:w="100"/>
              <w:bottom w:type="dxa" w:w="60"/>
              <w:right w:type="dxa" w:w="100"/>
            </w:tcMar>
          </w:tcPr>
          <w:p>
            <w:pPr>
              <w:spacing w:after="0" w:before="0" w:line="252"/>
            </w:pPr>
            <w:r>
              <w:rPr>
                <w:sz w:val="19"/>
                <w:szCs w:val="19"/>
              </w:rPr>
              <w:t xml:space="preserve">Efficiency as a release requirement (G6, gate 1); batch approval (ASG‑11); mandate suggestions from evidence (ASG‑26); approval latency tracked separately (§19)</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 (v0.13 adds an optional late-beta mandate pilot, §18.1).</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pStyle w:val="ListParagraph"/>
        <w:numPr>
          <w:ilvl w:val="0"/>
          <w:numId w:val="2"/>
        </w:numPr>
        <w:spacing w:after="60" w:before="0"/>
      </w:pPr>
      <w:r>
        <w:rPr>
          <w:b/>
          <w:bCs/>
        </w:rPr>
        <w:t xml:space="preserve">Efficiency:</w:t>
      </w:r>
      <w:r>
        <w:t xml:space="preserve"> efficiency becomes a release requirement, measured as hands-on time against a week-0 baseline with coverage and quality held (G6, gate 1). In addition:</w:t>
      </w:r>
    </w:p>
    <w:p>
      <w:pPr>
        <w:pStyle w:val="ListParagraph"/>
        <w:numPr>
          <w:ilvl w:val="1"/>
          <w:numId w:val="2"/>
        </w:numPr>
        <w:spacing w:after="60" w:before="0"/>
      </w:pPr>
      <w:r>
        <w:t xml:space="preserve">one gesture can approve a selected set of fully shown actions, with a record per action (ASG‑11);</w:t>
      </w:r>
    </w:p>
    <w:p>
      <w:pPr>
        <w:pStyle w:val="ListParagraph"/>
        <w:numPr>
          <w:ilvl w:val="1"/>
          <w:numId w:val="2"/>
        </w:numPr>
        <w:spacing w:after="60" w:before="0"/>
      </w:pPr>
      <w:r>
        <w:t xml:space="preserve">repeated clean approvals earn a mandate suggestion, never authority (ASG‑26);</w:t>
      </w:r>
    </w:p>
    <w:p>
      <w:pPr>
        <w:pStyle w:val="ListParagraph"/>
        <w:numPr>
          <w:ilvl w:val="1"/>
          <w:numId w:val="2"/>
        </w:numPr>
        <w:spacing w:after="60" w:before="0"/>
      </w:pPr>
      <w:r>
        <w:t xml:space="preserve">named external contacts get their own eligibility policy, off until partner evidence supports it (ASG‑16);</w:t>
      </w:r>
    </w:p>
    <w:p>
      <w:pPr>
        <w:pStyle w:val="ListParagraph"/>
        <w:numPr>
          <w:ilvl w:val="1"/>
          <w:numId w:val="2"/>
        </w:numPr>
        <w:spacing w:after="60" w:before="0"/>
      </w:pPr>
      <w:r>
        <w:t xml:space="preserve">one partner may pilot queue mandates late in the beta, behind an explicit eligibility gate (§18.1).</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8"/>
        <w:gridCol w:w="1745"/>
        <w:gridCol w:w="2256"/>
        <w:gridCol w:w="2421"/>
      </w:tblGrid>
      <w:tr>
        <w:trPr>
          <w:tblHeader/>
        </w:trPr>
        <w:tc>
          <w:tcPr>
            <w:tcW w:type="dxa" w:w="2938"/>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5"/>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56"/>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21"/>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21"/>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5"/>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56"/>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21"/>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for phasing</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5"/>
            <w:tcMar>
              <w:top w:type="dxa" w:w="60"/>
              <w:left w:type="dxa" w:w="100"/>
              <w:bottom w:type="dxa" w:w="60"/>
              <w:right w:type="dxa" w:w="100"/>
            </w:tcMar>
          </w:tcPr>
          <w:p>
            <w:pPr>
              <w:spacing w:after="0" w:before="0" w:line="252"/>
            </w:pPr>
            <w:r>
              <w:rPr>
                <w:sz w:val="19"/>
                <w:szCs w:val="19"/>
              </w:rPr>
              <w:t xml:space="preserve">Engineering, product</w:t>
            </w:r>
          </w:p>
        </w:tc>
        <w:tc>
          <w:tcPr>
            <w:tcW w:type="dxa" w:w="2256"/>
            <w:tcMar>
              <w:top w:type="dxa" w:w="60"/>
              <w:left w:type="dxa" w:w="100"/>
              <w:bottom w:type="dxa" w:w="60"/>
              <w:right w:type="dxa" w:w="100"/>
            </w:tcMar>
          </w:tcPr>
          <w:p>
            <w:pPr>
              <w:spacing w:after="0" w:before="0" w:line="252"/>
            </w:pPr>
            <w:r>
              <w:rPr>
                <w:sz w:val="19"/>
                <w:szCs w:val="19"/>
              </w:rPr>
              <w:t xml:space="preserve">Before orchestrator build</w:t>
            </w:r>
          </w:p>
        </w:tc>
        <w:tc>
          <w:tcPr>
            <w:tcW w:type="dxa" w:w="2421"/>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5"/>
            <w:tcMar>
              <w:top w:type="dxa" w:w="60"/>
              <w:left w:type="dxa" w:w="100"/>
              <w:bottom w:type="dxa" w:w="60"/>
              <w:right w:type="dxa" w:w="100"/>
            </w:tcMar>
          </w:tcPr>
          <w:p>
            <w:pPr>
              <w:spacing w:after="0" w:before="0" w:line="252"/>
            </w:pPr>
            <w:r>
              <w:rPr>
                <w:sz w:val="19"/>
                <w:szCs w:val="19"/>
              </w:rPr>
              <w:t xml:space="preserve">Product, data</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Before budget build</w:t>
            </w:r>
          </w:p>
        </w:tc>
        <w:tc>
          <w:tcPr>
            <w:tcW w:type="dxa" w:w="2421"/>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45"/>
            <w:tcMar>
              <w:top w:type="dxa" w:w="60"/>
              <w:left w:type="dxa" w:w="100"/>
              <w:bottom w:type="dxa" w:w="60"/>
              <w:right w:type="dxa" w:w="100"/>
            </w:tcMar>
          </w:tcPr>
          <w:p>
            <w:pPr>
              <w:spacing w:after="0" w:before="0" w:line="252"/>
            </w:pPr>
            <w:r>
              <w:rPr>
                <w:sz w:val="19"/>
                <w:szCs w:val="19"/>
              </w:rPr>
              <w:t xml:space="preserve">Sales, legal</w:t>
            </w:r>
          </w:p>
        </w:tc>
        <w:tc>
          <w:tcPr>
            <w:tcW w:type="dxa" w:w="2256"/>
            <w:tcMar>
              <w:top w:type="dxa" w:w="60"/>
              <w:left w:type="dxa" w:w="100"/>
              <w:bottom w:type="dxa" w:w="60"/>
              <w:right w:type="dxa" w:w="100"/>
            </w:tcMar>
          </w:tcPr>
          <w:p>
            <w:pPr>
              <w:spacing w:after="0" w:before="0" w:line="252"/>
            </w:pPr>
            <w:r>
              <w:rPr>
                <w:sz w:val="19"/>
                <w:szCs w:val="19"/>
              </w:rPr>
              <w:t xml:space="preserve">Before Enterprise GA</w:t>
            </w:r>
          </w:p>
        </w:tc>
        <w:tc>
          <w:tcPr>
            <w:tcW w:type="dxa" w:w="2421"/>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5"/>
            <w:tcMar>
              <w:top w:type="dxa" w:w="60"/>
              <w:left w:type="dxa" w:w="100"/>
              <w:bottom w:type="dxa" w:w="60"/>
              <w:right w:type="dxa" w:w="100"/>
            </w:tcMar>
          </w:tcPr>
          <w:p>
            <w:pPr>
              <w:spacing w:after="0" w:before="0" w:line="252"/>
            </w:pPr>
            <w:r>
              <w:rPr>
                <w:sz w:val="19"/>
                <w:szCs w:val="19"/>
              </w:rPr>
              <w:t xml:space="preserve">Business development</w:t>
            </w:r>
          </w:p>
        </w:tc>
        <w:tc>
          <w:tcPr>
            <w:tcW w:type="dxa" w:w="2256"/>
            <w:tcMar>
              <w:top w:type="dxa" w:w="60"/>
              <w:left w:type="dxa" w:w="100"/>
              <w:bottom w:type="dxa" w:w="60"/>
              <w:right w:type="dxa" w:w="100"/>
            </w:tcMar>
          </w:tcPr>
          <w:p>
            <w:pPr>
              <w:spacing w:after="0" w:before="0" w:line="252"/>
            </w:pPr>
            <w:r>
              <w:rPr>
                <w:sz w:val="19"/>
                <w:szCs w:val="19"/>
              </w:rPr>
              <w:t xml:space="preserve">Before Home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before the GA build, and for MR‑09 and MR‑11 before the optional late-beta pilot (§18.1)</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Self-review of the batch-approval reading of MR‑11 (ASG‑11), recorded with its reasoning and confirmed after 48 hours, then outside re-confirmation with the amendments</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batch approval ships in the beta</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Is a 30% cut in hands-on time, with coverage and quality held, the right gate-1 threshold (G6)?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Before the beta starts</w:t>
            </w:r>
          </w:p>
        </w:tc>
        <w:tc>
          <w:tcPr>
            <w:tcW w:type="dxa" w:w="2421"/>
            <w:tcMar>
              <w:top w:type="dxa" w:w="60"/>
              <w:left w:type="dxa" w:w="100"/>
              <w:bottom w:type="dxa" w:w="60"/>
              <w:right w:type="dxa" w:w="100"/>
            </w:tcMar>
          </w:tcPr>
          <w:p>
            <w:pPr>
              <w:spacing w:after="0" w:before="0" w:line="252"/>
            </w:pPr>
            <w:r>
              <w:rPr>
                <w:sz w:val="19"/>
                <w:szCs w:val="19"/>
              </w:rPr>
              <w:t xml:space="preserve">30%</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How much real triage mail would the external-sender policy cover (ASG‑16)?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No; before offering the policy at GA</w:t>
            </w:r>
          </w:p>
        </w:tc>
        <w:tc>
          <w:tcPr>
            <w:tcW w:type="dxa" w:w="2421"/>
            <w:tcMar>
              <w:top w:type="dxa" w:w="60"/>
              <w:left w:type="dxa" w:w="100"/>
              <w:bottom w:type="dxa" w:w="60"/>
              <w:right w:type="dxa" w:w="100"/>
            </w:tcMar>
          </w:tcPr>
          <w:p>
            <w:pPr>
              <w:spacing w:after="0" w:before="0" w:line="252"/>
            </w:pPr>
            <w:r>
              <w:rPr>
                <w:sz w:val="19"/>
                <w:szCs w:val="19"/>
              </w:rPr>
              <w:t xml:space="preserve">Off until partner evidence supports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45"/>
            <w:tcMar>
              <w:top w:type="dxa" w:w="60"/>
              <w:left w:type="dxa" w:w="100"/>
              <w:bottom w:type="dxa" w:w="60"/>
              <w:right w:type="dxa" w:w="100"/>
            </w:tcMar>
          </w:tcPr>
          <w:p>
            <w:pPr>
              <w:spacing w:after="0" w:before="0" w:line="252"/>
            </w:pPr>
            <w:r>
              <w:rPr>
                <w:sz w:val="19"/>
                <w:szCs w:val="19"/>
              </w:rPr>
              <w:t xml:space="preserve">Engineering</w:t>
            </w:r>
          </w:p>
        </w:tc>
        <w:tc>
          <w:tcPr>
            <w:tcW w:type="dxa" w:w="2256"/>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21"/>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5"/>
            <w:tcMar>
              <w:top w:type="dxa" w:w="60"/>
              <w:left w:type="dxa" w:w="100"/>
              <w:bottom w:type="dxa" w:w="60"/>
              <w:right w:type="dxa" w:w="100"/>
            </w:tcMar>
          </w:tcPr>
          <w:p>
            <w:pPr>
              <w:spacing w:after="0" w:before="0" w:line="252"/>
            </w:pPr>
            <w:r>
              <w:rPr>
                <w:sz w:val="19"/>
                <w:szCs w:val="19"/>
              </w:rPr>
              <w:t xml:space="preserve">Product, legal</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Home minimum age?</w:t>
            </w:r>
          </w:p>
        </w:tc>
        <w:tc>
          <w:tcPr>
            <w:tcW w:type="dxa" w:w="1745"/>
            <w:tcMar>
              <w:top w:type="dxa" w:w="60"/>
              <w:left w:type="dxa" w:w="100"/>
              <w:bottom w:type="dxa" w:w="60"/>
              <w:right w:type="dxa" w:w="100"/>
            </w:tcMar>
          </w:tcPr>
          <w:p>
            <w:pPr>
              <w:spacing w:after="0" w:before="0" w:line="252"/>
            </w:pPr>
            <w:r>
              <w:rPr>
                <w:sz w:val="19"/>
                <w:szCs w:val="19"/>
              </w:rPr>
              <w:t xml:space="preserve">Legal</w:t>
            </w:r>
          </w:p>
        </w:tc>
        <w:tc>
          <w:tcPr>
            <w:tcW w:type="dxa" w:w="2256"/>
            <w:tcMar>
              <w:top w:type="dxa" w:w="60"/>
              <w:left w:type="dxa" w:w="100"/>
              <w:bottom w:type="dxa" w:w="60"/>
              <w:right w:type="dxa" w:w="100"/>
            </w:tcMar>
          </w:tcPr>
          <w:p>
            <w:pPr>
              <w:spacing w:after="0" w:before="0" w:line="252"/>
            </w:pPr>
            <w:r>
              <w:rPr>
                <w:sz w:val="19"/>
                <w:szCs w:val="19"/>
              </w:rPr>
              <w:t xml:space="preserve">Before Home launch</w:t>
            </w:r>
          </w:p>
        </w:tc>
        <w:tc>
          <w:tcPr>
            <w:tcW w:type="dxa" w:w="2421"/>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beta signing</w:t>
            </w:r>
          </w:p>
        </w:tc>
        <w:tc>
          <w:tcPr>
            <w:tcW w:type="dxa" w:w="2421"/>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5"/>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56"/>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21"/>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8339"/>
      </w:tblGrid>
      <w:tr>
        <w:trPr>
          <w:tblHeader/>
        </w:trPr>
        <w:tc>
          <w:tcPr>
            <w:tcW w:type="dxa" w:w="10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9"/>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MR‑10</w:t>
            </w:r>
          </w:p>
        </w:tc>
        <w:tc>
          <w:tcPr>
            <w:tcW w:type="dxa" w:w="8339"/>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MR‑11</w:t>
            </w:r>
          </w:p>
        </w:tc>
        <w:tc>
          <w:tcPr>
            <w:tcW w:type="dxa" w:w="8339"/>
            <w:tcMar>
              <w:top w:type="dxa" w:w="60"/>
              <w:left w:type="dxa" w:w="100"/>
              <w:bottom w:type="dxa" w:w="60"/>
              <w:right w:type="dxa" w:w="100"/>
            </w:tcMar>
          </w:tcPr>
          <w:p>
            <w:pPr>
              <w:spacing w:after="0" w:before="0" w:line="252"/>
            </w:pPr>
            <w:r>
              <w:rPr>
                <w:sz w:val="19"/>
                <w:szCs w:val="19"/>
              </w:rPr>
              <w:t xml:space="preserve">A batch approval of explicitly selected, fully shown actions is a set of per-action approvals, one record each; it never covers unshown or future actions (ASG‑11). This is within MR‑11’s words because each action is shown in full, selected, and recorded as its own approval, and nothing unshown or future is covered. If the outside reviewer disagrees, it becomes an amendment and leaves the beta.</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MR‑15</w:t>
            </w:r>
          </w:p>
        </w:tc>
        <w:tc>
          <w:tcPr>
            <w:tcW w:type="dxa" w:w="8339"/>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MR‑22</w:t>
            </w:r>
          </w:p>
        </w:tc>
        <w:tc>
          <w:tcPr>
            <w:tcW w:type="dxa" w:w="8339"/>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MR‑23</w:t>
            </w:r>
          </w:p>
        </w:tc>
        <w:tc>
          <w:tcPr>
            <w:tcW w:type="dxa" w:w="8339"/>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MR‑24</w:t>
            </w:r>
          </w:p>
        </w:tc>
        <w:tc>
          <w:tcPr>
            <w:tcW w:type="dxa" w:w="8339"/>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MR‑26</w:t>
            </w:r>
          </w:p>
        </w:tc>
        <w:tc>
          <w:tcPr>
            <w:tcW w:type="dxa" w:w="8339"/>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9"/>
        <w:gridCol w:w="1109"/>
        <w:gridCol w:w="7012"/>
      </w:tblGrid>
      <w:tr>
        <w:trPr>
          <w:tblHeader/>
        </w:trPr>
        <w:tc>
          <w:tcPr>
            <w:tcW w:type="dxa" w:w="1239"/>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09"/>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12"/>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v0.16</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All four PAY‑08 approval-only actions are treated the same: turning off a security camera is high-impact (RUN‑04), and an approval to unlock, open, disarm or turn off a camera executes immediately or lapses (PAY‑08)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v0.15</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A batch may change at most 10 records; larger sets are split or approved one at a time, and the redundant one-at-a-time sentence is gone (ASG‑11, §19). The payment, banking, remit-to and contact-identity exclusion covers every queue mandate (ASG‑16). Unlocking, opening and disarming are high-impact (RUN‑04), and an unlock or disarm approval executes immediately or lapses (PAY‑08)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v0.14</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High-impact actions are always approved one at a time, and a batch changing more than 10 records is high-impact (ASG‑11, §19). The batch-approval reading records why it's within MR‑11's words, and that it becomes an amendment and leaves the beta if the outside reviewer disagrees (§21). Payment, banking and remit-to details and a contact's own address, phone or identity fields are never eligible under the external-sender policy (ASG‑16), with a new threat row (§15). The beta pilot runs with ASG‑24's controls (§18)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v0.13</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Efficiency becomes a release requirement: a new goal (G6), a gate-1 criterion of at least 30% less hands-on time against a week-0 baseline for comparable request types, with coverage and quality held, and efficiency and diagnostic metrics (§2, §18, §18.1, §19). Batch approval: one gesture approves a selected set of fully shown actions, with a separate record per action, and stale actions return on their own. It's a reading of MR‑11 (ASG‑11, RUN‑04, §1, §19, §21). Mandate suggestions: earned autonomy earns an offer, never authority, with evidence shown and bounds no wider than it (ASG‑26, ASG‑24). An external-sender policy for named contacts at medium confidence, off by default (ASG‑16, ASG‑15, ASG‑24, §15). An optional late-beta mandate pilot for one partner and one action type, behind an eligibility gate (§18.1, §1, §18, ASG‑24). A risk row on approvals capping time saved (§20), and decisions and open questions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v0.12</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The 48-hour re-confirmation of the self-reviews is due 2026-10-12 (§1); the self-review decision counts eight amendments, including MR‑12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v0.11</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v0.10</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v0.9</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v0.8</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v0.7</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v0.6</w:t>
            </w:r>
          </w:p>
        </w:tc>
        <w:tc>
          <w:tcPr>
            <w:tcW w:type="dxa" w:w="1109"/>
            <w:tcMar>
              <w:top w:type="dxa" w:w="60"/>
              <w:left w:type="dxa" w:w="100"/>
              <w:bottom w:type="dxa" w:w="60"/>
              <w:right w:type="dxa" w:w="100"/>
            </w:tcMar>
          </w:tcPr>
          <w:p>
            <w:pPr>
              <w:spacing w:after="0" w:before="0" w:line="252"/>
            </w:pPr>
            <w:r>
              <w:rPr>
                <w:sz w:val="19"/>
                <w:szCs w:val="19"/>
              </w:rPr>
              <w:t xml:space="preserve">2026-10-10</w:t>
            </w:r>
          </w:p>
        </w:tc>
        <w:tc>
          <w:tcPr>
            <w:tcW w:type="dxa" w:w="7012"/>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v0.5</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v0.4</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v0.3</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v0.2</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w:t>
            </w:r>
          </w:p>
        </w:tc>
        <w:tc>
          <w:tcPr>
            <w:tcW w:type="dxa" w:w="1109"/>
            <w:tcMar>
              <w:top w:type="dxa" w:w="60"/>
              <w:left w:type="dxa" w:w="100"/>
              <w:bottom w:type="dxa" w:w="60"/>
              <w:right w:type="dxa" w:w="100"/>
            </w:tcMar>
          </w:tcPr>
          <w:p>
            <w:pPr>
              <w:spacing w:after="0" w:before="0" w:line="252"/>
            </w:pPr>
            <w:r>
              <w:rPr>
                <w:sz w:val="19"/>
                <w:szCs w:val="19"/>
              </w:rPr>
              <w:t xml:space="preserve">2026-10-05</w:t>
            </w:r>
          </w:p>
        </w:tc>
        <w:tc>
          <w:tcPr>
            <w:tcW w:type="dxa" w:w="7012"/>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mnkvp4q4wblg5fqqjkcf-">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yasuozbgnvcdlejtjjkkd">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2jk6guk3tzhlu4yfrux4g">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wpgfrbrxttegpz_s-udli">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eh8tuznewwhx5gntexshh">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dx5to1fbq815kdngvqnwf">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byibfjbadosui1chglxvf">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sephmgvskhnoyzew1pexd">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_q_w2eiv3jgai3tjr7al0">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ci88gyjplr0d3cmqxvjpr">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_v33ytlods1uea5_zkmjz">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nkvp4q4wblg5fqqjkcf-" Type="http://schemas.openxmlformats.org/officeDocument/2006/relationships/hyperlink" Target="https://docs.temporal.io/activity-definition#idempotency" TargetMode="External"/><Relationship Id="rIdyasuozbgnvcdlejtjjkkd" Type="http://schemas.openxmlformats.org/officeDocument/2006/relationships/hyperlink" Target="https://learn.microsoft.com/en-us/entra/identity-platform/configurable-token-lifetimes" TargetMode="External"/><Relationship Id="rId2jk6guk3tzhlu4yfrux4g" Type="http://schemas.openxmlformats.org/officeDocument/2006/relationships/hyperlink" Target="https://cheatsheetseries.owasp.org/cheatsheets/LLM_Prompt_Injection_Prevention_Cheat_Sheet.html" TargetMode="External"/><Relationship Id="rIdwpgfrbrxttegpz_s-udli" Type="http://schemas.openxmlformats.org/officeDocument/2006/relationships/hyperlink" Target="https://learn.microsoft.com/en-us/entra/identity/app-provisioning/use-scim-to-provision-users-and-groups" TargetMode="External"/><Relationship Id="rIdeh8tuznewwhx5gntexshh" Type="http://schemas.openxmlformats.org/officeDocument/2006/relationships/hyperlink" Target="https://learn.microsoft.com/en-us/entra/identity/conditional-access/concept-continuous-access-evaluation" TargetMode="External"/><Relationship Id="rIddx5to1fbq815kdngvqnwf" Type="http://schemas.openxmlformats.org/officeDocument/2006/relationships/hyperlink" Target="https://www.unicode.org/reports/tr39/" TargetMode="External"/><Relationship Id="rIdbyibfjbadosui1chglxvf" Type="http://schemas.openxmlformats.org/officeDocument/2006/relationships/hyperlink" Target="https://datatracker.ietf.org/doc/draft-ietf-webbotauth-httpsig-protocol/" TargetMode="External"/><Relationship Id="rIdsephmgvskhnoyzew1pexd" Type="http://schemas.openxmlformats.org/officeDocument/2006/relationships/hyperlink" Target="https://developers.cloudflare.com/bots/reference/bot-verification/web-bot-auth/" TargetMode="External"/><Relationship Id="rId_q_w2eiv3jgai3tjr7al0" Type="http://schemas.openxmlformats.org/officeDocument/2006/relationships/hyperlink" Target="https://aws.amazon.com/about-aws/whats-new/2025/11/aws-waf-web-bot-auth-support" TargetMode="External"/><Relationship Id="rIdci88gyjplr0d3cmqxvjpr" Type="http://schemas.openxmlformats.org/officeDocument/2006/relationships/hyperlink" Target="https://blog.cloudflare.com/secure-agentic-commerce/" TargetMode="External"/><Relationship Id="rId_v33ytlods1uea5_zkmjz"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v0.16)</dc:title>
  <dc:creator>Collicity</dc:creator>
  <cp:lastModifiedBy>Un-named</cp:lastModifiedBy>
  <cp:revision>1</cp:revision>
  <dcterms:created xsi:type="dcterms:W3CDTF">2026-10-11T01:35:20.276Z</dcterms:created>
  <dcterms:modified xsi:type="dcterms:W3CDTF">2026-10-11T01:35:20.277Z</dcterms:modified>
</cp:coreProperties>
</file>

<file path=docProps/custom.xml><?xml version="1.0" encoding="utf-8"?>
<Properties xmlns="http://schemas.openxmlformats.org/officeDocument/2006/custom-properties" xmlns:vt="http://schemas.openxmlformats.org/officeDocument/2006/docPropsVTypes"/>
</file>