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v0.9)</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r>
        <w:t xml:space="preserve">The Tier column says what can permit an action a rule governs:</w:t>
      </w:r>
    </w:p>
    <w:p>
      <w:pPr>
        <w:pStyle w:val="ListParagraph"/>
        <w:numPr>
          <w:ilvl w:val="0"/>
          <w:numId w:val="2"/>
        </w:numPr>
        <w:spacing w:after="60" w:before="0"/>
      </w:pPr>
      <w:r>
        <w:rPr>
          <w:b/>
          <w:bCs/>
        </w:rPr>
        <w:t xml:space="preserve">Absolute:</w:t>
      </w:r>
      <w:r>
        <w:t xml:space="preserve"> nothing can.</w:t>
      </w:r>
    </w:p>
    <w:p>
      <w:pPr>
        <w:pStyle w:val="ListParagraph"/>
        <w:numPr>
          <w:ilvl w:val="0"/>
          <w:numId w:val="2"/>
        </w:numPr>
        <w:spacing w:after="60" w:before="0"/>
      </w:pPr>
      <w:r>
        <w:rPr>
          <w:b/>
          <w:bCs/>
        </w:rPr>
        <w:t xml:space="preserve">Approval:</w:t>
      </w:r>
      <w:r>
        <w:t xml:space="preserve"> only a person's approval of that one action, never a mandate.</w:t>
      </w:r>
    </w:p>
    <w:p>
      <w:pPr>
        <w:pStyle w:val="ListParagraph"/>
        <w:numPr>
          <w:ilvl w:val="0"/>
          <w:numId w:val="2"/>
        </w:numPr>
        <w:spacing w:after="60" w:before="0"/>
      </w:pPr>
      <w:r>
        <w:rPr>
          <w:b/>
          <w:bCs/>
        </w:rPr>
        <w:t xml:space="preserve">Approval or mandate:</w:t>
      </w:r>
      <w:r>
        <w:t xml:space="preserve"> a person's approval, or a mandate within its bounds (ASG‑24).</w:t>
      </w:r>
    </w:p>
    <w:p>
      <w:pPr>
        <w:spacing w:after="0"/>
      </w:pPr>
    </w:p>
    <w:p>
      <w:r>
        <w:t xml:space="preserve">The parts marked Approval are the hard lines.</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4"/>
        <w:gridCol w:w="4174"/>
        <w:gridCol w:w="1224"/>
        <w:gridCol w:w="3108"/>
      </w:tblGrid>
      <w:tr>
        <w:trPr>
          <w:tblHeader/>
        </w:trPr>
        <w:tc>
          <w:tcPr>
            <w:tcW w:type="dxa" w:w="85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1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2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10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MR‑01</w:t>
            </w:r>
          </w:p>
        </w:tc>
        <w:tc>
          <w:tcPr>
            <w:tcW w:type="dxa" w:w="4174"/>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MR‑02</w:t>
            </w:r>
          </w:p>
        </w:tc>
        <w:tc>
          <w:tcPr>
            <w:tcW w:type="dxa" w:w="4174"/>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 Collicity’s own application identity may read account status, and nothing else, to detect deprovisioning, under a permission a tenant admin grants.</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1; CON‑01, CON‑02, CON‑05, CON‑06</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MR‑03</w:t>
            </w:r>
          </w:p>
        </w:tc>
        <w:tc>
          <w:tcPr>
            <w:tcW w:type="dxa" w:w="4174"/>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MR‑04</w:t>
            </w:r>
          </w:p>
        </w:tc>
        <w:tc>
          <w:tcPr>
            <w:tcW w:type="dxa" w:w="4174"/>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§4 object rules and CON‑07, which satisfy it on their own; CON‑17 to CON‑19 add a verifiable signature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729"/>
        <w:gridCol w:w="1357"/>
        <w:gridCol w:w="2338"/>
      </w:tblGrid>
      <w:tr>
        <w:trPr>
          <w:tblHeader/>
        </w:trPr>
        <w:tc>
          <w:tcPr>
            <w:tcW w:type="dxa" w:w="93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7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357"/>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33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MR‑05</w:t>
            </w:r>
          </w:p>
        </w:tc>
        <w:tc>
          <w:tcPr>
            <w:tcW w:type="dxa" w:w="4729"/>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1357"/>
            <w:tcMar>
              <w:top w:type="dxa" w:w="60"/>
              <w:left w:type="dxa" w:w="100"/>
              <w:bottom w:type="dxa" w:w="60"/>
              <w:right w:type="dxa" w:w="100"/>
            </w:tcMar>
          </w:tcPr>
          <w:p>
            <w:pPr>
              <w:spacing w:after="0" w:before="0" w:line="252"/>
            </w:pPr>
            <w:r>
              <w:rPr>
                <w:sz w:val="19"/>
                <w:szCs w:val="19"/>
              </w:rPr>
              <w:t xml:space="preserve">Approval</w:t>
            </w:r>
          </w:p>
        </w:tc>
        <w:tc>
          <w:tcPr>
            <w:tcW w:type="dxa" w:w="233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MR‑06</w:t>
            </w:r>
          </w:p>
        </w:tc>
        <w:tc>
          <w:tcPr>
            <w:tcW w:type="dxa" w:w="4729"/>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MR‑07</w:t>
            </w:r>
          </w:p>
        </w:tc>
        <w:tc>
          <w:tcPr>
            <w:tcW w:type="dxa" w:w="4729"/>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MR‑08</w:t>
            </w:r>
          </w:p>
        </w:tc>
        <w:tc>
          <w:tcPr>
            <w:tcW w:type="dxa" w:w="4729"/>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4"/>
        <w:gridCol w:w="3945"/>
        <w:gridCol w:w="2112"/>
        <w:gridCol w:w="2469"/>
      </w:tblGrid>
      <w:tr>
        <w:trPr>
          <w:tblHeader/>
        </w:trPr>
        <w:tc>
          <w:tcPr>
            <w:tcW w:type="dxa" w:w="83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945"/>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112"/>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469"/>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34"/>
            <w:tcMar>
              <w:top w:type="dxa" w:w="60"/>
              <w:left w:type="dxa" w:w="100"/>
              <w:bottom w:type="dxa" w:w="60"/>
              <w:right w:type="dxa" w:w="100"/>
            </w:tcMar>
          </w:tcPr>
          <w:p>
            <w:pPr>
              <w:spacing w:after="0" w:before="0" w:line="252"/>
            </w:pPr>
            <w:r>
              <w:rPr>
                <w:sz w:val="19"/>
                <w:szCs w:val="19"/>
              </w:rPr>
              <w:t xml:space="preserve">MR‑09</w:t>
            </w:r>
          </w:p>
        </w:tc>
        <w:tc>
          <w:tcPr>
            <w:tcW w:type="dxa" w:w="3945"/>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or a mandate (MR‑11) when Collicity can undo the action. Sends outside the trusted boundary always need that approval.</w:t>
            </w:r>
          </w:p>
        </w:tc>
        <w:tc>
          <w:tcPr>
            <w:tcW w:type="dxa" w:w="2112"/>
            <w:tcMar>
              <w:top w:type="dxa" w:w="60"/>
              <w:left w:type="dxa" w:w="100"/>
              <w:bottom w:type="dxa" w:w="60"/>
              <w:right w:type="dxa" w:w="100"/>
            </w:tcMar>
          </w:tcPr>
          <w:p>
            <w:pPr>
              <w:spacing w:after="0" w:before="0" w:line="252"/>
            </w:pPr>
            <w:r>
              <w:rPr>
                <w:sz w:val="19"/>
                <w:szCs w:val="19"/>
              </w:rPr>
              <w:t xml:space="preserve">Approval or mandate; Approval for sends outside the trusted boundary</w:t>
            </w:r>
          </w:p>
        </w:tc>
        <w:tc>
          <w:tcPr>
            <w:tcW w:type="dxa" w:w="2469"/>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34"/>
            <w:tcMar>
              <w:top w:type="dxa" w:w="60"/>
              <w:left w:type="dxa" w:w="100"/>
              <w:bottom w:type="dxa" w:w="60"/>
              <w:right w:type="dxa" w:w="100"/>
            </w:tcMar>
          </w:tcPr>
          <w:p>
            <w:pPr>
              <w:spacing w:after="0" w:before="0" w:line="252"/>
            </w:pPr>
            <w:r>
              <w:rPr>
                <w:sz w:val="19"/>
                <w:szCs w:val="19"/>
              </w:rPr>
              <w:t xml:space="preserve">MR‑10</w:t>
            </w:r>
          </w:p>
        </w:tc>
        <w:tc>
          <w:tcPr>
            <w:tcW w:type="dxa" w:w="3945"/>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w:t>
            </w:r>
          </w:p>
        </w:tc>
        <w:tc>
          <w:tcPr>
            <w:tcW w:type="dxa" w:w="2112"/>
            <w:tcMar>
              <w:top w:type="dxa" w:w="60"/>
              <w:left w:type="dxa" w:w="100"/>
              <w:bottom w:type="dxa" w:w="60"/>
              <w:right w:type="dxa" w:w="100"/>
            </w:tcMar>
          </w:tcPr>
          <w:p>
            <w:pPr>
              <w:spacing w:after="0" w:before="0" w:line="252"/>
            </w:pPr>
            <w:r>
              <w:rPr>
                <w:sz w:val="19"/>
                <w:szCs w:val="19"/>
              </w:rPr>
              <w:t xml:space="preserve">Approval or mandate for purchases; Approval for other commitments</w:t>
            </w:r>
          </w:p>
        </w:tc>
        <w:tc>
          <w:tcPr>
            <w:tcW w:type="dxa" w:w="2469"/>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34"/>
            <w:tcMar>
              <w:top w:type="dxa" w:w="60"/>
              <w:left w:type="dxa" w:w="100"/>
              <w:bottom w:type="dxa" w:w="60"/>
              <w:right w:type="dxa" w:w="100"/>
            </w:tcMar>
          </w:tcPr>
          <w:p>
            <w:pPr>
              <w:spacing w:after="0" w:before="0" w:line="252"/>
            </w:pPr>
            <w:r>
              <w:rPr>
                <w:sz w:val="19"/>
                <w:szCs w:val="19"/>
              </w:rPr>
              <w:t xml:space="preserve">MR‑11</w:t>
            </w:r>
          </w:p>
        </w:tc>
        <w:tc>
          <w:tcPr>
            <w:tcW w:type="dxa" w:w="3945"/>
            <w:tcMar>
              <w:top w:type="dxa" w:w="60"/>
              <w:left w:type="dxa" w:w="100"/>
              <w:bottom w:type="dxa" w:w="60"/>
              <w:right w:type="dxa" w:w="100"/>
            </w:tcMar>
          </w:tcPr>
          <w:p>
            <w:pPr>
              <w:spacing w:after="0" w:before="0" w:line="252"/>
            </w:pPr>
            <w:r>
              <w:rPr>
                <w:sz w:val="19"/>
                <w:szCs w:val="19"/>
              </w:rPr>
              <w:t xml:space="preserve">Approval is per-action, given by the approver in their own signed-in session or on their own signing device; one approval doesn’t authorize similar future actions. The only standing authority is a mandate: explicit, narrow, capped, time-limited, created with step-up authentication, revocable, suspended on any anomaly, and reported after every use.</w:t>
            </w:r>
          </w:p>
        </w:tc>
        <w:tc>
          <w:tcPr>
            <w:tcW w:type="dxa" w:w="2112"/>
            <w:tcMar>
              <w:top w:type="dxa" w:w="60"/>
              <w:left w:type="dxa" w:w="100"/>
              <w:bottom w:type="dxa" w:w="60"/>
              <w:right w:type="dxa" w:w="100"/>
            </w:tcMar>
          </w:tcPr>
          <w:p>
            <w:pPr>
              <w:spacing w:after="0" w:before="0" w:line="252"/>
            </w:pPr>
            <w:r>
              <w:rPr>
                <w:sz w:val="19"/>
                <w:szCs w:val="19"/>
              </w:rPr>
              <w:t xml:space="preserve">Absolute</w:t>
            </w:r>
          </w:p>
        </w:tc>
        <w:tc>
          <w:tcPr>
            <w:tcW w:type="dxa" w:w="2469"/>
            <w:tcMar>
              <w:top w:type="dxa" w:w="60"/>
              <w:left w:type="dxa" w:w="100"/>
              <w:bottom w:type="dxa" w:w="60"/>
              <w:right w:type="dxa" w:w="100"/>
            </w:tcMar>
          </w:tcPr>
          <w:p>
            <w:pPr>
              <w:spacing w:after="0" w:before="0" w:line="252"/>
            </w:pPr>
            <w:r>
              <w:rPr>
                <w:sz w:val="19"/>
                <w:szCs w:val="19"/>
              </w:rPr>
              <w:t xml:space="preserve">ASG‑11, ASG‑24, RUN‑04, PLT‑03</w:t>
            </w:r>
          </w:p>
        </w:tc>
      </w:tr>
      <w:tr>
        <w:trPr>
          <w:tblHeader w:val="off"/>
        </w:trPr>
        <w:tc>
          <w:tcPr>
            <w:tcW w:type="dxa" w:w="834"/>
            <w:tcMar>
              <w:top w:type="dxa" w:w="60"/>
              <w:left w:type="dxa" w:w="100"/>
              <w:bottom w:type="dxa" w:w="60"/>
              <w:right w:type="dxa" w:w="100"/>
            </w:tcMar>
          </w:tcPr>
          <w:p>
            <w:pPr>
              <w:spacing w:after="0" w:before="0" w:line="252"/>
            </w:pPr>
            <w:r>
              <w:rPr>
                <w:sz w:val="19"/>
                <w:szCs w:val="19"/>
              </w:rPr>
              <w:t xml:space="preserve">MR‑12</w:t>
            </w:r>
          </w:p>
        </w:tc>
        <w:tc>
          <w:tcPr>
            <w:tcW w:type="dxa" w:w="3945"/>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w:t>
            </w:r>
          </w:p>
        </w:tc>
        <w:tc>
          <w:tcPr>
            <w:tcW w:type="dxa" w:w="2112"/>
            <w:tcMar>
              <w:top w:type="dxa" w:w="60"/>
              <w:left w:type="dxa" w:w="100"/>
              <w:bottom w:type="dxa" w:w="60"/>
              <w:right w:type="dxa" w:w="100"/>
            </w:tcMar>
          </w:tcPr>
          <w:p>
            <w:pPr>
              <w:spacing w:after="0" w:before="0" w:line="252"/>
            </w:pPr>
            <w:r>
              <w:rPr>
                <w:sz w:val="19"/>
                <w:szCs w:val="19"/>
              </w:rPr>
              <w:t xml:space="preserve">Absolute</w:t>
            </w:r>
          </w:p>
        </w:tc>
        <w:tc>
          <w:tcPr>
            <w:tcW w:type="dxa" w:w="2469"/>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
        <w:gridCol w:w="4358"/>
        <w:gridCol w:w="2294"/>
        <w:gridCol w:w="1845"/>
      </w:tblGrid>
      <w:tr>
        <w:trPr>
          <w:tblHeader/>
        </w:trPr>
        <w:tc>
          <w:tcPr>
            <w:tcW w:type="dxa" w:w="863"/>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35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MR‑13</w:t>
            </w:r>
          </w:p>
        </w:tc>
        <w:tc>
          <w:tcPr>
            <w:tcW w:type="dxa" w:w="4358"/>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MR‑14</w:t>
            </w:r>
          </w:p>
        </w:tc>
        <w:tc>
          <w:tcPr>
            <w:tcW w:type="dxa" w:w="4358"/>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MR‑15</w:t>
            </w:r>
          </w:p>
        </w:tc>
        <w:tc>
          <w:tcPr>
            <w:tcW w:type="dxa" w:w="4358"/>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4"/>
            <w:tcMar>
              <w:top w:type="dxa" w:w="60"/>
              <w:left w:type="dxa" w:w="100"/>
              <w:bottom w:type="dxa" w:w="60"/>
              <w:right w:type="dxa" w:w="100"/>
            </w:tcMar>
          </w:tcPr>
          <w:p>
            <w:pPr>
              <w:spacing w:after="0" w:before="0" w:line="252"/>
            </w:pPr>
            <w:r>
              <w:rPr>
                <w:sz w:val="19"/>
                <w:szCs w:val="19"/>
              </w:rPr>
              <w:t xml:space="preserve">Approval, or the owner's acceptance of the version that declares the trigger</w:t>
            </w:r>
          </w:p>
        </w:tc>
        <w:tc>
          <w:tcPr>
            <w:tcW w:type="dxa" w:w="1845"/>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421"/>
        <w:gridCol w:w="1261"/>
        <w:gridCol w:w="2802"/>
      </w:tblGrid>
      <w:tr>
        <w:trPr>
          <w:tblHeader/>
        </w:trPr>
        <w:tc>
          <w:tcPr>
            <w:tcW w:type="dxa" w:w="87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4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80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MR‑16</w:t>
            </w:r>
          </w:p>
        </w:tc>
        <w:tc>
          <w:tcPr>
            <w:tcW w:type="dxa" w:w="4421"/>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MR‑17</w:t>
            </w:r>
          </w:p>
        </w:tc>
        <w:tc>
          <w:tcPr>
            <w:tcW w:type="dxa" w:w="4421"/>
            <w:tcMar>
              <w:top w:type="dxa" w:w="60"/>
              <w:left w:type="dxa" w:w="100"/>
              <w:bottom w:type="dxa" w:w="60"/>
              <w:right w:type="dxa" w:w="100"/>
            </w:tcMar>
          </w:tcPr>
          <w:p>
            <w:pPr>
              <w:spacing w:after="0" w:before="0" w:line="252"/>
            </w:pPr>
            <w:r>
              <w:rPr>
                <w:sz w:val="19"/>
                <w:szCs w:val="19"/>
              </w:rPr>
              <w:t xml:space="preserve">Always identify itself as an AI when communicating with people. A draft a person reviews and sends as their own is their message, and carries the disclosure in its headers.</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MR‑18</w:t>
            </w:r>
          </w:p>
        </w:tc>
        <w:tc>
          <w:tcPr>
            <w:tcW w:type="dxa" w:w="4421"/>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CON‑03, CON‑07 and SEC‑14, which satisfy it on their own; CON‑17 adds a verifiable signature (alpha)</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MR‑19</w:t>
            </w:r>
          </w:p>
        </w:tc>
        <w:tc>
          <w:tcPr>
            <w:tcW w:type="dxa" w:w="4421"/>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3694"/>
        <w:gridCol w:w="1261"/>
        <w:gridCol w:w="3528"/>
      </w:tblGrid>
      <w:tr>
        <w:trPr>
          <w:tblHeader/>
        </w:trPr>
        <w:tc>
          <w:tcPr>
            <w:tcW w:type="dxa" w:w="87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69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52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MR‑20</w:t>
            </w:r>
          </w:p>
        </w:tc>
        <w:tc>
          <w:tcPr>
            <w:tcW w:type="dxa" w:w="3694"/>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MR‑21</w:t>
            </w:r>
          </w:p>
        </w:tc>
        <w:tc>
          <w:tcPr>
            <w:tcW w:type="dxa" w:w="3694"/>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ASG‑13, CON‑06. A pause stops every call. A cancel stops forward work and then rolls back the run's effects, and the person can stop the rollback too</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MR‑22</w:t>
            </w:r>
          </w:p>
        </w:tc>
        <w:tc>
          <w:tcPr>
            <w:tcW w:type="dxa" w:w="3694"/>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MR‑23</w:t>
            </w:r>
          </w:p>
        </w:tc>
        <w:tc>
          <w:tcPr>
            <w:tcW w:type="dxa" w:w="3694"/>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CON‑03, SUP‑03; "out of scope" is defined below</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7"/>
        <w:gridCol w:w="4607"/>
        <w:gridCol w:w="2355"/>
        <w:gridCol w:w="1541"/>
      </w:tblGrid>
      <w:tr>
        <w:trPr>
          <w:tblHeader/>
        </w:trPr>
        <w:tc>
          <w:tcPr>
            <w:tcW w:type="dxa" w:w="85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607"/>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355"/>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541"/>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7"/>
            <w:tcMar>
              <w:top w:type="dxa" w:w="60"/>
              <w:left w:type="dxa" w:w="100"/>
              <w:bottom w:type="dxa" w:w="60"/>
              <w:right w:type="dxa" w:w="100"/>
            </w:tcMar>
          </w:tcPr>
          <w:p>
            <w:pPr>
              <w:spacing w:after="0" w:before="0" w:line="252"/>
            </w:pPr>
            <w:r>
              <w:rPr>
                <w:sz w:val="19"/>
                <w:szCs w:val="19"/>
              </w:rPr>
              <w:t xml:space="preserve">MR‑24</w:t>
            </w:r>
          </w:p>
        </w:tc>
        <w:tc>
          <w:tcPr>
            <w:tcW w:type="dxa" w:w="4607"/>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2355"/>
            <w:tcMar>
              <w:top w:type="dxa" w:w="60"/>
              <w:left w:type="dxa" w:w="100"/>
              <w:bottom w:type="dxa" w:w="60"/>
              <w:right w:type="dxa" w:w="100"/>
            </w:tcMar>
          </w:tcPr>
          <w:p>
            <w:pPr>
              <w:spacing w:after="0" w:before="0" w:line="252"/>
            </w:pPr>
            <w:r>
              <w:rPr>
                <w:sz w:val="19"/>
                <w:szCs w:val="19"/>
              </w:rPr>
              <w:t xml:space="preserve">Absolute</w:t>
            </w:r>
          </w:p>
        </w:tc>
        <w:tc>
          <w:tcPr>
            <w:tcW w:type="dxa" w:w="1541"/>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857"/>
            <w:tcMar>
              <w:top w:type="dxa" w:w="60"/>
              <w:left w:type="dxa" w:w="100"/>
              <w:bottom w:type="dxa" w:w="60"/>
              <w:right w:type="dxa" w:w="100"/>
            </w:tcMar>
          </w:tcPr>
          <w:p>
            <w:pPr>
              <w:spacing w:after="0" w:before="0" w:line="252"/>
            </w:pPr>
            <w:r>
              <w:rPr>
                <w:sz w:val="19"/>
                <w:szCs w:val="19"/>
              </w:rPr>
              <w:t xml:space="preserve">MR‑25</w:t>
            </w:r>
          </w:p>
        </w:tc>
        <w:tc>
          <w:tcPr>
            <w:tcW w:type="dxa" w:w="4607"/>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 person’s approval, and a second approver when they widen access or loosen a setting. Home devices such as locks and alarms aren’t security settings; PAY‑08 governs them.</w:t>
            </w:r>
          </w:p>
        </w:tc>
        <w:tc>
          <w:tcPr>
            <w:tcW w:type="dxa" w:w="2355"/>
            <w:tcMar>
              <w:top w:type="dxa" w:w="60"/>
              <w:left w:type="dxa" w:w="100"/>
              <w:bottom w:type="dxa" w:w="60"/>
              <w:right w:type="dxa" w:w="100"/>
            </w:tcMar>
          </w:tcPr>
          <w:p>
            <w:pPr>
              <w:spacing w:after="0" w:before="0" w:line="252"/>
            </w:pPr>
            <w:r>
              <w:rPr>
                <w:sz w:val="19"/>
                <w:szCs w:val="19"/>
              </w:rPr>
              <w:t xml:space="preserve">Absolute for logging and monitoring; Approval for security and access changes</w:t>
            </w:r>
          </w:p>
        </w:tc>
        <w:tc>
          <w:tcPr>
            <w:tcW w:type="dxa" w:w="1541"/>
            <w:tcMar>
              <w:top w:type="dxa" w:w="60"/>
              <w:left w:type="dxa" w:w="100"/>
              <w:bottom w:type="dxa" w:w="60"/>
              <w:right w:type="dxa" w:w="100"/>
            </w:tcMar>
          </w:tcPr>
          <w:p>
            <w:pPr>
              <w:spacing w:after="0" w:before="0" w:line="252"/>
            </w:pPr>
            <w:r>
              <w:rPr>
                <w:sz w:val="19"/>
                <w:szCs w:val="19"/>
              </w:rPr>
              <w:t xml:space="preserve">SEC‑16; ADM‑07</w:t>
            </w:r>
          </w:p>
        </w:tc>
      </w:tr>
      <w:tr>
        <w:trPr>
          <w:tblHeader w:val="off"/>
        </w:trPr>
        <w:tc>
          <w:tcPr>
            <w:tcW w:type="dxa" w:w="857"/>
            <w:tcMar>
              <w:top w:type="dxa" w:w="60"/>
              <w:left w:type="dxa" w:w="100"/>
              <w:bottom w:type="dxa" w:w="60"/>
              <w:right w:type="dxa" w:w="100"/>
            </w:tcMar>
          </w:tcPr>
          <w:p>
            <w:pPr>
              <w:spacing w:after="0" w:before="0" w:line="252"/>
            </w:pPr>
            <w:r>
              <w:rPr>
                <w:sz w:val="19"/>
                <w:szCs w:val="19"/>
              </w:rPr>
              <w:t xml:space="preserve">MR‑26</w:t>
            </w:r>
          </w:p>
        </w:tc>
        <w:tc>
          <w:tcPr>
            <w:tcW w:type="dxa" w:w="4607"/>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2355"/>
            <w:tcMar>
              <w:top w:type="dxa" w:w="60"/>
              <w:left w:type="dxa" w:w="100"/>
              <w:bottom w:type="dxa" w:w="60"/>
              <w:right w:type="dxa" w:w="100"/>
            </w:tcMar>
          </w:tcPr>
          <w:p>
            <w:pPr>
              <w:spacing w:after="0" w:before="0" w:line="252"/>
            </w:pPr>
            <w:r>
              <w:rPr>
                <w:sz w:val="19"/>
                <w:szCs w:val="19"/>
              </w:rPr>
              <w:t xml:space="preserve">Absolute</w:t>
            </w:r>
          </w:p>
        </w:tc>
        <w:tc>
          <w:tcPr>
            <w:tcW w:type="dxa" w:w="1541"/>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seven rules to keep functionality that the original wording ruled out:</w:t>
      </w:r>
    </w:p>
    <w:p>
      <w:pPr>
        <w:pStyle w:val="ListParagraph"/>
        <w:numPr>
          <w:ilvl w:val="0"/>
          <w:numId w:val="2"/>
        </w:numPr>
        <w:spacing w:after="60" w:before="0"/>
      </w:pPr>
      <w:r>
        <w:rPr>
          <w:b/>
          <w:bCs/>
        </w:rPr>
        <w:t xml:space="preserve">v0.8</w:t>
      </w:r>
      <w:r>
        <w:t xml:space="preserve"> amended MR‑02, MR‑09, MR‑10, MR‑11, MR‑24 and MR‑25.</w:t>
      </w:r>
    </w:p>
    <w:p>
      <w:pPr>
        <w:pStyle w:val="ListParagraph"/>
        <w:numPr>
          <w:ilvl w:val="0"/>
          <w:numId w:val="2"/>
        </w:numPr>
        <w:spacing w:after="60" w:before="0"/>
      </w:pPr>
      <w:r>
        <w:rPr>
          <w:b/>
          <w:bCs/>
        </w:rPr>
        <w:t xml:space="preserve">v0.9</w:t>
      </w:r>
      <w:r>
        <w:t xml:space="preserve"> amended MR‑17. It also wrote into MR‑02, MR‑09, MR‑11 and MR‑25 the readings that had gone beyond their words.</w:t>
      </w:r>
    </w:p>
    <w:p>
      <w:pPr>
        <w:spacing w:after="0"/>
      </w:pPr>
    </w:p>
    <w:p>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 xml:space="preserve">docs/archive/</w:t>
      </w:r>
      <w:r>
        <w:t xml:space="preserve">.</w:t>
      </w:r>
    </w:p>
    <w:p>
      <w:r>
        <w:t xml:space="preserve">Each amendment takes effect only when its security review closes (§21). Until then, the requirements that depend on it are marked </w:t>
      </w:r>
      <w:r>
        <w:rPr>
          <w:i/>
          <w:iCs/>
        </w:rPr>
        <w:t xml:space="preserve">pending MR review</w:t>
      </w:r>
      <w:r>
        <w:t xml:space="preserve"> and aren't built, and the v0.7 wording governs. The beta runs entirely under the v0.7 wording, so no review blocks gate 0; every review is due before the GA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0"/>
        <w:gridCol w:w="3900"/>
        <w:gridCol w:w="4000"/>
      </w:tblGrid>
      <w:tr>
        <w:trPr>
          <w:tblHeader/>
        </w:trPr>
        <w:tc>
          <w:tcPr>
            <w:tcW w:type="dxa" w:w="1460"/>
            <w:shd w:fill="F2F2F2" w:color="auto" w:val="clear"/>
            <w:tcMar>
              <w:top w:type="dxa" w:w="60"/>
              <w:left w:type="dxa" w:w="100"/>
              <w:bottom w:type="dxa" w:w="60"/>
              <w:right w:type="dxa" w:w="100"/>
            </w:tcMar>
          </w:tcPr>
          <w:p>
            <w:pPr>
              <w:spacing w:after="0" w:before="0" w:line="252"/>
            </w:pPr>
            <w:r>
              <w:rPr>
                <w:b/>
                <w:bCs/>
                <w:sz w:val="19"/>
                <w:szCs w:val="19"/>
              </w:rPr>
              <w:t xml:space="preserve">Amendment</w:t>
            </w:r>
          </w:p>
        </w:tc>
        <w:tc>
          <w:tcPr>
            <w:tcW w:type="dxa" w:w="3900"/>
            <w:shd w:fill="F2F2F2" w:color="auto" w:val="clear"/>
            <w:tcMar>
              <w:top w:type="dxa" w:w="60"/>
              <w:left w:type="dxa" w:w="100"/>
              <w:bottom w:type="dxa" w:w="60"/>
              <w:right w:type="dxa" w:w="100"/>
            </w:tcMar>
          </w:tcPr>
          <w:p>
            <w:pPr>
              <w:spacing w:after="0" w:before="0" w:line="252"/>
            </w:pPr>
            <w:r>
              <w:rPr>
                <w:b/>
                <w:bCs/>
                <w:sz w:val="19"/>
                <w:szCs w:val="19"/>
              </w:rPr>
              <w:t xml:space="preserve">Pending MR review</w:t>
            </w:r>
          </w:p>
        </w:tc>
        <w:tc>
          <w:tcPr>
            <w:tcW w:type="dxa" w:w="4000"/>
            <w:shd w:fill="F2F2F2" w:color="auto" w:val="clear"/>
            <w:tcMar>
              <w:top w:type="dxa" w:w="60"/>
              <w:left w:type="dxa" w:w="100"/>
              <w:bottom w:type="dxa" w:w="60"/>
              <w:right w:type="dxa" w:w="100"/>
            </w:tcMar>
          </w:tcPr>
          <w:p>
            <w:pPr>
              <w:spacing w:after="0" w:before="0" w:line="252"/>
            </w:pPr>
            <w:r>
              <w:rPr>
                <w:b/>
                <w:bCs/>
                <w:sz w:val="19"/>
                <w:szCs w:val="19"/>
              </w:rPr>
              <w:t xml:space="preserve">Until the review closes, and throughout the beta</w:t>
            </w:r>
          </w:p>
        </w:tc>
      </w:tr>
      <w:tr>
        <w:trPr>
          <w:tblHeader w:val="off"/>
        </w:trPr>
        <w:tc>
          <w:tcPr>
            <w:tcW w:type="dxa" w:w="1460"/>
            <w:tcMar>
              <w:top w:type="dxa" w:w="60"/>
              <w:left w:type="dxa" w:w="100"/>
              <w:bottom w:type="dxa" w:w="60"/>
              <w:right w:type="dxa" w:w="100"/>
            </w:tcMar>
          </w:tcPr>
          <w:p>
            <w:pPr>
              <w:spacing w:after="0" w:before="0" w:line="252"/>
            </w:pPr>
            <w:r>
              <w:rPr>
                <w:sz w:val="19"/>
                <w:szCs w:val="19"/>
              </w:rPr>
              <w:t xml:space="preserve">MR‑02</w:t>
            </w:r>
          </w:p>
        </w:tc>
        <w:tc>
          <w:tcPr>
            <w:tcW w:type="dxa" w:w="3900"/>
            <w:tcMar>
              <w:top w:type="dxa" w:w="60"/>
              <w:left w:type="dxa" w:w="100"/>
              <w:bottom w:type="dxa" w:w="60"/>
              <w:right w:type="dxa" w:w="100"/>
            </w:tcMar>
          </w:tcPr>
          <w:p>
            <w:pPr>
              <w:spacing w:after="0" w:before="0" w:line="252"/>
            </w:pPr>
            <w:r>
              <w:rPr>
                <w:sz w:val="19"/>
                <w:szCs w:val="19"/>
              </w:rPr>
              <w:t xml:space="preserve">The service-account exception (CON‑05); directory polling (CON‑06)</w:t>
            </w:r>
          </w:p>
        </w:tc>
        <w:tc>
          <w:tcPr>
            <w:tcW w:type="dxa" w:w="4000"/>
            <w:tcMar>
              <w:top w:type="dxa" w:w="60"/>
              <w:left w:type="dxa" w:w="100"/>
              <w:bottom w:type="dxa" w:w="60"/>
              <w:right w:type="dxa" w:w="100"/>
            </w:tcMar>
          </w:tcPr>
          <w:p>
            <w:pPr>
              <w:spacing w:after="0" w:before="0" w:line="252"/>
            </w:pPr>
            <w:r>
              <w:rPr>
                <w:sz w:val="19"/>
                <w:szCs w:val="19"/>
              </w:rPr>
              <w:t xml:space="preserve">Personal credentials only; deprovisioning through SCIM and continuous access evaluation</w:t>
            </w:r>
          </w:p>
        </w:tc>
      </w:tr>
      <w:tr>
        <w:trPr>
          <w:tblHeader w:val="off"/>
        </w:trPr>
        <w:tc>
          <w:tcPr>
            <w:tcW w:type="dxa" w:w="1460"/>
            <w:tcMar>
              <w:top w:type="dxa" w:w="60"/>
              <w:left w:type="dxa" w:w="100"/>
              <w:bottom w:type="dxa" w:w="60"/>
              <w:right w:type="dxa" w:w="100"/>
            </w:tcMar>
          </w:tcPr>
          <w:p>
            <w:pPr>
              <w:spacing w:after="0" w:before="0" w:line="252"/>
            </w:pPr>
            <w:r>
              <w:rPr>
                <w:sz w:val="19"/>
                <w:szCs w:val="19"/>
              </w:rPr>
              <w:t xml:space="preserve">MR‑09, MR‑11</w:t>
            </w:r>
          </w:p>
        </w:tc>
        <w:tc>
          <w:tcPr>
            <w:tcW w:type="dxa" w:w="3900"/>
            <w:tcMar>
              <w:top w:type="dxa" w:w="60"/>
              <w:left w:type="dxa" w:w="100"/>
              <w:bottom w:type="dxa" w:w="60"/>
              <w:right w:type="dxa" w:w="100"/>
            </w:tcMar>
          </w:tcPr>
          <w:p>
            <w:pPr>
              <w:spacing w:after="0" w:before="0" w:line="252"/>
            </w:pPr>
            <w:r>
              <w:rPr>
                <w:sz w:val="19"/>
                <w:szCs w:val="19"/>
              </w:rPr>
              <w:t xml:space="preserve">Mandates (ASG‑24, ASG‑16, ASG‑19, PAY‑03, PAY‑08, §11); 24-hour validity and device-signed approvals (RUN‑04, PLT‑03); compensations and rollback under the original authorization (RUN‑06, ASG‑13)</w:t>
            </w:r>
          </w:p>
        </w:tc>
        <w:tc>
          <w:tcPr>
            <w:tcW w:type="dxa" w:w="4000"/>
            <w:tcMar>
              <w:top w:type="dxa" w:w="60"/>
              <w:left w:type="dxa" w:w="100"/>
              <w:bottom w:type="dxa" w:w="60"/>
              <w:right w:type="dxa" w:w="100"/>
            </w:tcMar>
          </w:tcPr>
          <w:p>
            <w:pPr>
              <w:spacing w:after="0" w:before="0" w:line="252"/>
            </w:pPr>
            <w:r>
              <w:rPr>
                <w:sz w:val="19"/>
                <w:szCs w:val="19"/>
              </w:rPr>
              <w:t xml:space="preserve">Every side effect, compensations included, is approved in a live session; an approval is valid for 15 minutes and only until the run next waits or pauses</w:t>
            </w:r>
          </w:p>
        </w:tc>
      </w:tr>
      <w:tr>
        <w:trPr>
          <w:tblHeader w:val="off"/>
        </w:trPr>
        <w:tc>
          <w:tcPr>
            <w:tcW w:type="dxa" w:w="1460"/>
            <w:tcMar>
              <w:top w:type="dxa" w:w="60"/>
              <w:left w:type="dxa" w:w="100"/>
              <w:bottom w:type="dxa" w:w="60"/>
              <w:right w:type="dxa" w:w="100"/>
            </w:tcMar>
          </w:tcPr>
          <w:p>
            <w:pPr>
              <w:spacing w:after="0" w:before="0" w:line="252"/>
            </w:pPr>
            <w:r>
              <w:rPr>
                <w:sz w:val="19"/>
                <w:szCs w:val="19"/>
              </w:rPr>
              <w:t xml:space="preserve">MR‑10</w:t>
            </w:r>
          </w:p>
        </w:tc>
        <w:tc>
          <w:tcPr>
            <w:tcW w:type="dxa" w:w="3900"/>
            <w:tcMar>
              <w:top w:type="dxa" w:w="60"/>
              <w:left w:type="dxa" w:w="100"/>
              <w:bottom w:type="dxa" w:w="60"/>
              <w:right w:type="dxa" w:w="100"/>
            </w:tcMar>
          </w:tcPr>
          <w:p>
            <w:pPr>
              <w:spacing w:after="0" w:before="0" w:line="252"/>
            </w:pPr>
            <w:r>
              <w:rPr>
                <w:sz w:val="19"/>
                <w:szCs w:val="19"/>
              </w:rPr>
              <w:t xml:space="preserve">Purchase mandates (PAY‑03)</w:t>
            </w:r>
          </w:p>
        </w:tc>
        <w:tc>
          <w:tcPr>
            <w:tcW w:type="dxa" w:w="4000"/>
            <w:tcMar>
              <w:top w:type="dxa" w:w="60"/>
              <w:left w:type="dxa" w:w="100"/>
              <w:bottom w:type="dxa" w:w="60"/>
              <w:right w:type="dxa" w:w="100"/>
            </w:tcMar>
          </w:tcPr>
          <w:p>
            <w:pPr>
              <w:spacing w:after="0" w:before="0" w:line="252"/>
            </w:pPr>
            <w:r>
              <w:rPr>
                <w:sz w:val="19"/>
                <w:szCs w:val="19"/>
              </w:rPr>
              <w:t xml:space="preserve">Every purchase is approved (PAY‑02)</w:t>
            </w:r>
          </w:p>
        </w:tc>
      </w:tr>
      <w:tr>
        <w:trPr>
          <w:tblHeader w:val="off"/>
        </w:trPr>
        <w:tc>
          <w:tcPr>
            <w:tcW w:type="dxa" w:w="1460"/>
            <w:tcMar>
              <w:top w:type="dxa" w:w="60"/>
              <w:left w:type="dxa" w:w="100"/>
              <w:bottom w:type="dxa" w:w="60"/>
              <w:right w:type="dxa" w:w="100"/>
            </w:tcMar>
          </w:tcPr>
          <w:p>
            <w:pPr>
              <w:spacing w:after="0" w:before="0" w:line="252"/>
            </w:pPr>
            <w:r>
              <w:rPr>
                <w:sz w:val="19"/>
                <w:szCs w:val="19"/>
              </w:rPr>
              <w:t xml:space="preserve">MR‑17</w:t>
            </w:r>
          </w:p>
        </w:tc>
        <w:tc>
          <w:tcPr>
            <w:tcW w:type="dxa" w:w="3900"/>
            <w:tcMar>
              <w:top w:type="dxa" w:w="60"/>
              <w:left w:type="dxa" w:w="100"/>
              <w:bottom w:type="dxa" w:w="60"/>
              <w:right w:type="dxa" w:w="100"/>
            </w:tcMar>
          </w:tcPr>
          <w:p>
            <w:pPr>
              <w:spacing w:after="0" w:before="0" w:line="252"/>
            </w:pPr>
            <w:r>
              <w:rPr>
                <w:sz w:val="19"/>
                <w:szCs w:val="19"/>
              </w:rPr>
              <w:t xml:space="preserve">Header-only disclosure on drafts the user sends (SEC‑14)</w:t>
            </w:r>
          </w:p>
        </w:tc>
        <w:tc>
          <w:tcPr>
            <w:tcW w:type="dxa" w:w="4000"/>
            <w:tcMar>
              <w:top w:type="dxa" w:w="60"/>
              <w:left w:type="dxa" w:w="100"/>
              <w:bottom w:type="dxa" w:w="60"/>
              <w:right w:type="dxa" w:w="100"/>
            </w:tcMar>
          </w:tcPr>
          <w:p>
            <w:pPr>
              <w:spacing w:after="0" w:before="0" w:line="252"/>
            </w:pPr>
            <w:r>
              <w:rPr>
                <w:sz w:val="19"/>
                <w:szCs w:val="19"/>
              </w:rPr>
              <w:t xml:space="preserve">Drafts carry a visible AI note that the user sees before sending</w:t>
            </w:r>
          </w:p>
        </w:tc>
      </w:tr>
      <w:tr>
        <w:trPr>
          <w:tblHeader w:val="off"/>
        </w:trPr>
        <w:tc>
          <w:tcPr>
            <w:tcW w:type="dxa" w:w="1460"/>
            <w:tcMar>
              <w:top w:type="dxa" w:w="60"/>
              <w:left w:type="dxa" w:w="100"/>
              <w:bottom w:type="dxa" w:w="60"/>
              <w:right w:type="dxa" w:w="100"/>
            </w:tcMar>
          </w:tcPr>
          <w:p>
            <w:pPr>
              <w:spacing w:after="0" w:before="0" w:line="252"/>
            </w:pPr>
            <w:r>
              <w:rPr>
                <w:sz w:val="19"/>
                <w:szCs w:val="19"/>
              </w:rPr>
              <w:t xml:space="preserve">MR‑24</w:t>
            </w:r>
          </w:p>
        </w:tc>
        <w:tc>
          <w:tcPr>
            <w:tcW w:type="dxa" w:w="3900"/>
            <w:tcMar>
              <w:top w:type="dxa" w:w="60"/>
              <w:left w:type="dxa" w:w="100"/>
              <w:bottom w:type="dxa" w:w="60"/>
              <w:right w:type="dxa" w:w="100"/>
            </w:tcMar>
          </w:tcPr>
          <w:p>
            <w:pPr>
              <w:spacing w:after="0" w:before="0" w:line="252"/>
            </w:pPr>
            <w:r>
              <w:rPr>
                <w:sz w:val="19"/>
                <w:szCs w:val="19"/>
              </w:rPr>
              <w:t xml:space="preserve">Sandboxed code, browser automation and model-written queries (SEC‑15)</w:t>
            </w:r>
          </w:p>
        </w:tc>
        <w:tc>
          <w:tcPr>
            <w:tcW w:type="dxa" w:w="4000"/>
            <w:tcMar>
              <w:top w:type="dxa" w:w="60"/>
              <w:left w:type="dxa" w:w="100"/>
              <w:bottom w:type="dxa" w:w="60"/>
              <w:right w:type="dxa" w:w="100"/>
            </w:tcMar>
          </w:tcPr>
          <w:p>
            <w:pPr>
              <w:spacing w:after="0" w:before="0" w:line="252"/>
            </w:pPr>
            <w:r>
              <w:rPr>
                <w:sz w:val="19"/>
                <w:szCs w:val="19"/>
              </w:rPr>
              <w:t xml:space="preserve">No model-written code or queries run; lookups use typed parameters</w:t>
            </w:r>
          </w:p>
        </w:tc>
      </w:tr>
      <w:tr>
        <w:trPr>
          <w:tblHeader w:val="off"/>
        </w:trPr>
        <w:tc>
          <w:tcPr>
            <w:tcW w:type="dxa" w:w="1460"/>
            <w:tcMar>
              <w:top w:type="dxa" w:w="60"/>
              <w:left w:type="dxa" w:w="100"/>
              <w:bottom w:type="dxa" w:w="60"/>
              <w:right w:type="dxa" w:w="100"/>
            </w:tcMar>
          </w:tcPr>
          <w:p>
            <w:pPr>
              <w:spacing w:after="0" w:before="0" w:line="252"/>
            </w:pPr>
            <w:r>
              <w:rPr>
                <w:sz w:val="19"/>
                <w:szCs w:val="19"/>
              </w:rPr>
              <w:t xml:space="preserve">MR‑25</w:t>
            </w:r>
          </w:p>
        </w:tc>
        <w:tc>
          <w:tcPr>
            <w:tcW w:type="dxa" w:w="3900"/>
            <w:tcMar>
              <w:top w:type="dxa" w:w="60"/>
              <w:left w:type="dxa" w:w="100"/>
              <w:bottom w:type="dxa" w:w="60"/>
              <w:right w:type="dxa" w:w="100"/>
            </w:tcMar>
          </w:tcPr>
          <w:p>
            <w:pPr>
              <w:spacing w:after="0" w:before="0" w:line="252"/>
            </w:pPr>
            <w:r>
              <w:rPr>
                <w:sz w:val="19"/>
                <w:szCs w:val="19"/>
              </w:rPr>
              <w:t xml:space="preserve">Approved security and access changes (SEC‑16); mandated locking and approved unlocking (PAY‑08)</w:t>
            </w:r>
          </w:p>
        </w:tc>
        <w:tc>
          <w:tcPr>
            <w:tcW w:type="dxa" w:w="4000"/>
            <w:tcMar>
              <w:top w:type="dxa" w:w="60"/>
              <w:left w:type="dxa" w:w="100"/>
              <w:bottom w:type="dxa" w:w="60"/>
              <w:right w:type="dxa" w:w="100"/>
            </w:tcMar>
          </w:tcPr>
          <w:p>
            <w:pPr>
              <w:spacing w:after="0" w:before="0" w:line="252"/>
            </w:pPr>
            <w:r>
              <w:rPr>
                <w:sz w:val="19"/>
                <w:szCs w:val="19"/>
              </w:rPr>
              <w:t xml:space="preserve">No security or access changes; home security devices are read-only</w:t>
            </w:r>
          </w:p>
        </w:tc>
      </w:tr>
    </w:tbl>
    <w:p>
      <w:pPr>
        <w:spacing w:after="60"/>
      </w:pPr>
    </w:p>
    <w:p>
      <w:r>
        <w:rPr>
          <w:b/>
          <w:bCs/>
        </w:rPr>
        <w:t xml:space="preserve">How the rules read in Collicity.</w:t>
      </w:r>
      <w:r>
        <w:t xml:space="preserve"> These readings are how Collicity applies the rules. The security review judges each one alongside the amendments, and any it finds goes beyond its rule's words becomes an amendment (§21).</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or on their signing device. It stays valid only while the action and the target's state are unchanged, and for no more than 24 hours (MR‑09, RUN‑04).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or disarming home security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w:t>
      </w:r>
    </w:p>
    <w:p>
      <w:pPr>
        <w:pStyle w:val="ListParagraph"/>
        <w:numPr>
          <w:ilvl w:val="0"/>
          <w:numId w:val="2"/>
        </w:numPr>
        <w:spacing w:after="60" w:before="0"/>
      </w:pPr>
      <w:r>
        <w:rPr>
          <w:b/>
          <w:bCs/>
        </w:rPr>
        <w:t xml:space="preserve">Out of scope</w:t>
      </w:r>
      <w:r>
        <w:t xml:space="preserve"> (MR‑23) means one of three things:</w:t>
      </w:r>
    </w:p>
    <w:p>
      <w:pPr>
        <w:pStyle w:val="ListParagraph"/>
        <w:numPr>
          <w:ilvl w:val="1"/>
          <w:numId w:val="2"/>
        </w:numPr>
        <w:spacing w:after="60" w:before="0"/>
      </w:pPr>
      <w:r>
        <w:t xml:space="preserve">the step needs an action, resource, field, recipient or parameter outside its grants (CON‑02);</w:t>
      </w:r>
    </w:p>
    <w:p>
      <w:pPr>
        <w:pStyle w:val="ListParagraph"/>
        <w:numPr>
          <w:ilvl w:val="1"/>
          <w:numId w:val="2"/>
        </w:numPr>
        <w:spacing w:after="60" w:before="0"/>
      </w:pPr>
      <w:r>
        <w:t xml:space="preserve">it plans a tool call that isn't in the task's plan (SEC‑13);</w:t>
      </w:r>
    </w:p>
    <w:p>
      <w:pPr>
        <w:pStyle w:val="ListParagraph"/>
        <w:numPr>
          <w:ilvl w:val="1"/>
          <w:numId w:val="2"/>
        </w:numPr>
        <w:spacing w:after="60" w:before="0"/>
      </w:pPr>
      <w:r>
        <w:t xml:space="preserve">its result can't be checked against the task's success criteria (ASG‑06).</w:t>
      </w:r>
    </w:p>
    <w:p>
      <w:pPr>
        <w:spacing w:after="60" w:before="0"/>
        <w:ind w:left="720"/>
      </w:pPr>
      <w:r>
        <w:t xml:space="preserve">The step then stops and escalates to a person (CON‑03, SUP‑03); it never substitutes another action.</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
        <w:gridCol w:w="2675"/>
        <w:gridCol w:w="4413"/>
        <w:gridCol w:w="1692"/>
      </w:tblGrid>
      <w:tr>
        <w:trPr>
          <w:tblHeader/>
        </w:trPr>
        <w:tc>
          <w:tcPr>
            <w:tcW w:type="dxa" w:w="580"/>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67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413"/>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1692"/>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G1</w:t>
            </w:r>
          </w:p>
        </w:tc>
        <w:tc>
          <w:tcPr>
            <w:tcW w:type="dxa" w:w="267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413"/>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1692"/>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G2</w:t>
            </w:r>
          </w:p>
        </w:tc>
        <w:tc>
          <w:tcPr>
            <w:tcW w:type="dxa" w:w="2675"/>
            <w:tcMar>
              <w:top w:type="dxa" w:w="60"/>
              <w:left w:type="dxa" w:w="100"/>
              <w:bottom w:type="dxa" w:w="60"/>
              <w:right w:type="dxa" w:w="100"/>
            </w:tcMar>
          </w:tcPr>
          <w:p>
            <w:pPr>
              <w:spacing w:after="0" w:before="0" w:line="252"/>
            </w:pPr>
            <w:r>
              <w:rPr>
                <w:sz w:val="19"/>
                <w:szCs w:val="19"/>
              </w:rPr>
              <w:t xml:space="preserve">No spend surprises</w:t>
            </w:r>
          </w:p>
        </w:tc>
        <w:tc>
          <w:tcPr>
            <w:tcW w:type="dxa" w:w="4413"/>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1692"/>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G3</w:t>
            </w:r>
          </w:p>
        </w:tc>
        <w:tc>
          <w:tcPr>
            <w:tcW w:type="dxa" w:w="267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413"/>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1692"/>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G4</w:t>
            </w:r>
          </w:p>
        </w:tc>
        <w:tc>
          <w:tcPr>
            <w:tcW w:type="dxa" w:w="2675"/>
            <w:tcMar>
              <w:top w:type="dxa" w:w="60"/>
              <w:left w:type="dxa" w:w="100"/>
              <w:bottom w:type="dxa" w:w="60"/>
              <w:right w:type="dxa" w:w="100"/>
            </w:tcMar>
          </w:tcPr>
          <w:p>
            <w:pPr>
              <w:spacing w:after="0" w:before="0" w:line="252"/>
            </w:pPr>
            <w:r>
              <w:rPr>
                <w:sz w:val="19"/>
                <w:szCs w:val="19"/>
              </w:rPr>
              <w:t xml:space="preserve">Trustworthy output</w:t>
            </w:r>
          </w:p>
        </w:tc>
        <w:tc>
          <w:tcPr>
            <w:tcW w:type="dxa" w:w="4413"/>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1692"/>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80"/>
            <w:tcMar>
              <w:top w:type="dxa" w:w="60"/>
              <w:left w:type="dxa" w:w="100"/>
              <w:bottom w:type="dxa" w:w="60"/>
              <w:right w:type="dxa" w:w="100"/>
            </w:tcMar>
          </w:tcPr>
          <w:p>
            <w:pPr>
              <w:spacing w:after="0" w:before="0" w:line="252"/>
            </w:pPr>
            <w:r>
              <w:rPr>
                <w:sz w:val="19"/>
                <w:szCs w:val="19"/>
              </w:rPr>
              <w:t xml:space="preserve">G5</w:t>
            </w:r>
          </w:p>
        </w:tc>
        <w:tc>
          <w:tcPr>
            <w:tcW w:type="dxa" w:w="267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413"/>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1692"/>
            <w:tcMar>
              <w:top w:type="dxa" w:w="60"/>
              <w:left w:type="dxa" w:w="100"/>
              <w:bottom w:type="dxa" w:w="60"/>
              <w:right w:type="dxa" w:w="100"/>
            </w:tcMar>
          </w:tcPr>
          <w:p>
            <w:pPr>
              <w:spacing w:after="0" w:before="0" w:line="252"/>
            </w:pPr>
            <w:r>
              <w:rPr>
                <w:sz w:val="19"/>
                <w:szCs w:val="19"/>
              </w:rPr>
              <w:t xml:space="preserve">100%</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6"/>
        <w:gridCol w:w="789"/>
        <w:gridCol w:w="2607"/>
        <w:gridCol w:w="3428"/>
      </w:tblGrid>
      <w:tr>
        <w:trPr>
          <w:tblHeader/>
        </w:trPr>
        <w:tc>
          <w:tcPr>
            <w:tcW w:type="dxa" w:w="2536"/>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89"/>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607"/>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428"/>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89"/>
            <w:tcMar>
              <w:top w:type="dxa" w:w="60"/>
              <w:left w:type="dxa" w:w="100"/>
              <w:bottom w:type="dxa" w:w="60"/>
              <w:right w:type="dxa" w:w="100"/>
            </w:tcMar>
          </w:tcPr>
          <w:p>
            <w:pPr>
              <w:spacing w:after="0" w:before="0" w:line="252"/>
            </w:pPr>
            <w:r>
              <w:rPr>
                <w:sz w:val="19"/>
                <w:szCs w:val="19"/>
              </w:rPr>
              <w:t xml:space="preserve">Full</w:t>
            </w:r>
          </w:p>
        </w:tc>
        <w:tc>
          <w:tcPr>
            <w:tcW w:type="dxa" w:w="2607"/>
            <w:tcMar>
              <w:top w:type="dxa" w:w="60"/>
              <w:left w:type="dxa" w:w="100"/>
              <w:bottom w:type="dxa" w:w="60"/>
              <w:right w:type="dxa" w:w="100"/>
            </w:tcMar>
          </w:tcPr>
          <w:p>
            <w:pPr>
              <w:spacing w:after="0" w:before="0" w:line="252"/>
            </w:pPr>
            <w:r>
              <w:rPr>
                <w:sz w:val="19"/>
                <w:szCs w:val="19"/>
              </w:rPr>
              <w:t xml:space="preserve">Full</w:t>
            </w:r>
          </w:p>
        </w:tc>
        <w:tc>
          <w:tcPr>
            <w:tcW w:type="dxa" w:w="3428"/>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Chat and ask-anything Q&amp;A</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w:t>
            </w:r>
          </w:p>
        </w:tc>
        <w:tc>
          <w:tcPr>
            <w:tcW w:type="dxa" w:w="3428"/>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Approvals and human steps</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 with OS notifications</w:t>
            </w:r>
          </w:p>
        </w:tc>
        <w:tc>
          <w:tcPr>
            <w:tcW w:type="dxa" w:w="3428"/>
            <w:tcMar>
              <w:top w:type="dxa" w:w="60"/>
              <w:left w:type="dxa" w:w="100"/>
              <w:bottom w:type="dxa" w:w="60"/>
              <w:right w:type="dxa" w:w="100"/>
            </w:tcMar>
          </w:tcPr>
          <w:p>
            <w:pPr>
              <w:spacing w:after="0" w:before="0" w:line="252"/>
            </w:pPr>
            <w:r>
              <w:rPr>
                <w:sz w:val="19"/>
                <w:szCs w:val="19"/>
              </w:rPr>
              <w:t xml:space="preserve">Yes, actionable push showing the full action, with the device unlocked; biometric confirm for payments</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Run monitoring and budgets</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w:t>
            </w:r>
          </w:p>
        </w:tc>
        <w:tc>
          <w:tcPr>
            <w:tcW w:type="dxa" w:w="3428"/>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Proximity (geofence) triggers</w:t>
            </w:r>
          </w:p>
        </w:tc>
        <w:tc>
          <w:tcPr>
            <w:tcW w:type="dxa" w:w="789"/>
            <w:tcMar>
              <w:top w:type="dxa" w:w="60"/>
              <w:left w:type="dxa" w:w="100"/>
              <w:bottom w:type="dxa" w:w="60"/>
              <w:right w:type="dxa" w:w="100"/>
            </w:tcMar>
          </w:tcPr>
          <w:p>
            <w:pPr>
              <w:spacing w:after="0" w:before="0" w:line="252"/>
            </w:pPr>
            <w:r>
              <w:rPr>
                <w:sz w:val="19"/>
                <w:szCs w:val="19"/>
              </w:rPr>
              <w:t xml:space="preserve">—</w:t>
            </w:r>
          </w:p>
        </w:tc>
        <w:tc>
          <w:tcPr>
            <w:tcW w:type="dxa" w:w="2607"/>
            <w:tcMar>
              <w:top w:type="dxa" w:w="60"/>
              <w:left w:type="dxa" w:w="100"/>
              <w:bottom w:type="dxa" w:w="60"/>
              <w:right w:type="dxa" w:w="100"/>
            </w:tcMar>
          </w:tcPr>
          <w:p>
            <w:pPr>
              <w:spacing w:after="0" w:before="0" w:line="252"/>
            </w:pPr>
            <w:r>
              <w:rPr>
                <w:sz w:val="19"/>
                <w:szCs w:val="19"/>
              </w:rPr>
              <w:t xml:space="preserve">—</w:t>
            </w:r>
          </w:p>
        </w:tc>
        <w:tc>
          <w:tcPr>
            <w:tcW w:type="dxa" w:w="3428"/>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Local connectors</w:t>
            </w:r>
          </w:p>
        </w:tc>
        <w:tc>
          <w:tcPr>
            <w:tcW w:type="dxa" w:w="789"/>
            <w:tcMar>
              <w:top w:type="dxa" w:w="60"/>
              <w:left w:type="dxa" w:w="100"/>
              <w:bottom w:type="dxa" w:w="60"/>
              <w:right w:type="dxa" w:w="100"/>
            </w:tcMar>
          </w:tcPr>
          <w:p>
            <w:pPr>
              <w:spacing w:after="0" w:before="0" w:line="252"/>
            </w:pPr>
            <w:r>
              <w:rPr>
                <w:sz w:val="19"/>
                <w:szCs w:val="19"/>
              </w:rPr>
              <w:t xml:space="preserve">—</w:t>
            </w:r>
          </w:p>
        </w:tc>
        <w:tc>
          <w:tcPr>
            <w:tcW w:type="dxa" w:w="2607"/>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428"/>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Enterprise admin console</w:t>
            </w:r>
          </w:p>
        </w:tc>
        <w:tc>
          <w:tcPr>
            <w:tcW w:type="dxa" w:w="789"/>
            <w:tcMar>
              <w:top w:type="dxa" w:w="60"/>
              <w:left w:type="dxa" w:w="100"/>
              <w:bottom w:type="dxa" w:w="60"/>
              <w:right w:type="dxa" w:w="100"/>
            </w:tcMar>
          </w:tcPr>
          <w:p>
            <w:pPr>
              <w:spacing w:after="0" w:before="0" w:line="252"/>
            </w:pPr>
            <w:r>
              <w:rPr>
                <w:sz w:val="19"/>
                <w:szCs w:val="19"/>
              </w:rPr>
              <w:t xml:space="preserve">Yes</w:t>
            </w:r>
          </w:p>
        </w:tc>
        <w:tc>
          <w:tcPr>
            <w:tcW w:type="dxa" w:w="2607"/>
            <w:tcMar>
              <w:top w:type="dxa" w:w="60"/>
              <w:left w:type="dxa" w:w="100"/>
              <w:bottom w:type="dxa" w:w="60"/>
              <w:right w:type="dxa" w:w="100"/>
            </w:tcMar>
          </w:tcPr>
          <w:p>
            <w:pPr>
              <w:spacing w:after="0" w:before="0" w:line="252"/>
            </w:pPr>
            <w:r>
              <w:rPr>
                <w:sz w:val="19"/>
                <w:szCs w:val="19"/>
              </w:rPr>
              <w:t xml:space="preserve">Yes</w:t>
            </w:r>
          </w:p>
        </w:tc>
        <w:tc>
          <w:tcPr>
            <w:tcW w:type="dxa" w:w="3428"/>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536"/>
            <w:tcMar>
              <w:top w:type="dxa" w:w="60"/>
              <w:left w:type="dxa" w:w="100"/>
              <w:bottom w:type="dxa" w:w="60"/>
              <w:right w:type="dxa" w:w="100"/>
            </w:tcMar>
          </w:tcPr>
          <w:p>
            <w:pPr>
              <w:spacing w:after="0" w:before="0" w:line="252"/>
            </w:pPr>
            <w:r>
              <w:rPr>
                <w:sz w:val="19"/>
                <w:szCs w:val="19"/>
              </w:rPr>
              <w:t xml:space="preserve">Offline</w:t>
            </w:r>
          </w:p>
        </w:tc>
        <w:tc>
          <w:tcPr>
            <w:tcW w:type="dxa" w:w="789"/>
            <w:tcMar>
              <w:top w:type="dxa" w:w="60"/>
              <w:left w:type="dxa" w:w="100"/>
              <w:bottom w:type="dxa" w:w="60"/>
              <w:right w:type="dxa" w:w="100"/>
            </w:tcMar>
          </w:tcPr>
          <w:p>
            <w:pPr>
              <w:spacing w:after="0" w:before="0" w:line="252"/>
            </w:pPr>
            <w:r>
              <w:rPr>
                <w:sz w:val="19"/>
                <w:szCs w:val="19"/>
              </w:rPr>
              <w:t xml:space="preserve">—</w:t>
            </w:r>
          </w:p>
        </w:tc>
        <w:tc>
          <w:tcPr>
            <w:tcW w:type="dxa" w:w="2607"/>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428"/>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approving needs the device unlocked, and the approval is signed with the device's key and bound to the exact action and the target's version (RUN‑04). Notification and offline approvals are pending MR review (§1).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5"/>
        <w:gridCol w:w="2703"/>
        <w:gridCol w:w="4682"/>
      </w:tblGrid>
      <w:tr>
        <w:trPr>
          <w:tblHeader/>
        </w:trPr>
        <w:tc>
          <w:tcPr>
            <w:tcW w:type="dxa" w:w="1975"/>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703"/>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8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Remote MCP server</w:t>
            </w:r>
          </w:p>
        </w:tc>
        <w:tc>
          <w:tcPr>
            <w:tcW w:type="dxa" w:w="2703"/>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8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API connector (REST / GraphQL)</w:t>
            </w:r>
          </w:p>
        </w:tc>
        <w:tc>
          <w:tcPr>
            <w:tcW w:type="dxa" w:w="2703"/>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8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Knowledge (RAG) source</w:t>
            </w:r>
          </w:p>
        </w:tc>
        <w:tc>
          <w:tcPr>
            <w:tcW w:type="dxa" w:w="2703"/>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8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Device-local</w:t>
            </w:r>
          </w:p>
        </w:tc>
        <w:tc>
          <w:tcPr>
            <w:tcW w:type="dxa" w:w="2703"/>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8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Event source</w:t>
            </w:r>
          </w:p>
        </w:tc>
        <w:tc>
          <w:tcPr>
            <w:tcW w:type="dxa" w:w="2703"/>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8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5"/>
            <w:tcMar>
              <w:top w:type="dxa" w:w="60"/>
              <w:left w:type="dxa" w:w="100"/>
              <w:bottom w:type="dxa" w:w="60"/>
              <w:right w:type="dxa" w:w="100"/>
            </w:tcMar>
          </w:tcPr>
          <w:p>
            <w:pPr>
              <w:spacing w:after="0" w:before="0" w:line="252"/>
            </w:pPr>
            <w:r>
              <w:rPr>
                <w:sz w:val="19"/>
                <w:szCs w:val="19"/>
              </w:rPr>
              <w:t xml:space="preserve">Browser automation (P2, gated)</w:t>
            </w:r>
          </w:p>
        </w:tc>
        <w:tc>
          <w:tcPr>
            <w:tcW w:type="dxa" w:w="2703"/>
            <w:tcMar>
              <w:top w:type="dxa" w:w="60"/>
              <w:left w:type="dxa" w:w="100"/>
              <w:bottom w:type="dxa" w:w="60"/>
              <w:right w:type="dxa" w:w="100"/>
            </w:tcMar>
          </w:tcPr>
          <w:p>
            <w:pPr>
              <w:spacing w:after="0" w:before="0" w:line="252"/>
            </w:pPr>
            <w:r>
              <w:rPr>
                <w:sz w:val="19"/>
                <w:szCs w:val="19"/>
              </w:rPr>
              <w:t xml:space="preserve">Sites with no API</w:t>
            </w:r>
          </w:p>
        </w:tc>
        <w:tc>
          <w:tcPr>
            <w:tcW w:type="dxa" w:w="4682"/>
            <w:tcMar>
              <w:top w:type="dxa" w:w="60"/>
              <w:left w:type="dxa" w:w="100"/>
              <w:bottom w:type="dxa" w:w="60"/>
              <w:right w:type="dxa" w:w="100"/>
            </w:tcMar>
          </w:tcPr>
          <w:p>
            <w:pPr>
              <w:spacing w:after="0" w:before="0" w:line="252"/>
            </w:pPr>
            <w:r>
              <w:rPr>
                <w:sz w:val="19"/>
                <w:szCs w:val="19"/>
              </w:rPr>
              <w:t xml:space="preserve">Highest risk; only if approved (§21).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The service-account exception is pending MR review (§1).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review (§1).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 xml:space="preserve">(Raised from P1 in v0.7.)</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and, from GA, how to check a person's own access to a resource and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but each is shown in full and approved on its own.</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pending MR review)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step-up authentication (biometrics or MFA), after a preview of what it would have done in the assignment's recent runs (MR‑12).</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only at high sender confidence,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step-up authentication.</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step-up authentication.</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or disarming home security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until then the beta approves every action.</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(ASG‑16);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pending MR review) Queue mandates.</w:t>
      </w:r>
      <w:r>
        <w:t xml:space="preserve"> An item's action runs without a click only under a queue mandate (ASG‑24). That needs an allowlisted, undoable action; a sender at high identity confidence (ASG‑15); a change within the mandate's bounds (e.g., at most 10% of the current value); and no screening positive or hidden-text citation. Otherwise the item waits for a click. </w:t>
      </w: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(default), and it is re-checked on resume after any wait or pause; otherwise it goes stale and the step asks again (MR‑09, MR‑11). An approval given from a notification or while offline is signed with the device's key and bound to the action hash and base versions. Collicity honors it only if both still match when the approval arrives (PLT‑03). The 24-hour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Running compensations under the original authorization is pending MR review; until the review closes, each compensation needs its own approval when it runs (§1).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pending MR review);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2"/>
        <w:gridCol w:w="3248"/>
        <w:gridCol w:w="4100"/>
      </w:tblGrid>
      <w:tr>
        <w:trPr>
          <w:tblHeader/>
        </w:trPr>
        <w:tc>
          <w:tcPr>
            <w:tcW w:type="dxa" w:w="2012"/>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2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100"/>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Sign-in</w:t>
            </w:r>
          </w:p>
        </w:tc>
        <w:tc>
          <w:tcPr>
            <w:tcW w:type="dxa" w:w="32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100"/>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MFA</w:t>
            </w:r>
          </w:p>
        </w:tc>
        <w:tc>
          <w:tcPr>
            <w:tcW w:type="dxa" w:w="3248"/>
            <w:tcMar>
              <w:top w:type="dxa" w:w="60"/>
              <w:left w:type="dxa" w:w="100"/>
              <w:bottom w:type="dxa" w:w="60"/>
              <w:right w:type="dxa" w:w="100"/>
            </w:tcMar>
          </w:tcPr>
          <w:p>
            <w:pPr>
              <w:spacing w:after="0" w:before="0" w:line="252"/>
            </w:pPr>
            <w:r>
              <w:rPr>
                <w:sz w:val="19"/>
                <w:szCs w:val="19"/>
              </w:rPr>
              <w:t xml:space="preserve">Passkeys or the provider's MFA; step-up for payments</w:t>
            </w:r>
          </w:p>
        </w:tc>
        <w:tc>
          <w:tcPr>
            <w:tcW w:type="dxa" w:w="4100"/>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Administration</w:t>
            </w:r>
          </w:p>
        </w:tc>
        <w:tc>
          <w:tcPr>
            <w:tcW w:type="dxa" w:w="3248"/>
            <w:tcMar>
              <w:top w:type="dxa" w:w="60"/>
              <w:left w:type="dxa" w:w="100"/>
              <w:bottom w:type="dxa" w:w="60"/>
              <w:right w:type="dxa" w:w="100"/>
            </w:tcMar>
          </w:tcPr>
          <w:p>
            <w:pPr>
              <w:spacing w:after="0" w:before="0" w:line="252"/>
            </w:pPr>
            <w:r>
              <w:rPr>
                <w:sz w:val="19"/>
                <w:szCs w:val="19"/>
              </w:rPr>
              <w:t xml:space="preserve">Account settings</w:t>
            </w:r>
          </w:p>
        </w:tc>
        <w:tc>
          <w:tcPr>
            <w:tcW w:type="dxa" w:w="4100"/>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Budgets</w:t>
            </w:r>
          </w:p>
        </w:tc>
        <w:tc>
          <w:tcPr>
            <w:tcW w:type="dxa" w:w="32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100"/>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Models</w:t>
            </w:r>
          </w:p>
        </w:tc>
        <w:tc>
          <w:tcPr>
            <w:tcW w:type="dxa" w:w="3248"/>
            <w:tcMar>
              <w:top w:type="dxa" w:w="60"/>
              <w:left w:type="dxa" w:w="100"/>
              <w:bottom w:type="dxa" w:w="60"/>
              <w:right w:type="dxa" w:w="100"/>
            </w:tcMar>
          </w:tcPr>
          <w:p>
            <w:pPr>
              <w:spacing w:after="0" w:before="0" w:line="252"/>
            </w:pPr>
            <w:r>
              <w:rPr>
                <w:sz w:val="19"/>
                <w:szCs w:val="19"/>
              </w:rPr>
              <w:t xml:space="preserve">Default provider or own keys</w:t>
            </w:r>
          </w:p>
        </w:tc>
        <w:tc>
          <w:tcPr>
            <w:tcW w:type="dxa" w:w="4100"/>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Connectors</w:t>
            </w:r>
          </w:p>
        </w:tc>
        <w:tc>
          <w:tcPr>
            <w:tcW w:type="dxa" w:w="3248"/>
            <w:tcMar>
              <w:top w:type="dxa" w:w="60"/>
              <w:left w:type="dxa" w:w="100"/>
              <w:bottom w:type="dxa" w:w="60"/>
              <w:right w:type="dxa" w:w="100"/>
            </w:tcMar>
          </w:tcPr>
          <w:p>
            <w:pPr>
              <w:spacing w:after="0" w:before="0" w:line="252"/>
            </w:pPr>
            <w:r>
              <w:rPr>
                <w:sz w:val="19"/>
                <w:szCs w:val="19"/>
              </w:rPr>
              <w:t xml:space="preserve">Consumer catalog</w:t>
            </w:r>
          </w:p>
        </w:tc>
        <w:tc>
          <w:tcPr>
            <w:tcW w:type="dxa" w:w="4100"/>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Data</w:t>
            </w:r>
          </w:p>
        </w:tc>
        <w:tc>
          <w:tcPr>
            <w:tcW w:type="dxa" w:w="32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100"/>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2012"/>
            <w:tcMar>
              <w:top w:type="dxa" w:w="60"/>
              <w:left w:type="dxa" w:w="100"/>
              <w:bottom w:type="dxa" w:w="60"/>
              <w:right w:type="dxa" w:w="100"/>
            </w:tcMar>
          </w:tcPr>
          <w:p>
            <w:pPr>
              <w:spacing w:after="0" w:before="0" w:line="252"/>
            </w:pPr>
            <w:r>
              <w:rPr>
                <w:sz w:val="19"/>
                <w:szCs w:val="19"/>
              </w:rPr>
              <w:t xml:space="preserve">Audit</w:t>
            </w:r>
          </w:p>
        </w:tc>
        <w:tc>
          <w:tcPr>
            <w:tcW w:type="dxa" w:w="32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100"/>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pending MR review) Purchase mandates.</w:t>
      </w:r>
      <w:r>
        <w:t xml:space="preserve"> The user can let one assignment buy without asking, under a mandate (ASG‑24): named merchants and item categories, a per-order and a per-period cap, created with biometrics.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Price-change guard.</w:t>
      </w:r>
      <w:r>
        <w:t xml:space="preserve"> An approval or mandate covers a ceiling: this cart, at most a stated total, with a stated substitution policy (MR‑12). If the final total exceeds the ceiling or breaks any cap, stop and ask again.</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an agent-payment protocol, or browser automation in the isolated sandbox (SEC‑15).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1"/>
        <w:gridCol w:w="3268"/>
        <w:gridCol w:w="3981"/>
      </w:tblGrid>
      <w:tr>
        <w:trPr>
          <w:tblHeader/>
        </w:trPr>
        <w:tc>
          <w:tcPr>
            <w:tcW w:type="dxa" w:w="2111"/>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68"/>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81"/>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68"/>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81"/>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Rule-override request</w:t>
            </w:r>
          </w:p>
        </w:tc>
        <w:tc>
          <w:tcPr>
            <w:tcW w:type="dxa" w:w="3268"/>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81"/>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68"/>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81"/>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68"/>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81"/>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Tool-description poisoning</w:t>
            </w:r>
          </w:p>
        </w:tc>
        <w:tc>
          <w:tcPr>
            <w:tcW w:type="dxa" w:w="3268"/>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81"/>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Persistent injection</w:t>
            </w:r>
          </w:p>
        </w:tc>
        <w:tc>
          <w:tcPr>
            <w:tcW w:type="dxa" w:w="3268"/>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81"/>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68"/>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81"/>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68"/>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81"/>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Best-of-N probing</w:t>
            </w:r>
          </w:p>
        </w:tc>
        <w:tc>
          <w:tcPr>
            <w:tcW w:type="dxa" w:w="3268"/>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3981"/>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(ASG‑16); injection screening (SEC‑13)</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Mandate abuse</w:t>
            </w:r>
          </w:p>
        </w:tc>
        <w:tc>
          <w:tcPr>
            <w:tcW w:type="dxa" w:w="3268"/>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3981"/>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Malicious shared assignment</w:t>
            </w:r>
          </w:p>
        </w:tc>
        <w:tc>
          <w:tcPr>
            <w:tcW w:type="dxa" w:w="3268"/>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81"/>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68"/>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81"/>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Token theft</w:t>
            </w:r>
          </w:p>
        </w:tc>
        <w:tc>
          <w:tcPr>
            <w:tcW w:type="dxa" w:w="3268"/>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81"/>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Agent impersonation</w:t>
            </w:r>
          </w:p>
        </w:tc>
        <w:tc>
          <w:tcPr>
            <w:tcW w:type="dxa" w:w="3268"/>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81"/>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Signing-key theft</w:t>
            </w:r>
          </w:p>
        </w:tc>
        <w:tc>
          <w:tcPr>
            <w:tcW w:type="dxa" w:w="3268"/>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81"/>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68"/>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81"/>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Cross-tenant leakage</w:t>
            </w:r>
          </w:p>
        </w:tc>
        <w:tc>
          <w:tcPr>
            <w:tcW w:type="dxa" w:w="3268"/>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81"/>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Malicious custom connector</w:t>
            </w:r>
          </w:p>
        </w:tc>
        <w:tc>
          <w:tcPr>
            <w:tcW w:type="dxa" w:w="3268"/>
            <w:tcMar>
              <w:top w:type="dxa" w:w="60"/>
              <w:left w:type="dxa" w:w="100"/>
              <w:bottom w:type="dxa" w:w="60"/>
              <w:right w:type="dxa" w:w="100"/>
            </w:tcMar>
          </w:tcPr>
          <w:p>
            <w:pPr>
              <w:spacing w:after="0" w:before="0" w:line="252"/>
            </w:pPr>
            <w:r>
              <w:rPr>
                <w:sz w:val="19"/>
                <w:szCs w:val="19"/>
              </w:rPr>
              <w:t xml:space="preserve">A connector exfiltrates data</w:t>
            </w:r>
          </w:p>
        </w:tc>
        <w:tc>
          <w:tcPr>
            <w:tcW w:type="dxa" w:w="3981"/>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Runaway cost</w:t>
            </w:r>
          </w:p>
        </w:tc>
        <w:tc>
          <w:tcPr>
            <w:tcW w:type="dxa" w:w="3268"/>
            <w:tcMar>
              <w:top w:type="dxa" w:w="60"/>
              <w:left w:type="dxa" w:w="100"/>
              <w:bottom w:type="dxa" w:w="60"/>
              <w:right w:type="dxa" w:w="100"/>
            </w:tcMar>
          </w:tcPr>
          <w:p>
            <w:pPr>
              <w:spacing w:after="0" w:before="0" w:line="252"/>
            </w:pPr>
            <w:r>
              <w:rPr>
                <w:sz w:val="19"/>
                <w:szCs w:val="19"/>
              </w:rPr>
              <w:t xml:space="preserve">A loop burns through tokens</w:t>
            </w:r>
          </w:p>
        </w:tc>
        <w:tc>
          <w:tcPr>
            <w:tcW w:type="dxa" w:w="3981"/>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Spoofed requester</w:t>
            </w:r>
          </w:p>
        </w:tc>
        <w:tc>
          <w:tcPr>
            <w:tcW w:type="dxa" w:w="3268"/>
            <w:tcMar>
              <w:top w:type="dxa" w:w="60"/>
              <w:left w:type="dxa" w:w="100"/>
              <w:bottom w:type="dxa" w:w="60"/>
              <w:right w:type="dxa" w:w="100"/>
            </w:tcMar>
          </w:tcPr>
          <w:p>
            <w:pPr>
              <w:spacing w:after="0" w:before="0" w:line="252"/>
            </w:pPr>
            <w:r>
              <w:rPr>
                <w:sz w:val="19"/>
                <w:szCs w:val="19"/>
              </w:rPr>
              <w:t xml:space="preserve">A fake email from "the boss"</w:t>
            </w:r>
          </w:p>
        </w:tc>
        <w:tc>
          <w:tcPr>
            <w:tcW w:type="dxa" w:w="3981"/>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w:t>
            </w:r>
          </w:p>
        </w:tc>
      </w:tr>
      <w:tr>
        <w:trPr>
          <w:tblHeader w:val="off"/>
        </w:trPr>
        <w:tc>
          <w:tcPr>
            <w:tcW w:type="dxa" w:w="2111"/>
            <w:tcMar>
              <w:top w:type="dxa" w:w="60"/>
              <w:left w:type="dxa" w:w="100"/>
              <w:bottom w:type="dxa" w:w="60"/>
              <w:right w:type="dxa" w:w="100"/>
            </w:tcMar>
          </w:tcPr>
          <w:p>
            <w:pPr>
              <w:spacing w:after="0" w:before="0" w:line="252"/>
            </w:pPr>
            <w:r>
              <w:rPr>
                <w:sz w:val="19"/>
                <w:szCs w:val="19"/>
              </w:rPr>
              <w:t xml:space="preserve">Unsafe physical action</w:t>
            </w:r>
          </w:p>
        </w:tc>
        <w:tc>
          <w:tcPr>
            <w:tcW w:type="dxa" w:w="3268"/>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81"/>
            <w:tcMar>
              <w:top w:type="dxa" w:w="60"/>
              <w:left w:type="dxa" w:w="100"/>
              <w:bottom w:type="dxa" w:w="60"/>
              <w:right w:type="dxa" w:w="100"/>
            </w:tcMar>
          </w:tcPr>
          <w:p>
            <w:pPr>
              <w:spacing w:after="0" w:before="0" w:line="252"/>
            </w:pPr>
            <w:r>
              <w:rPr>
                <w:sz w:val="19"/>
                <w:szCs w:val="19"/>
              </w:rPr>
              <w:t xml:space="preserve">Unlocking and disarming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sandboxed execution pending MR review)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(P2,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approved changes pending MR review)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 </w:t>
      </w:r>
      <w:r>
        <w:rPr>
          <w:i/>
          <w:iCs/>
        </w:rPr>
        <w:t xml:space="preserve">Pending MR review</w:t>
      </w:r>
      <w:r>
        <w:t xml:space="preserve"> marks requirements that depend on an amendment whose security review is still open (§1). They aren't built until it closes, so the beta runs entirely under the v0.7 wording.</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0"/>
        <w:gridCol w:w="2639"/>
        <w:gridCol w:w="2394"/>
        <w:gridCol w:w="1655"/>
        <w:gridCol w:w="1042"/>
      </w:tblGrid>
      <w:tr>
        <w:trPr>
          <w:tblHeader/>
        </w:trPr>
        <w:tc>
          <w:tcPr>
            <w:tcW w:type="dxa" w:w="1630"/>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639"/>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394"/>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655"/>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042"/>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Platforms (§5)</w:t>
            </w:r>
          </w:p>
        </w:tc>
        <w:tc>
          <w:tcPr>
            <w:tcW w:type="dxa" w:w="2639"/>
            <w:tcMar>
              <w:top w:type="dxa" w:w="60"/>
              <w:left w:type="dxa" w:w="100"/>
              <w:bottom w:type="dxa" w:w="60"/>
              <w:right w:type="dxa" w:w="100"/>
            </w:tcMar>
          </w:tcPr>
          <w:p>
            <w:pPr>
              <w:spacing w:after="0" w:before="0" w:line="252"/>
            </w:pPr>
            <w:r>
              <w:rPr>
                <w:sz w:val="19"/>
                <w:szCs w:val="19"/>
              </w:rPr>
              <w:t xml:space="preserve">PLT‑01 web only; PLT‑06</w:t>
            </w:r>
          </w:p>
        </w:tc>
        <w:tc>
          <w:tcPr>
            <w:tcW w:type="dxa" w:w="2394"/>
            <w:tcMar>
              <w:top w:type="dxa" w:w="60"/>
              <w:left w:type="dxa" w:w="100"/>
              <w:bottom w:type="dxa" w:w="60"/>
              <w:right w:type="dxa" w:w="100"/>
            </w:tcMar>
          </w:tcPr>
          <w:p>
            <w:pPr>
              <w:spacing w:after="0" w:before="0" w:line="252"/>
            </w:pPr>
            <w:r>
              <w:rPr>
                <w:sz w:val="19"/>
                <w:szCs w:val="19"/>
              </w:rPr>
              <w:t xml:space="preserve">PLT‑01 desktop and mobile; PLT‑02; PLT‑03 approvals, with notification and offline approvals pending MR review; PLT‑05</w:t>
            </w:r>
          </w:p>
        </w:tc>
        <w:tc>
          <w:tcPr>
            <w:tcW w:type="dxa" w:w="1655"/>
            <w:tcMar>
              <w:top w:type="dxa" w:w="60"/>
              <w:left w:type="dxa" w:w="100"/>
              <w:bottom w:type="dxa" w:w="60"/>
              <w:right w:type="dxa" w:w="100"/>
            </w:tcMar>
          </w:tcPr>
          <w:p>
            <w:pPr>
              <w:spacing w:after="0" w:before="0" w:line="252"/>
            </w:pPr>
            <w:r>
              <w:rPr>
                <w:sz w:val="19"/>
                <w:szCs w:val="19"/>
              </w:rPr>
              <w:t xml:space="preserve">PLT‑03 payment biometrics; PLT‑04</w:t>
            </w:r>
          </w:p>
        </w:tc>
        <w:tc>
          <w:tcPr>
            <w:tcW w:type="dxa" w:w="104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Connectors (§6)</w:t>
            </w:r>
          </w:p>
        </w:tc>
        <w:tc>
          <w:tcPr>
            <w:tcW w:type="dxa" w:w="2639"/>
            <w:tcMar>
              <w:top w:type="dxa" w:w="60"/>
              <w:left w:type="dxa" w:w="100"/>
              <w:bottom w:type="dxa" w:w="60"/>
              <w:right w:type="dxa" w:w="100"/>
            </w:tcMar>
          </w:tcPr>
          <w:p>
            <w:pPr>
              <w:spacing w:after="0" w:before="0" w:line="252"/>
            </w:pPr>
            <w:r>
              <w:rPr>
                <w:sz w:val="19"/>
                <w:szCs w:val="19"/>
              </w:rPr>
              <w:t xml:space="preserve">CON‑01–04, 06–10; CON‑05 personal credentials only if a partner needs it, with no service accounts; Graph plus at most 2 partner connectors, each with a full CON‑12 manifest; CON‑11's default label on every output; CON‑17–19 (alpha)</w:t>
            </w:r>
          </w:p>
        </w:tc>
        <w:tc>
          <w:tcPr>
            <w:tcW w:type="dxa" w:w="2394"/>
            <w:tcMar>
              <w:top w:type="dxa" w:w="60"/>
              <w:left w:type="dxa" w:w="100"/>
              <w:bottom w:type="dxa" w:w="60"/>
              <w:right w:type="dxa" w:w="100"/>
            </w:tcMar>
          </w:tcPr>
          <w:p>
            <w:pPr>
              <w:spacing w:after="0" w:before="0" w:line="252"/>
            </w:pPr>
            <w:r>
              <w:rPr>
                <w:sz w:val="19"/>
                <w:szCs w:val="19"/>
              </w:rPr>
              <w:t xml:space="preserve">CON‑05 service-account exception and CON‑06 directory polling (pending MR review); CON‑11 for every connector; CON‑12–15; CON‑20 (alpha); enterprise launch catalog</w:t>
            </w:r>
          </w:p>
        </w:tc>
        <w:tc>
          <w:tcPr>
            <w:tcW w:type="dxa" w:w="1655"/>
            <w:tcMar>
              <w:top w:type="dxa" w:w="60"/>
              <w:left w:type="dxa" w:w="100"/>
              <w:bottom w:type="dxa" w:w="60"/>
              <w:right w:type="dxa" w:w="100"/>
            </w:tcMar>
          </w:tcPr>
          <w:p>
            <w:pPr>
              <w:spacing w:after="0" w:before="0" w:line="252"/>
            </w:pPr>
            <w:r>
              <w:rPr>
                <w:sz w:val="19"/>
                <w:szCs w:val="19"/>
              </w:rPr>
              <w:t xml:space="preserve">Consumer catalog</w:t>
            </w:r>
          </w:p>
        </w:tc>
        <w:tc>
          <w:tcPr>
            <w:tcW w:type="dxa" w:w="1042"/>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Tasks and runtime (§7)</w:t>
            </w:r>
          </w:p>
        </w:tc>
        <w:tc>
          <w:tcPr>
            <w:tcW w:type="dxa" w:w="2639"/>
            <w:tcMar>
              <w:top w:type="dxa" w:w="60"/>
              <w:left w:type="dxa" w:w="100"/>
              <w:bottom w:type="dxa" w:w="60"/>
              <w:right w:type="dxa" w:w="100"/>
            </w:tcMar>
          </w:tcPr>
          <w:p>
            <w:pPr>
              <w:spacing w:after="0" w:before="0" w:line="252"/>
            </w:pPr>
            <w:r>
              <w:rPr>
                <w:sz w:val="19"/>
                <w:szCs w:val="19"/>
              </w:rPr>
              <w:t xml:space="preserve">ASG‑01, 02, 04–06, 09–15, 17; RUN‑01–09; every action, compensations included, approved under the v0.7 wording (§1)</w:t>
            </w:r>
          </w:p>
        </w:tc>
        <w:tc>
          <w:tcPr>
            <w:tcW w:type="dxa" w:w="2394"/>
            <w:tcMar>
              <w:top w:type="dxa" w:w="60"/>
              <w:left w:type="dxa" w:w="100"/>
              <w:bottom w:type="dxa" w:w="60"/>
              <w:right w:type="dxa" w:w="100"/>
            </w:tcMar>
          </w:tcPr>
          <w:p>
            <w:pPr>
              <w:spacing w:after="0" w:before="0" w:line="252"/>
            </w:pPr>
            <w:r>
              <w:rPr>
                <w:sz w:val="19"/>
                <w:szCs w:val="19"/>
              </w:rPr>
              <w:t xml:space="preserve">ASG‑03, 07, 08, 18–23; ASG‑16, 24 and RUN‑04 and RUN‑06 as amended (pending MR review)</w:t>
            </w:r>
          </w:p>
        </w:tc>
        <w:tc>
          <w:tcPr>
            <w:tcW w:type="dxa" w:w="1655"/>
            <w:tcMar>
              <w:top w:type="dxa" w:w="60"/>
              <w:left w:type="dxa" w:w="100"/>
              <w:bottom w:type="dxa" w:w="60"/>
              <w:right w:type="dxa" w:w="100"/>
            </w:tcMar>
          </w:tcPr>
          <w:p>
            <w:pPr>
              <w:spacing w:after="0" w:before="0" w:line="252"/>
            </w:pPr>
            <w:r>
              <w:rPr>
                <w:sz w:val="19"/>
                <w:szCs w:val="19"/>
              </w:rPr>
              <w:t xml:space="preserve">—</w:t>
            </w:r>
          </w:p>
        </w:tc>
        <w:tc>
          <w:tcPr>
            <w:tcW w:type="dxa" w:w="104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Budgets (§8)</w:t>
            </w:r>
          </w:p>
        </w:tc>
        <w:tc>
          <w:tcPr>
            <w:tcW w:type="dxa" w:w="2639"/>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394"/>
            <w:tcMar>
              <w:top w:type="dxa" w:w="60"/>
              <w:left w:type="dxa" w:w="100"/>
              <w:bottom w:type="dxa" w:w="60"/>
              <w:right w:type="dxa" w:w="100"/>
            </w:tcMar>
          </w:tcPr>
          <w:p>
            <w:pPr>
              <w:spacing w:after="0" w:before="0" w:line="252"/>
            </w:pPr>
            <w:r>
              <w:rPr>
                <w:sz w:val="19"/>
                <w:szCs w:val="19"/>
              </w:rPr>
              <w:t xml:space="preserve">BUD‑06 groups; BUD‑07, 09</w:t>
            </w:r>
          </w:p>
        </w:tc>
        <w:tc>
          <w:tcPr>
            <w:tcW w:type="dxa" w:w="1655"/>
            <w:tcMar>
              <w:top w:type="dxa" w:w="60"/>
              <w:left w:type="dxa" w:w="100"/>
              <w:bottom w:type="dxa" w:w="60"/>
              <w:right w:type="dxa" w:w="100"/>
            </w:tcMar>
          </w:tcPr>
          <w:p>
            <w:pPr>
              <w:spacing w:after="0" w:before="0" w:line="252"/>
            </w:pPr>
            <w:r>
              <w:rPr>
                <w:sz w:val="19"/>
                <w:szCs w:val="19"/>
              </w:rPr>
              <w:t xml:space="preserve">Account cap</w:t>
            </w:r>
          </w:p>
        </w:tc>
        <w:tc>
          <w:tcPr>
            <w:tcW w:type="dxa" w:w="104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Router, supervisor, inventory (§9)</w:t>
            </w:r>
          </w:p>
        </w:tc>
        <w:tc>
          <w:tcPr>
            <w:tcW w:type="dxa" w:w="2639"/>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394"/>
            <w:tcMar>
              <w:top w:type="dxa" w:w="60"/>
              <w:left w:type="dxa" w:w="100"/>
              <w:bottom w:type="dxa" w:w="60"/>
              <w:right w:type="dxa" w:w="100"/>
            </w:tcMar>
          </w:tcPr>
          <w:p>
            <w:pPr>
              <w:spacing w:after="0" w:before="0" w:line="252"/>
            </w:pPr>
            <w:r>
              <w:rPr>
                <w:sz w:val="19"/>
                <w:szCs w:val="19"/>
              </w:rPr>
              <w:t xml:space="preserve">RTR‑06; SUP‑05; INV‑04</w:t>
            </w:r>
          </w:p>
        </w:tc>
        <w:tc>
          <w:tcPr>
            <w:tcW w:type="dxa" w:w="1655"/>
            <w:tcMar>
              <w:top w:type="dxa" w:w="60"/>
              <w:left w:type="dxa" w:w="100"/>
              <w:bottom w:type="dxa" w:w="60"/>
              <w:right w:type="dxa" w:w="100"/>
            </w:tcMar>
          </w:tcPr>
          <w:p>
            <w:pPr>
              <w:spacing w:after="0" w:before="0" w:line="252"/>
            </w:pPr>
            <w:r>
              <w:rPr>
                <w:sz w:val="19"/>
                <w:szCs w:val="19"/>
              </w:rPr>
              <w:t xml:space="preserve">—</w:t>
            </w:r>
          </w:p>
        </w:tc>
        <w:tc>
          <w:tcPr>
            <w:tcW w:type="dxa" w:w="1042"/>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Templates (§10)</w:t>
            </w:r>
          </w:p>
        </w:tc>
        <w:tc>
          <w:tcPr>
            <w:tcW w:type="dxa" w:w="2639"/>
            <w:tcMar>
              <w:top w:type="dxa" w:w="60"/>
              <w:left w:type="dxa" w:w="100"/>
              <w:bottom w:type="dxa" w:w="60"/>
              <w:right w:type="dxa" w:w="100"/>
            </w:tcMar>
          </w:tcPr>
          <w:p>
            <w:pPr>
              <w:spacing w:after="0" w:before="0" w:line="252"/>
            </w:pPr>
            <w:r>
              <w:rPr>
                <w:sz w:val="19"/>
                <w:szCs w:val="19"/>
              </w:rPr>
              <w:t xml:space="preserve">—</w:t>
            </w:r>
          </w:p>
        </w:tc>
        <w:tc>
          <w:tcPr>
            <w:tcW w:type="dxa" w:w="2394"/>
            <w:tcMar>
              <w:top w:type="dxa" w:w="60"/>
              <w:left w:type="dxa" w:w="100"/>
              <w:bottom w:type="dxa" w:w="60"/>
              <w:right w:type="dxa" w:w="100"/>
            </w:tcMar>
          </w:tcPr>
          <w:p>
            <w:pPr>
              <w:spacing w:after="0" w:before="0" w:line="252"/>
            </w:pPr>
            <w:r>
              <w:rPr>
                <w:sz w:val="19"/>
                <w:szCs w:val="19"/>
              </w:rPr>
              <w:t xml:space="preserve">TPL‑01–07</w:t>
            </w:r>
          </w:p>
        </w:tc>
        <w:tc>
          <w:tcPr>
            <w:tcW w:type="dxa" w:w="1655"/>
            <w:tcMar>
              <w:top w:type="dxa" w:w="60"/>
              <w:left w:type="dxa" w:w="100"/>
              <w:bottom w:type="dxa" w:w="60"/>
              <w:right w:type="dxa" w:w="100"/>
            </w:tcMar>
          </w:tcPr>
          <w:p>
            <w:pPr>
              <w:spacing w:after="0" w:before="0" w:line="252"/>
            </w:pPr>
            <w:r>
              <w:rPr>
                <w:sz w:val="19"/>
                <w:szCs w:val="19"/>
              </w:rPr>
              <w:t xml:space="preserve">—</w:t>
            </w:r>
          </w:p>
        </w:tc>
        <w:tc>
          <w:tcPr>
            <w:tcW w:type="dxa" w:w="1042"/>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Scheduling and triggers (§11)</w:t>
            </w:r>
          </w:p>
        </w:tc>
        <w:tc>
          <w:tcPr>
            <w:tcW w:type="dxa" w:w="2639"/>
            <w:tcMar>
              <w:top w:type="dxa" w:w="60"/>
              <w:left w:type="dxa" w:w="100"/>
              <w:bottom w:type="dxa" w:w="60"/>
              <w:right w:type="dxa" w:w="100"/>
            </w:tcMar>
          </w:tcPr>
          <w:p>
            <w:pPr>
              <w:spacing w:after="0" w:before="0" w:line="252"/>
            </w:pPr>
            <w:r>
              <w:rPr>
                <w:sz w:val="19"/>
                <w:szCs w:val="19"/>
              </w:rPr>
              <w:t xml:space="preserve">SCH‑03 mail events</w:t>
            </w:r>
          </w:p>
        </w:tc>
        <w:tc>
          <w:tcPr>
            <w:tcW w:type="dxa" w:w="2394"/>
            <w:tcMar>
              <w:top w:type="dxa" w:w="60"/>
              <w:left w:type="dxa" w:w="100"/>
              <w:bottom w:type="dxa" w:w="60"/>
              <w:right w:type="dxa" w:w="100"/>
            </w:tcMar>
          </w:tcPr>
          <w:p>
            <w:pPr>
              <w:spacing w:after="0" w:before="0" w:line="252"/>
            </w:pPr>
            <w:r>
              <w:rPr>
                <w:sz w:val="19"/>
                <w:szCs w:val="19"/>
              </w:rPr>
              <w:t xml:space="preserve">SCH‑01, 02, 07, 08</w:t>
            </w:r>
          </w:p>
        </w:tc>
        <w:tc>
          <w:tcPr>
            <w:tcW w:type="dxa" w:w="1655"/>
            <w:tcMar>
              <w:top w:type="dxa" w:w="60"/>
              <w:left w:type="dxa" w:w="100"/>
              <w:bottom w:type="dxa" w:w="60"/>
              <w:right w:type="dxa" w:w="100"/>
            </w:tcMar>
          </w:tcPr>
          <w:p>
            <w:pPr>
              <w:spacing w:after="0" w:before="0" w:line="252"/>
            </w:pPr>
            <w:r>
              <w:rPr>
                <w:sz w:val="19"/>
                <w:szCs w:val="19"/>
              </w:rPr>
              <w:t xml:space="preserve">SCH‑04–06</w:t>
            </w:r>
          </w:p>
        </w:tc>
        <w:tc>
          <w:tcPr>
            <w:tcW w:type="dxa" w:w="104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Q&amp;A and chat (§12)</w:t>
            </w:r>
          </w:p>
        </w:tc>
        <w:tc>
          <w:tcPr>
            <w:tcW w:type="dxa" w:w="2639"/>
            <w:tcMar>
              <w:top w:type="dxa" w:w="60"/>
              <w:left w:type="dxa" w:w="100"/>
              <w:bottom w:type="dxa" w:w="60"/>
              <w:right w:type="dxa" w:w="100"/>
            </w:tcMar>
          </w:tcPr>
          <w:p>
            <w:pPr>
              <w:spacing w:after="0" w:before="0" w:line="252"/>
            </w:pPr>
            <w:r>
              <w:rPr>
                <w:sz w:val="19"/>
                <w:szCs w:val="19"/>
              </w:rPr>
              <w:t xml:space="preserve">QA‑01–03</w:t>
            </w:r>
          </w:p>
        </w:tc>
        <w:tc>
          <w:tcPr>
            <w:tcW w:type="dxa" w:w="2394"/>
            <w:tcMar>
              <w:top w:type="dxa" w:w="60"/>
              <w:left w:type="dxa" w:w="100"/>
              <w:bottom w:type="dxa" w:w="60"/>
              <w:right w:type="dxa" w:w="100"/>
            </w:tcMar>
          </w:tcPr>
          <w:p>
            <w:pPr>
              <w:spacing w:after="0" w:before="0" w:line="252"/>
            </w:pPr>
            <w:r>
              <w:rPr>
                <w:sz w:val="19"/>
                <w:szCs w:val="19"/>
              </w:rPr>
              <w:t xml:space="preserve">QA‑04–06</w:t>
            </w:r>
          </w:p>
        </w:tc>
        <w:tc>
          <w:tcPr>
            <w:tcW w:type="dxa" w:w="1655"/>
            <w:tcMar>
              <w:top w:type="dxa" w:w="60"/>
              <w:left w:type="dxa" w:w="100"/>
              <w:bottom w:type="dxa" w:w="60"/>
              <w:right w:type="dxa" w:w="100"/>
            </w:tcMar>
          </w:tcPr>
          <w:p>
            <w:pPr>
              <w:spacing w:after="0" w:before="0" w:line="252"/>
            </w:pPr>
            <w:r>
              <w:rPr>
                <w:sz w:val="19"/>
                <w:szCs w:val="19"/>
              </w:rPr>
              <w:t xml:space="preserve">QA‑07</w:t>
            </w:r>
          </w:p>
        </w:tc>
        <w:tc>
          <w:tcPr>
            <w:tcW w:type="dxa" w:w="104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Admin and providers (§13)</w:t>
            </w:r>
          </w:p>
        </w:tc>
        <w:tc>
          <w:tcPr>
            <w:tcW w:type="dxa" w:w="2639"/>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394"/>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655"/>
            <w:tcMar>
              <w:top w:type="dxa" w:w="60"/>
              <w:left w:type="dxa" w:w="100"/>
              <w:bottom w:type="dxa" w:w="60"/>
              <w:right w:type="dxa" w:w="100"/>
            </w:tcMar>
          </w:tcPr>
          <w:p>
            <w:pPr>
              <w:spacing w:after="0" w:before="0" w:line="252"/>
            </w:pPr>
            <w:r>
              <w:rPr>
                <w:sz w:val="19"/>
                <w:szCs w:val="19"/>
              </w:rPr>
              <w:t xml:space="preserve">Consumer sign-in</w:t>
            </w:r>
          </w:p>
        </w:tc>
        <w:tc>
          <w:tcPr>
            <w:tcW w:type="dxa" w:w="1042"/>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Payments (§14)</w:t>
            </w:r>
          </w:p>
        </w:tc>
        <w:tc>
          <w:tcPr>
            <w:tcW w:type="dxa" w:w="2639"/>
            <w:tcMar>
              <w:top w:type="dxa" w:w="60"/>
              <w:left w:type="dxa" w:w="100"/>
              <w:bottom w:type="dxa" w:w="60"/>
              <w:right w:type="dxa" w:w="100"/>
            </w:tcMar>
          </w:tcPr>
          <w:p>
            <w:pPr>
              <w:spacing w:after="0" w:before="0" w:line="252"/>
            </w:pPr>
            <w:r>
              <w:rPr>
                <w:sz w:val="19"/>
                <w:szCs w:val="19"/>
              </w:rPr>
              <w:t xml:space="preserve">—</w:t>
            </w:r>
          </w:p>
        </w:tc>
        <w:tc>
          <w:tcPr>
            <w:tcW w:type="dxa" w:w="2394"/>
            <w:tcMar>
              <w:top w:type="dxa" w:w="60"/>
              <w:left w:type="dxa" w:w="100"/>
              <w:bottom w:type="dxa" w:w="60"/>
              <w:right w:type="dxa" w:w="100"/>
            </w:tcMar>
          </w:tcPr>
          <w:p>
            <w:pPr>
              <w:spacing w:after="0" w:before="0" w:line="252"/>
            </w:pPr>
            <w:r>
              <w:rPr>
                <w:sz w:val="19"/>
                <w:szCs w:val="19"/>
              </w:rPr>
              <w:t xml:space="preserve">—</w:t>
            </w:r>
          </w:p>
        </w:tc>
        <w:tc>
          <w:tcPr>
            <w:tcW w:type="dxa" w:w="1655"/>
            <w:tcMar>
              <w:top w:type="dxa" w:w="60"/>
              <w:left w:type="dxa" w:w="100"/>
              <w:bottom w:type="dxa" w:w="60"/>
              <w:right w:type="dxa" w:w="100"/>
            </w:tcMar>
          </w:tcPr>
          <w:p>
            <w:pPr>
              <w:spacing w:after="0" w:before="0" w:line="252"/>
            </w:pPr>
            <w:r>
              <w:rPr>
                <w:sz w:val="19"/>
                <w:szCs w:val="19"/>
              </w:rPr>
              <w:t xml:space="preserve">PAY‑01, 02, 04–07; PAY‑03, 08 (pending MR review)</w:t>
            </w:r>
          </w:p>
        </w:tc>
        <w:tc>
          <w:tcPr>
            <w:tcW w:type="dxa" w:w="1042"/>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Security and privacy (§15)</w:t>
            </w:r>
          </w:p>
        </w:tc>
        <w:tc>
          <w:tcPr>
            <w:tcW w:type="dxa" w:w="2639"/>
            <w:tcMar>
              <w:top w:type="dxa" w:w="60"/>
              <w:left w:type="dxa" w:w="100"/>
              <w:bottom w:type="dxa" w:w="60"/>
              <w:right w:type="dxa" w:w="100"/>
            </w:tcMar>
          </w:tcPr>
          <w:p>
            <w:pPr>
              <w:spacing w:after="0" w:before="0" w:line="252"/>
            </w:pPr>
            <w:r>
              <w:rPr>
                <w:sz w:val="19"/>
                <w:szCs w:val="19"/>
              </w:rPr>
              <w:t xml:space="preserve">SEC‑01 without customer-managed keys; SEC‑02–04, 07–18, with SEC‑14, 15 and 16 in their v0.7 form (§1)</w:t>
            </w:r>
          </w:p>
        </w:tc>
        <w:tc>
          <w:tcPr>
            <w:tcW w:type="dxa" w:w="2394"/>
            <w:tcMar>
              <w:top w:type="dxa" w:w="60"/>
              <w:left w:type="dxa" w:w="100"/>
              <w:bottom w:type="dxa" w:w="60"/>
              <w:right w:type="dxa" w:w="100"/>
            </w:tcMar>
          </w:tcPr>
          <w:p>
            <w:pPr>
              <w:spacing w:after="0" w:before="0" w:line="252"/>
            </w:pPr>
            <w:r>
              <w:rPr>
                <w:sz w:val="19"/>
                <w:szCs w:val="19"/>
              </w:rPr>
              <w:t xml:space="preserve">SEC‑01 customer-managed keys; SEC‑05; SEC‑14, 15 and 16 as amended (pending MR review)</w:t>
            </w:r>
          </w:p>
        </w:tc>
        <w:tc>
          <w:tcPr>
            <w:tcW w:type="dxa" w:w="1655"/>
            <w:tcMar>
              <w:top w:type="dxa" w:w="60"/>
              <w:left w:type="dxa" w:w="100"/>
              <w:bottom w:type="dxa" w:w="60"/>
              <w:right w:type="dxa" w:w="100"/>
            </w:tcMar>
          </w:tcPr>
          <w:p>
            <w:pPr>
              <w:spacing w:after="0" w:before="0" w:line="252"/>
            </w:pPr>
            <w:r>
              <w:rPr>
                <w:sz w:val="19"/>
                <w:szCs w:val="19"/>
              </w:rPr>
              <w:t xml:space="preserve">SEC‑06</w:t>
            </w:r>
          </w:p>
        </w:tc>
        <w:tc>
          <w:tcPr>
            <w:tcW w:type="dxa" w:w="104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630"/>
            <w:tcMar>
              <w:top w:type="dxa" w:w="60"/>
              <w:left w:type="dxa" w:w="100"/>
              <w:bottom w:type="dxa" w:w="60"/>
              <w:right w:type="dxa" w:w="100"/>
            </w:tcMar>
          </w:tcPr>
          <w:p>
            <w:pPr>
              <w:spacing w:after="0" w:before="0" w:line="252"/>
            </w:pPr>
            <w:r>
              <w:rPr>
                <w:sz w:val="19"/>
                <w:szCs w:val="19"/>
              </w:rPr>
              <w:t xml:space="preserve">Non-functional (§17)</w:t>
            </w:r>
          </w:p>
        </w:tc>
        <w:tc>
          <w:tcPr>
            <w:tcW w:type="dxa" w:w="2639"/>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394"/>
            <w:tcMar>
              <w:top w:type="dxa" w:w="60"/>
              <w:left w:type="dxa" w:w="100"/>
              <w:bottom w:type="dxa" w:w="60"/>
              <w:right w:type="dxa" w:w="100"/>
            </w:tcMar>
          </w:tcPr>
          <w:p>
            <w:pPr>
              <w:spacing w:after="0" w:before="0" w:line="252"/>
            </w:pPr>
            <w:r>
              <w:rPr>
                <w:sz w:val="19"/>
                <w:szCs w:val="19"/>
              </w:rPr>
              <w:t xml:space="preserve">All rows</w:t>
            </w:r>
          </w:p>
        </w:tc>
        <w:tc>
          <w:tcPr>
            <w:tcW w:type="dxa" w:w="1655"/>
            <w:tcMar>
              <w:top w:type="dxa" w:w="60"/>
              <w:left w:type="dxa" w:w="100"/>
              <w:bottom w:type="dxa" w:w="60"/>
              <w:right w:type="dxa" w:w="100"/>
            </w:tcMar>
          </w:tcPr>
          <w:p>
            <w:pPr>
              <w:spacing w:after="0" w:before="0" w:line="252"/>
            </w:pPr>
            <w:r>
              <w:rPr>
                <w:sz w:val="19"/>
                <w:szCs w:val="19"/>
              </w:rPr>
              <w:t xml:space="preserve">Home scale</w:t>
            </w:r>
          </w:p>
        </w:tc>
        <w:tc>
          <w:tcPr>
            <w:tcW w:type="dxa" w:w="1042"/>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 The beta runs entirely under the master rules' v0.7 wording (§1): every action, compensations included, is approved in a live session, and the beta has no mandates, service accounts, model-written code or queries, or security changes.</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mandates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8"/>
        <w:gridCol w:w="3032"/>
        <w:gridCol w:w="4790"/>
      </w:tblGrid>
      <w:tr>
        <w:trPr>
          <w:tblHeader/>
        </w:trPr>
        <w:tc>
          <w:tcPr>
            <w:tcW w:type="dxa" w:w="1538"/>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032"/>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790"/>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Queue owner</w:t>
            </w:r>
          </w:p>
        </w:tc>
        <w:tc>
          <w:tcPr>
            <w:tcW w:type="dxa" w:w="3032"/>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790"/>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Delegate approver</w:t>
            </w:r>
          </w:p>
        </w:tc>
        <w:tc>
          <w:tcPr>
            <w:tcW w:type="dxa" w:w="3032"/>
            <w:tcMar>
              <w:top w:type="dxa" w:w="60"/>
              <w:left w:type="dxa" w:w="100"/>
              <w:bottom w:type="dxa" w:w="60"/>
              <w:right w:type="dxa" w:w="100"/>
            </w:tcMar>
          </w:tcPr>
          <w:p>
            <w:pPr>
              <w:spacing w:after="0" w:before="0" w:line="252"/>
            </w:pPr>
            <w:r>
              <w:rPr>
                <w:sz w:val="19"/>
                <w:szCs w:val="19"/>
              </w:rPr>
              <w:t xml:space="preserve">Named by the queue owner; must pass SEC‑08 visibility for the item</w:t>
            </w:r>
          </w:p>
        </w:tc>
        <w:tc>
          <w:tcPr>
            <w:tcW w:type="dxa" w:w="4790"/>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Custodian</w:t>
            </w:r>
          </w:p>
        </w:tc>
        <w:tc>
          <w:tcPr>
            <w:tcW w:type="dxa" w:w="3032"/>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790"/>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Requester</w:t>
            </w:r>
          </w:p>
        </w:tc>
        <w:tc>
          <w:tcPr>
            <w:tcW w:type="dxa" w:w="3032"/>
            <w:tcMar>
              <w:top w:type="dxa" w:w="60"/>
              <w:left w:type="dxa" w:w="100"/>
              <w:bottom w:type="dxa" w:w="60"/>
              <w:right w:type="dxa" w:w="100"/>
            </w:tcMar>
          </w:tcPr>
          <w:p>
            <w:pPr>
              <w:spacing w:after="0" w:before="0" w:line="252"/>
            </w:pPr>
            <w:r>
              <w:rPr>
                <w:sz w:val="19"/>
                <w:szCs w:val="19"/>
              </w:rPr>
              <w:t xml:space="preserve">The email's sender</w:t>
            </w:r>
          </w:p>
        </w:tc>
        <w:tc>
          <w:tcPr>
            <w:tcW w:type="dxa" w:w="4790"/>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538"/>
            <w:tcMar>
              <w:top w:type="dxa" w:w="60"/>
              <w:left w:type="dxa" w:w="100"/>
              <w:bottom w:type="dxa" w:w="60"/>
              <w:right w:type="dxa" w:w="100"/>
            </w:tcMar>
          </w:tcPr>
          <w:p>
            <w:pPr>
              <w:spacing w:after="0" w:before="0" w:line="252"/>
            </w:pPr>
            <w:r>
              <w:rPr>
                <w:sz w:val="19"/>
                <w:szCs w:val="19"/>
              </w:rPr>
              <w:t xml:space="preserve">Tenant admin</w:t>
            </w:r>
          </w:p>
        </w:tc>
        <w:tc>
          <w:tcPr>
            <w:tcW w:type="dxa" w:w="3032"/>
            <w:tcMar>
              <w:top w:type="dxa" w:w="60"/>
              <w:left w:type="dxa" w:w="100"/>
              <w:bottom w:type="dxa" w:w="60"/>
              <w:right w:type="dxa" w:w="100"/>
            </w:tcMar>
          </w:tcPr>
          <w:p>
            <w:pPr>
              <w:spacing w:after="0" w:before="0" w:line="252"/>
            </w:pPr>
            <w:r>
              <w:rPr>
                <w:sz w:val="19"/>
                <w:szCs w:val="19"/>
              </w:rPr>
              <w:t xml:space="preserve">Customer administrator</w:t>
            </w:r>
          </w:p>
        </w:tc>
        <w:tc>
          <w:tcPr>
            <w:tcW w:type="dxa" w:w="4790"/>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2"/>
        <w:gridCol w:w="1333"/>
        <w:gridCol w:w="1991"/>
        <w:gridCol w:w="2894"/>
      </w:tblGrid>
      <w:tr>
        <w:trPr>
          <w:tblHeader/>
        </w:trPr>
        <w:tc>
          <w:tcPr>
            <w:tcW w:type="dxa" w:w="3142"/>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333"/>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1991"/>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894"/>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35%</w:t>
            </w:r>
          </w:p>
        </w:tc>
        <w:tc>
          <w:tcPr>
            <w:tcW w:type="dxa" w:w="2894"/>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60%</w:t>
            </w:r>
          </w:p>
        </w:tc>
        <w:tc>
          <w:tcPr>
            <w:tcW w:type="dxa" w:w="2894"/>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333"/>
            <w:tcMar>
              <w:top w:type="dxa" w:w="60"/>
              <w:left w:type="dxa" w:w="100"/>
              <w:bottom w:type="dxa" w:w="60"/>
              <w:right w:type="dxa" w:w="100"/>
            </w:tcMar>
          </w:tcPr>
          <w:p>
            <w:pPr>
              <w:spacing w:after="0" w:before="0" w:line="252"/>
            </w:pPr>
            <w:r>
              <w:rPr>
                <w:sz w:val="19"/>
                <w:szCs w:val="19"/>
              </w:rPr>
              <w:t xml:space="preserve">Leading</w:t>
            </w:r>
          </w:p>
        </w:tc>
        <w:tc>
          <w:tcPr>
            <w:tcW w:type="dxa" w:w="1991"/>
            <w:tcMar>
              <w:top w:type="dxa" w:w="60"/>
              <w:left w:type="dxa" w:w="100"/>
              <w:bottom w:type="dxa" w:w="60"/>
              <w:right w:type="dxa" w:w="100"/>
            </w:tcMar>
          </w:tcPr>
          <w:p>
            <w:pPr>
              <w:spacing w:after="0" w:before="0" w:line="252"/>
            </w:pPr>
            <w:r>
              <w:rPr>
                <w:sz w:val="19"/>
                <w:szCs w:val="19"/>
              </w:rPr>
              <w:t xml:space="preserve">&lt;10 min (Home), &lt;1 h (Enterprise)</w:t>
            </w:r>
          </w:p>
        </w:tc>
        <w:tc>
          <w:tcPr>
            <w:tcW w:type="dxa" w:w="2894"/>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≤10%, upper 95% bound ≤15%</w:t>
            </w:r>
          </w:p>
        </w:tc>
        <w:tc>
          <w:tcPr>
            <w:tcW w:type="dxa" w:w="2894"/>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&lt;2%</w:t>
            </w:r>
          </w:p>
        </w:tc>
        <w:tc>
          <w:tcPr>
            <w:tcW w:type="dxa" w:w="2894"/>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≥80%</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≥90%</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≤10% of interventions</w:t>
            </w:r>
          </w:p>
        </w:tc>
        <w:tc>
          <w:tcPr>
            <w:tcW w:type="dxa" w:w="2894"/>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Supervision cost share</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≤15% of run cost</w:t>
            </w:r>
          </w:p>
        </w:tc>
        <w:tc>
          <w:tcPr>
            <w:tcW w:type="dxa" w:w="2894"/>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333"/>
            <w:tcMar>
              <w:top w:type="dxa" w:w="60"/>
              <w:left w:type="dxa" w:w="100"/>
              <w:bottom w:type="dxa" w:w="60"/>
              <w:right w:type="dxa" w:w="100"/>
            </w:tcMar>
          </w:tcPr>
          <w:p>
            <w:pPr>
              <w:spacing w:after="0" w:before="0" w:line="252"/>
            </w:pPr>
            <w:r>
              <w:rPr>
                <w:sz w:val="19"/>
                <w:szCs w:val="19"/>
              </w:rPr>
              <w:t xml:space="preserve">Quality</w:t>
            </w:r>
          </w:p>
        </w:tc>
        <w:tc>
          <w:tcPr>
            <w:tcW w:type="dxa" w:w="1991"/>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894"/>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333"/>
            <w:tcMar>
              <w:top w:type="dxa" w:w="60"/>
              <w:left w:type="dxa" w:w="100"/>
              <w:bottom w:type="dxa" w:w="60"/>
              <w:right w:type="dxa" w:w="100"/>
            </w:tcMar>
          </w:tcPr>
          <w:p>
            <w:pPr>
              <w:spacing w:after="0" w:before="0" w:line="252"/>
            </w:pPr>
            <w:r>
              <w:rPr>
                <w:sz w:val="19"/>
                <w:szCs w:val="19"/>
              </w:rPr>
              <w:t xml:space="preserve">Lagging</w:t>
            </w:r>
          </w:p>
        </w:tc>
        <w:tc>
          <w:tcPr>
            <w:tcW w:type="dxa" w:w="1991"/>
            <w:tcMar>
              <w:top w:type="dxa" w:w="60"/>
              <w:left w:type="dxa" w:w="100"/>
              <w:bottom w:type="dxa" w:w="60"/>
              <w:right w:type="dxa" w:w="100"/>
            </w:tcMar>
          </w:tcPr>
          <w:p>
            <w:pPr>
              <w:spacing w:after="0" w:before="0" w:line="252"/>
            </w:pPr>
            <w:r>
              <w:rPr>
                <w:sz w:val="19"/>
                <w:szCs w:val="19"/>
              </w:rPr>
              <w:t xml:space="preserve">50%</w:t>
            </w:r>
          </w:p>
        </w:tc>
        <w:tc>
          <w:tcPr>
            <w:tcW w:type="dxa" w:w="2894"/>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Enterprise seats active weekly</w:t>
            </w:r>
          </w:p>
        </w:tc>
        <w:tc>
          <w:tcPr>
            <w:tcW w:type="dxa" w:w="1333"/>
            <w:tcMar>
              <w:top w:type="dxa" w:w="60"/>
              <w:left w:type="dxa" w:w="100"/>
              <w:bottom w:type="dxa" w:w="60"/>
              <w:right w:type="dxa" w:w="100"/>
            </w:tcMar>
          </w:tcPr>
          <w:p>
            <w:pPr>
              <w:spacing w:after="0" w:before="0" w:line="252"/>
            </w:pPr>
            <w:r>
              <w:rPr>
                <w:sz w:val="19"/>
                <w:szCs w:val="19"/>
              </w:rPr>
              <w:t xml:space="preserve">Lagging</w:t>
            </w:r>
          </w:p>
        </w:tc>
        <w:tc>
          <w:tcPr>
            <w:tcW w:type="dxa" w:w="1991"/>
            <w:tcMar>
              <w:top w:type="dxa" w:w="60"/>
              <w:left w:type="dxa" w:w="100"/>
              <w:bottom w:type="dxa" w:w="60"/>
              <w:right w:type="dxa" w:w="100"/>
            </w:tcMar>
          </w:tcPr>
          <w:p>
            <w:pPr>
              <w:spacing w:after="0" w:before="0" w:line="252"/>
            </w:pPr>
            <w:r>
              <w:rPr>
                <w:sz w:val="19"/>
                <w:szCs w:val="19"/>
              </w:rPr>
              <w:t xml:space="preserve">60% of licensed</w:t>
            </w:r>
          </w:p>
        </w:tc>
        <w:tc>
          <w:tcPr>
            <w:tcW w:type="dxa" w:w="2894"/>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Master-rule violations (§1)</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Each rule's detection rule (master-rule checks, below); a rule without a detection rule never counts as zero</w:t>
            </w:r>
          </w:p>
        </w:tc>
      </w:tr>
      <w:tr>
        <w:trPr>
          <w:tblHeader w:val="off"/>
        </w:trPr>
        <w:tc>
          <w:tcPr>
            <w:tcW w:type="dxa" w:w="3142"/>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333"/>
            <w:tcMar>
              <w:top w:type="dxa" w:w="60"/>
              <w:left w:type="dxa" w:w="100"/>
              <w:bottom w:type="dxa" w:w="60"/>
              <w:right w:type="dxa" w:w="100"/>
            </w:tcMar>
          </w:tcPr>
          <w:p>
            <w:pPr>
              <w:spacing w:after="0" w:before="0" w:line="252"/>
            </w:pPr>
            <w:r>
              <w:rPr>
                <w:sz w:val="19"/>
                <w:szCs w:val="19"/>
              </w:rPr>
              <w:t xml:space="preserve">Guardrail</w:t>
            </w:r>
          </w:p>
        </w:tc>
        <w:tc>
          <w:tcPr>
            <w:tcW w:type="dxa" w:w="1991"/>
            <w:tcMar>
              <w:top w:type="dxa" w:w="60"/>
              <w:left w:type="dxa" w:w="100"/>
              <w:bottom w:type="dxa" w:w="60"/>
              <w:right w:type="dxa" w:w="100"/>
            </w:tcMar>
          </w:tcPr>
          <w:p>
            <w:pPr>
              <w:spacing w:after="0" w:before="0" w:line="252"/>
            </w:pPr>
            <w:r>
              <w:rPr>
                <w:sz w:val="19"/>
                <w:szCs w:val="19"/>
              </w:rPr>
              <w:t xml:space="preserve">0</w:t>
            </w:r>
          </w:p>
        </w:tc>
        <w:tc>
          <w:tcPr>
            <w:tcW w:type="dxa" w:w="2894"/>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r>
        <w:rPr>
          <w:b/>
          <w:bCs/>
        </w:rPr>
        <w:t xml:space="preserve">Master-rule checks.</w:t>
      </w:r>
      <w:r>
        <w:t xml:space="preserve"> Each rule has a release test, which gate 0 and every later release require to pass, and a production detection rule, which feeds the master-rule guardrail above. Detection runs over the gateway log, the audit log and the run, effect and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9"/>
        <w:gridCol w:w="4699"/>
        <w:gridCol w:w="3762"/>
      </w:tblGrid>
      <w:tr>
        <w:trPr>
          <w:tblHeader/>
        </w:trPr>
        <w:tc>
          <w:tcPr>
            <w:tcW w:type="dxa" w:w="89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699"/>
            <w:shd w:fill="F2F2F2" w:color="auto" w:val="clear"/>
            <w:tcMar>
              <w:top w:type="dxa" w:w="60"/>
              <w:left w:type="dxa" w:w="100"/>
              <w:bottom w:type="dxa" w:w="60"/>
              <w:right w:type="dxa" w:w="100"/>
            </w:tcMar>
          </w:tcPr>
          <w:p>
            <w:pPr>
              <w:spacing w:after="0" w:before="0" w:line="252"/>
            </w:pPr>
            <w:r>
              <w:rPr>
                <w:b/>
                <w:bCs/>
                <w:sz w:val="19"/>
                <w:szCs w:val="19"/>
              </w:rPr>
              <w:t xml:space="preserve">Release test fails if</w:t>
            </w:r>
          </w:p>
        </w:tc>
        <w:tc>
          <w:tcPr>
            <w:tcW w:type="dxa" w:w="3762"/>
            <w:shd w:fill="F2F2F2" w:color="auto" w:val="clear"/>
            <w:tcMar>
              <w:top w:type="dxa" w:w="60"/>
              <w:left w:type="dxa" w:w="100"/>
              <w:bottom w:type="dxa" w:w="60"/>
              <w:right w:type="dxa" w:w="100"/>
            </w:tcMar>
          </w:tcPr>
          <w:p>
            <w:pPr>
              <w:spacing w:after="0" w:before="0" w:line="252"/>
            </w:pPr>
            <w:r>
              <w:rPr>
                <w:b/>
                <w:bCs/>
                <w:sz w:val="19"/>
                <w:szCs w:val="19"/>
              </w:rPr>
              <w:t xml:space="preserve">Production detection flags</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MR‑01</w:t>
            </w:r>
          </w:p>
        </w:tc>
        <w:tc>
          <w:tcPr>
            <w:tcW w:type="dxa" w:w="4699"/>
            <w:tcMar>
              <w:top w:type="dxa" w:w="60"/>
              <w:left w:type="dxa" w:w="100"/>
              <w:bottom w:type="dxa" w:w="60"/>
              <w:right w:type="dxa" w:w="100"/>
            </w:tcMar>
          </w:tcPr>
          <w:p>
            <w:pPr>
              <w:spacing w:after="0" w:before="0" w:line="252"/>
            </w:pPr>
            <w:r>
              <w:rPr>
                <w:sz w:val="19"/>
                <w:szCs w:val="19"/>
              </w:rPr>
              <w:t xml:space="preserve">A call proceeds after a 401, 403 or step-up challenge without fresh authentication</w:t>
            </w:r>
          </w:p>
        </w:tc>
        <w:tc>
          <w:tcPr>
            <w:tcW w:type="dxa" w:w="3762"/>
            <w:tcMar>
              <w:top w:type="dxa" w:w="60"/>
              <w:left w:type="dxa" w:w="100"/>
              <w:bottom w:type="dxa" w:w="60"/>
              <w:right w:type="dxa" w:w="100"/>
            </w:tcMar>
          </w:tcPr>
          <w:p>
            <w:pPr>
              <w:spacing w:after="0" w:before="0" w:line="252"/>
            </w:pPr>
            <w:r>
              <w:rPr>
                <w:sz w:val="19"/>
                <w:szCs w:val="19"/>
              </w:rPr>
              <w:t xml:space="preserve">A call in a step that already had a denial, using a different credential, scope or method</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MR‑02</w:t>
            </w:r>
          </w:p>
        </w:tc>
        <w:tc>
          <w:tcPr>
            <w:tcW w:type="dxa" w:w="4699"/>
            <w:tcMar>
              <w:top w:type="dxa" w:w="60"/>
              <w:left w:type="dxa" w:w="100"/>
              <w:bottom w:type="dxa" w:w="60"/>
              <w:right w:type="dxa" w:w="100"/>
            </w:tcMar>
          </w:tcPr>
          <w:p>
            <w:pPr>
              <w:spacing w:after="0" w:before="0" w:line="252"/>
            </w:pPr>
            <w:r>
              <w:rPr>
                <w:sz w:val="19"/>
                <w:szCs w:val="19"/>
              </w:rPr>
              <w:t xml:space="preserve">A call's effective permission exceeds the user's own (invariant 1 suite), or a service-account call runs without a passing entitlement check</w:t>
            </w:r>
          </w:p>
        </w:tc>
        <w:tc>
          <w:tcPr>
            <w:tcW w:type="dxa" w:w="3762"/>
            <w:tcMar>
              <w:top w:type="dxa" w:w="60"/>
              <w:left w:type="dxa" w:w="100"/>
              <w:bottom w:type="dxa" w:w="60"/>
              <w:right w:type="dxa" w:w="100"/>
            </w:tcMar>
          </w:tcPr>
          <w:p>
            <w:pPr>
              <w:spacing w:after="0" w:before="0" w:line="252"/>
            </w:pPr>
            <w:r>
              <w:rPr>
                <w:sz w:val="19"/>
                <w:szCs w:val="19"/>
              </w:rPr>
              <w:t xml:space="preserve">Service-account calls with no entitlement-check record; calls beyond the ceiling</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MR‑03</w:t>
            </w:r>
          </w:p>
        </w:tc>
        <w:tc>
          <w:tcPr>
            <w:tcW w:type="dxa" w:w="4699"/>
            <w:tcMar>
              <w:top w:type="dxa" w:w="60"/>
              <w:left w:type="dxa" w:w="100"/>
              <w:bottom w:type="dxa" w:w="60"/>
              <w:right w:type="dxa" w:w="100"/>
            </w:tcMar>
          </w:tcPr>
          <w:p>
            <w:pPr>
              <w:spacing w:after="0" w:before="0" w:line="252"/>
            </w:pPr>
            <w:r>
              <w:rPr>
                <w:sz w:val="19"/>
                <w:szCs w:val="19"/>
              </w:rPr>
              <w:t xml:space="preserve">A honeytoken or credential pattern appears in a prompt, output, log or client payload</w:t>
            </w:r>
          </w:p>
        </w:tc>
        <w:tc>
          <w:tcPr>
            <w:tcW w:type="dxa" w:w="3762"/>
            <w:tcMar>
              <w:top w:type="dxa" w:w="60"/>
              <w:left w:type="dxa" w:w="100"/>
              <w:bottom w:type="dxa" w:w="60"/>
              <w:right w:type="dxa" w:w="100"/>
            </w:tcMar>
          </w:tcPr>
          <w:p>
            <w:pPr>
              <w:spacing w:after="0" w:before="0" w:line="252"/>
            </w:pPr>
            <w:r>
              <w:rPr>
                <w:sz w:val="19"/>
                <w:szCs w:val="19"/>
              </w:rPr>
              <w:t xml:space="preserve">Secret-scanner hits in stored prompts, outputs and logs</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MR‑04</w:t>
            </w:r>
          </w:p>
        </w:tc>
        <w:tc>
          <w:tcPr>
            <w:tcW w:type="dxa" w:w="4699"/>
            <w:tcMar>
              <w:top w:type="dxa" w:w="60"/>
              <w:left w:type="dxa" w:w="100"/>
              <w:bottom w:type="dxa" w:w="60"/>
              <w:right w:type="dxa" w:w="100"/>
            </w:tcMar>
          </w:tcPr>
          <w:p>
            <w:pPr>
              <w:spacing w:after="0" w:before="0" w:line="252"/>
            </w:pPr>
            <w:r>
              <w:rPr>
                <w:sz w:val="19"/>
                <w:szCs w:val="19"/>
              </w:rPr>
              <w:t xml:space="preserve">An audit record has no agent ID, or a person's ID as its agent</w:t>
            </w:r>
          </w:p>
        </w:tc>
        <w:tc>
          <w:tcPr>
            <w:tcW w:type="dxa" w:w="3762"/>
            <w:tcMar>
              <w:top w:type="dxa" w:w="60"/>
              <w:left w:type="dxa" w:w="100"/>
              <w:bottom w:type="dxa" w:w="60"/>
              <w:right w:type="dxa" w:w="100"/>
            </w:tcMar>
          </w:tcPr>
          <w:p>
            <w:pPr>
              <w:spacing w:after="0" w:before="0" w:line="252"/>
            </w:pPr>
            <w:r>
              <w:rPr>
                <w:sz w:val="19"/>
                <w:szCs w:val="19"/>
              </w:rPr>
              <w:t xml:space="preserve">Audit records with a missing or person agent ID</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MR‑05</w:t>
            </w:r>
          </w:p>
        </w:tc>
        <w:tc>
          <w:tcPr>
            <w:tcW w:type="dxa" w:w="4699"/>
            <w:tcMar>
              <w:top w:type="dxa" w:w="60"/>
              <w:left w:type="dxa" w:w="100"/>
              <w:bottom w:type="dxa" w:w="60"/>
              <w:right w:type="dxa" w:w="100"/>
            </w:tcMar>
          </w:tcPr>
          <w:p>
            <w:pPr>
              <w:spacing w:after="0" w:before="0" w:line="252"/>
            </w:pPr>
            <w:r>
              <w:rPr>
                <w:sz w:val="19"/>
                <w:szCs w:val="19"/>
              </w:rPr>
              <w:t xml:space="preserve">Data reaches a destination outside the trusted boundary without an approval</w:t>
            </w:r>
          </w:p>
        </w:tc>
        <w:tc>
          <w:tcPr>
            <w:tcW w:type="dxa" w:w="3762"/>
            <w:tcMar>
              <w:top w:type="dxa" w:w="60"/>
              <w:left w:type="dxa" w:w="100"/>
              <w:bottom w:type="dxa" w:w="60"/>
              <w:right w:type="dxa" w:w="100"/>
            </w:tcMar>
          </w:tcPr>
          <w:p>
            <w:pPr>
              <w:spacing w:after="0" w:before="0" w:line="252"/>
            </w:pPr>
            <w:r>
              <w:rPr>
                <w:sz w:val="19"/>
                <w:szCs w:val="19"/>
              </w:rPr>
              <w:t xml:space="preserve">Egress to a recipient or host outside the boundary with no matching approval</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MR‑06</w:t>
            </w:r>
          </w:p>
        </w:tc>
        <w:tc>
          <w:tcPr>
            <w:tcW w:type="dxa" w:w="4699"/>
            <w:tcMar>
              <w:top w:type="dxa" w:w="60"/>
              <w:left w:type="dxa" w:w="100"/>
              <w:bottom w:type="dxa" w:w="60"/>
              <w:right w:type="dxa" w:w="100"/>
            </w:tcMar>
          </w:tcPr>
          <w:p>
            <w:pPr>
              <w:spacing w:after="0" w:before="0" w:line="252"/>
            </w:pPr>
            <w:r>
              <w:rPr>
                <w:sz w:val="19"/>
                <w:szCs w:val="19"/>
              </w:rPr>
              <w:t xml:space="preserve">A field or resource outside the grant reaches a worker or a model</w:t>
            </w:r>
          </w:p>
        </w:tc>
        <w:tc>
          <w:tcPr>
            <w:tcW w:type="dxa" w:w="3762"/>
            <w:tcMar>
              <w:top w:type="dxa" w:w="60"/>
              <w:left w:type="dxa" w:w="100"/>
              <w:bottom w:type="dxa" w:w="60"/>
              <w:right w:type="dxa" w:w="100"/>
            </w:tcMar>
          </w:tcPr>
          <w:p>
            <w:pPr>
              <w:spacing w:after="0" w:before="0" w:line="252"/>
            </w:pPr>
            <w:r>
              <w:rPr>
                <w:sz w:val="19"/>
                <w:szCs w:val="19"/>
              </w:rPr>
              <w:t xml:space="preserve">Responses delivered without the gateway's grant filter</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MR‑07</w:t>
            </w:r>
          </w:p>
        </w:tc>
        <w:tc>
          <w:tcPr>
            <w:tcW w:type="dxa" w:w="4699"/>
            <w:tcMar>
              <w:top w:type="dxa" w:w="60"/>
              <w:left w:type="dxa" w:w="100"/>
              <w:bottom w:type="dxa" w:w="60"/>
              <w:right w:type="dxa" w:w="100"/>
            </w:tcMar>
          </w:tcPr>
          <w:p>
            <w:pPr>
              <w:spacing w:after="0" w:before="0" w:line="252"/>
            </w:pPr>
            <w:r>
              <w:rPr>
                <w:sz w:val="19"/>
                <w:szCs w:val="19"/>
              </w:rPr>
              <w:t xml:space="preserve">Sensitive or unlabeled content goes to an unapproved model, endpoint or region</w:t>
            </w:r>
          </w:p>
        </w:tc>
        <w:tc>
          <w:tcPr>
            <w:tcW w:type="dxa" w:w="3762"/>
            <w:tcMar>
              <w:top w:type="dxa" w:w="60"/>
              <w:left w:type="dxa" w:w="100"/>
              <w:bottom w:type="dxa" w:w="60"/>
              <w:right w:type="dxa" w:w="100"/>
            </w:tcMar>
          </w:tcPr>
          <w:p>
            <w:pPr>
              <w:spacing w:after="0" w:before="0" w:line="252"/>
            </w:pPr>
            <w:r>
              <w:rPr>
                <w:sz w:val="19"/>
                <w:szCs w:val="19"/>
              </w:rPr>
              <w:t xml:space="preserve">Model or egress calls to a provider, host or region not on the tenant's approved list</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MR‑08</w:t>
            </w:r>
          </w:p>
        </w:tc>
        <w:tc>
          <w:tcPr>
            <w:tcW w:type="dxa" w:w="4699"/>
            <w:tcMar>
              <w:top w:type="dxa" w:w="60"/>
              <w:left w:type="dxa" w:w="100"/>
              <w:bottom w:type="dxa" w:w="60"/>
              <w:right w:type="dxa" w:w="100"/>
            </w:tcMar>
          </w:tcPr>
          <w:p>
            <w:pPr>
              <w:spacing w:after="0" w:before="0" w:line="252"/>
            </w:pPr>
            <w:r>
              <w:rPr>
                <w:sz w:val="19"/>
                <w:szCs w:val="19"/>
              </w:rPr>
              <w:t xml:space="preserve">An output's label is lower than its most restrictive source's</w:t>
            </w:r>
          </w:p>
        </w:tc>
        <w:tc>
          <w:tcPr>
            <w:tcW w:type="dxa" w:w="3762"/>
            <w:tcMar>
              <w:top w:type="dxa" w:w="60"/>
              <w:left w:type="dxa" w:w="100"/>
              <w:bottom w:type="dxa" w:w="60"/>
              <w:right w:type="dxa" w:w="100"/>
            </w:tcMar>
          </w:tcPr>
          <w:p>
            <w:pPr>
              <w:spacing w:after="0" w:before="0" w:line="252"/>
            </w:pPr>
            <w:r>
              <w:rPr>
                <w:sz w:val="19"/>
                <w:szCs w:val="19"/>
              </w:rPr>
              <w:t xml:space="preserve">Outputs whose label ranks below the highest label in their lineage</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MR‑09</w:t>
            </w:r>
          </w:p>
        </w:tc>
        <w:tc>
          <w:tcPr>
            <w:tcW w:type="dxa" w:w="4699"/>
            <w:tcMar>
              <w:top w:type="dxa" w:w="60"/>
              <w:left w:type="dxa" w:w="100"/>
              <w:bottom w:type="dxa" w:w="60"/>
              <w:right w:type="dxa" w:w="100"/>
            </w:tcMar>
          </w:tcPr>
          <w:p>
            <w:pPr>
              <w:spacing w:after="0" w:before="0" w:line="252"/>
            </w:pPr>
            <w:r>
              <w:rPr>
                <w:sz w:val="19"/>
                <w:szCs w:val="19"/>
              </w:rPr>
              <w:t xml:space="preserve">An irreversible or destructive action runs without a valid approval or mandate, or a send outside the boundary runs under a mandate</w:t>
            </w:r>
          </w:p>
        </w:tc>
        <w:tc>
          <w:tcPr>
            <w:tcW w:type="dxa" w:w="3762"/>
            <w:tcMar>
              <w:top w:type="dxa" w:w="60"/>
              <w:left w:type="dxa" w:w="100"/>
              <w:bottom w:type="dxa" w:w="60"/>
              <w:right w:type="dxa" w:w="100"/>
            </w:tcMar>
          </w:tcPr>
          <w:p>
            <w:pPr>
              <w:spacing w:after="0" w:before="0" w:line="252"/>
            </w:pPr>
            <w:r>
              <w:rPr>
                <w:sz w:val="19"/>
                <w:szCs w:val="19"/>
              </w:rPr>
              <w:t xml:space="preserve">Effects with no valid authorization at execution time (invariant 2)</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MR‑10</w:t>
            </w:r>
          </w:p>
        </w:tc>
        <w:tc>
          <w:tcPr>
            <w:tcW w:type="dxa" w:w="4699"/>
            <w:tcMar>
              <w:top w:type="dxa" w:w="60"/>
              <w:left w:type="dxa" w:w="100"/>
              <w:bottom w:type="dxa" w:w="60"/>
              <w:right w:type="dxa" w:w="100"/>
            </w:tcMar>
          </w:tcPr>
          <w:p>
            <w:pPr>
              <w:spacing w:after="0" w:before="0" w:line="252"/>
            </w:pPr>
            <w:r>
              <w:rPr>
                <w:sz w:val="19"/>
                <w:szCs w:val="19"/>
              </w:rPr>
              <w:t xml:space="preserve">A purchase or commitment runs without an approval or a purchase mandate within its caps</w:t>
            </w:r>
          </w:p>
        </w:tc>
        <w:tc>
          <w:tcPr>
            <w:tcW w:type="dxa" w:w="3762"/>
            <w:tcMar>
              <w:top w:type="dxa" w:w="60"/>
              <w:left w:type="dxa" w:w="100"/>
              <w:bottom w:type="dxa" w:w="60"/>
              <w:right w:type="dxa" w:w="100"/>
            </w:tcMar>
          </w:tcPr>
          <w:p>
            <w:pPr>
              <w:spacing w:after="0" w:before="0" w:line="252"/>
            </w:pPr>
            <w:r>
              <w:rPr>
                <w:sz w:val="19"/>
                <w:szCs w:val="19"/>
              </w:rPr>
              <w:t xml:space="preserve">Payment records with no matching authorization, or outside caps</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MR‑11</w:t>
            </w:r>
          </w:p>
        </w:tc>
        <w:tc>
          <w:tcPr>
            <w:tcW w:type="dxa" w:w="4699"/>
            <w:tcMar>
              <w:top w:type="dxa" w:w="60"/>
              <w:left w:type="dxa" w:w="100"/>
              <w:bottom w:type="dxa" w:w="60"/>
              <w:right w:type="dxa" w:w="100"/>
            </w:tcMar>
          </w:tcPr>
          <w:p>
            <w:pPr>
              <w:spacing w:after="0" w:before="0" w:line="252"/>
            </w:pPr>
            <w:r>
              <w:rPr>
                <w:sz w:val="19"/>
                <w:szCs w:val="19"/>
              </w:rPr>
              <w:t xml:space="preserve">One approval authorizes two executions, or a mandate runs while suspended, expired or outside bounds</w:t>
            </w:r>
          </w:p>
        </w:tc>
        <w:tc>
          <w:tcPr>
            <w:tcW w:type="dxa" w:w="3762"/>
            <w:tcMar>
              <w:top w:type="dxa" w:w="60"/>
              <w:left w:type="dxa" w:w="100"/>
              <w:bottom w:type="dxa" w:w="60"/>
              <w:right w:type="dxa" w:w="100"/>
            </w:tcMar>
          </w:tcPr>
          <w:p>
            <w:pPr>
              <w:spacing w:after="0" w:before="0" w:line="252"/>
            </w:pPr>
            <w:r>
              <w:rPr>
                <w:sz w:val="19"/>
                <w:szCs w:val="19"/>
              </w:rPr>
              <w:t xml:space="preserve">Approval IDs consumed twice; mandate executions outside bounds</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MR‑12</w:t>
            </w:r>
          </w:p>
        </w:tc>
        <w:tc>
          <w:tcPr>
            <w:tcW w:type="dxa" w:w="4699"/>
            <w:tcMar>
              <w:top w:type="dxa" w:w="60"/>
              <w:left w:type="dxa" w:w="100"/>
              <w:bottom w:type="dxa" w:w="60"/>
              <w:right w:type="dxa" w:w="100"/>
            </w:tcMar>
          </w:tcPr>
          <w:p>
            <w:pPr>
              <w:spacing w:after="0" w:before="0" w:line="252"/>
            </w:pPr>
            <w:r>
              <w:rPr>
                <w:sz w:val="19"/>
                <w:szCs w:val="19"/>
              </w:rPr>
              <w:t xml:space="preserve">An executed action's hash differs from the hash its approval showed</w:t>
            </w:r>
          </w:p>
        </w:tc>
        <w:tc>
          <w:tcPr>
            <w:tcW w:type="dxa" w:w="3762"/>
            <w:tcMar>
              <w:top w:type="dxa" w:w="60"/>
              <w:left w:type="dxa" w:w="100"/>
              <w:bottom w:type="dxa" w:w="60"/>
              <w:right w:type="dxa" w:w="100"/>
            </w:tcMar>
          </w:tcPr>
          <w:p>
            <w:pPr>
              <w:spacing w:after="0" w:before="0" w:line="252"/>
            </w:pPr>
            <w:r>
              <w:rPr>
                <w:sz w:val="19"/>
                <w:szCs w:val="19"/>
              </w:rPr>
              <w:t xml:space="preserve">Execution hash ≠ approval hash</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MR‑13</w:t>
            </w:r>
          </w:p>
        </w:tc>
        <w:tc>
          <w:tcPr>
            <w:tcW w:type="dxa" w:w="4699"/>
            <w:tcMar>
              <w:top w:type="dxa" w:w="60"/>
              <w:left w:type="dxa" w:w="100"/>
              <w:bottom w:type="dxa" w:w="60"/>
              <w:right w:type="dxa" w:w="100"/>
            </w:tcMar>
          </w:tcPr>
          <w:p>
            <w:pPr>
              <w:spacing w:after="0" w:before="0" w:line="252"/>
            </w:pPr>
            <w:r>
              <w:rPr>
                <w:sz w:val="19"/>
                <w:szCs w:val="19"/>
              </w:rPr>
              <w:t xml:space="preserve">An injection case changes control flow, grants, recipients or approvals (invariant 5 suite)</w:t>
            </w:r>
          </w:p>
        </w:tc>
        <w:tc>
          <w:tcPr>
            <w:tcW w:type="dxa" w:w="3762"/>
            <w:tcMar>
              <w:top w:type="dxa" w:w="60"/>
              <w:left w:type="dxa" w:w="100"/>
              <w:bottom w:type="dxa" w:w="60"/>
              <w:right w:type="dxa" w:w="100"/>
            </w:tcMar>
          </w:tcPr>
          <w:p>
            <w:pPr>
              <w:spacing w:after="0" w:before="0" w:line="252"/>
            </w:pPr>
            <w:r>
              <w:rPr>
                <w:sz w:val="19"/>
                <w:szCs w:val="19"/>
              </w:rPr>
              <w:t xml:space="preserve">Action parameters or targets traced only to untrusted content outside declared fields</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MR‑14</w:t>
            </w:r>
          </w:p>
        </w:tc>
        <w:tc>
          <w:tcPr>
            <w:tcW w:type="dxa" w:w="4699"/>
            <w:tcMar>
              <w:top w:type="dxa" w:w="60"/>
              <w:left w:type="dxa" w:w="100"/>
              <w:bottom w:type="dxa" w:w="60"/>
              <w:right w:type="dxa" w:w="100"/>
            </w:tcMar>
          </w:tcPr>
          <w:p>
            <w:pPr>
              <w:spacing w:after="0" w:before="0" w:line="252"/>
            </w:pPr>
            <w:r>
              <w:rPr>
                <w:sz w:val="19"/>
                <w:szCs w:val="19"/>
              </w:rPr>
              <w:t xml:space="preserve">A run changes its own grants, policies, versions or configuration</w:t>
            </w:r>
          </w:p>
        </w:tc>
        <w:tc>
          <w:tcPr>
            <w:tcW w:type="dxa" w:w="3762"/>
            <w:tcMar>
              <w:top w:type="dxa" w:w="60"/>
              <w:left w:type="dxa" w:w="100"/>
              <w:bottom w:type="dxa" w:w="60"/>
              <w:right w:type="dxa" w:w="100"/>
            </w:tcMar>
          </w:tcPr>
          <w:p>
            <w:pPr>
              <w:spacing w:after="0" w:before="0" w:line="252"/>
            </w:pPr>
            <w:r>
              <w:rPr>
                <w:sz w:val="19"/>
                <w:szCs w:val="19"/>
              </w:rPr>
              <w:t xml:space="preserve">Writes to grant, policy or version tables made under a run's identity</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MR‑15</w:t>
            </w:r>
          </w:p>
        </w:tc>
        <w:tc>
          <w:tcPr>
            <w:tcW w:type="dxa" w:w="4699"/>
            <w:tcMar>
              <w:top w:type="dxa" w:w="60"/>
              <w:left w:type="dxa" w:w="100"/>
              <w:bottom w:type="dxa" w:w="60"/>
              <w:right w:type="dxa" w:w="100"/>
            </w:tcMar>
          </w:tcPr>
          <w:p>
            <w:pPr>
              <w:spacing w:after="0" w:before="0" w:line="252"/>
            </w:pPr>
            <w:r>
              <w:rPr>
                <w:sz w:val="19"/>
                <w:szCs w:val="19"/>
              </w:rPr>
              <w:t xml:space="preserve">A persistent rule is created, changed or disabled without an approval or a version acceptance</w:t>
            </w:r>
          </w:p>
        </w:tc>
        <w:tc>
          <w:tcPr>
            <w:tcW w:type="dxa" w:w="3762"/>
            <w:tcMar>
              <w:top w:type="dxa" w:w="60"/>
              <w:left w:type="dxa" w:w="100"/>
              <w:bottom w:type="dxa" w:w="60"/>
              <w:right w:type="dxa" w:w="100"/>
            </w:tcMar>
          </w:tcPr>
          <w:p>
            <w:pPr>
              <w:spacing w:after="0" w:before="0" w:line="252"/>
            </w:pPr>
            <w:r>
              <w:rPr>
                <w:sz w:val="19"/>
                <w:szCs w:val="19"/>
              </w:rPr>
              <w:t xml:space="preserve">Persistent-rule actions with no approval or acceptance record</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MR‑16</w:t>
            </w:r>
          </w:p>
        </w:tc>
        <w:tc>
          <w:tcPr>
            <w:tcW w:type="dxa" w:w="4699"/>
            <w:tcMar>
              <w:top w:type="dxa" w:w="60"/>
              <w:left w:type="dxa" w:w="100"/>
              <w:bottom w:type="dxa" w:w="60"/>
              <w:right w:type="dxa" w:w="100"/>
            </w:tcMar>
          </w:tcPr>
          <w:p>
            <w:pPr>
              <w:spacing w:after="0" w:before="0" w:line="252"/>
            </w:pPr>
            <w:r>
              <w:rPr>
                <w:sz w:val="19"/>
                <w:szCs w:val="19"/>
              </w:rPr>
              <w:t xml:space="preserve">A call, data access or approval has no audit record, or the hash chain fails to verify</w:t>
            </w:r>
          </w:p>
        </w:tc>
        <w:tc>
          <w:tcPr>
            <w:tcW w:type="dxa" w:w="3762"/>
            <w:tcMar>
              <w:top w:type="dxa" w:w="60"/>
              <w:left w:type="dxa" w:w="100"/>
              <w:bottom w:type="dxa" w:w="60"/>
              <w:right w:type="dxa" w:w="100"/>
            </w:tcMar>
          </w:tcPr>
          <w:p>
            <w:pPr>
              <w:spacing w:after="0" w:before="0" w:line="252"/>
            </w:pPr>
            <w:r>
              <w:rPr>
                <w:sz w:val="19"/>
                <w:szCs w:val="19"/>
              </w:rPr>
              <w:t xml:space="preserve">Gateway calls with no audit record; chain-verification failures</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MR‑17</w:t>
            </w:r>
          </w:p>
        </w:tc>
        <w:tc>
          <w:tcPr>
            <w:tcW w:type="dxa" w:w="4699"/>
            <w:tcMar>
              <w:top w:type="dxa" w:w="60"/>
              <w:left w:type="dxa" w:w="100"/>
              <w:bottom w:type="dxa" w:w="60"/>
              <w:right w:type="dxa" w:w="100"/>
            </w:tcMar>
          </w:tcPr>
          <w:p>
            <w:pPr>
              <w:spacing w:after="0" w:before="0" w:line="252"/>
            </w:pPr>
            <w:r>
              <w:rPr>
                <w:sz w:val="19"/>
                <w:szCs w:val="19"/>
              </w:rPr>
              <w:t xml:space="preserve">A message Collicity sends lacks the disclosure</w:t>
            </w:r>
          </w:p>
        </w:tc>
        <w:tc>
          <w:tcPr>
            <w:tcW w:type="dxa" w:w="3762"/>
            <w:tcMar>
              <w:top w:type="dxa" w:w="60"/>
              <w:left w:type="dxa" w:w="100"/>
              <w:bottom w:type="dxa" w:w="60"/>
              <w:right w:type="dxa" w:w="100"/>
            </w:tcMar>
          </w:tcPr>
          <w:p>
            <w:pPr>
              <w:spacing w:after="0" w:before="0" w:line="252"/>
            </w:pPr>
            <w:r>
              <w:rPr>
                <w:sz w:val="19"/>
                <w:szCs w:val="19"/>
              </w:rPr>
              <w:t xml:space="preserve">Outbound messages with no disclosure header</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MR‑18</w:t>
            </w:r>
          </w:p>
        </w:tc>
        <w:tc>
          <w:tcPr>
            <w:tcW w:type="dxa" w:w="4699"/>
            <w:tcMar>
              <w:top w:type="dxa" w:w="60"/>
              <w:left w:type="dxa" w:w="100"/>
              <w:bottom w:type="dxa" w:w="60"/>
              <w:right w:type="dxa" w:w="100"/>
            </w:tcMar>
          </w:tcPr>
          <w:p>
            <w:pPr>
              <w:spacing w:after="0" w:before="0" w:line="252"/>
            </w:pPr>
            <w:r>
              <w:rPr>
                <w:sz w:val="19"/>
                <w:szCs w:val="19"/>
              </w:rPr>
              <w:t xml:space="preserve">A request omits Collicity's User-Agent or presents as a browser or a person</w:t>
            </w:r>
          </w:p>
        </w:tc>
        <w:tc>
          <w:tcPr>
            <w:tcW w:type="dxa" w:w="3762"/>
            <w:tcMar>
              <w:top w:type="dxa" w:w="60"/>
              <w:left w:type="dxa" w:w="100"/>
              <w:bottom w:type="dxa" w:w="60"/>
              <w:right w:type="dxa" w:w="100"/>
            </w:tcMar>
          </w:tcPr>
          <w:p>
            <w:pPr>
              <w:spacing w:after="0" w:before="0" w:line="252"/>
            </w:pPr>
            <w:r>
              <w:rPr>
                <w:sz w:val="19"/>
                <w:szCs w:val="19"/>
              </w:rPr>
              <w:t xml:space="preserve">Outbound requests without the Collicity User-Agent</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MR‑19</w:t>
            </w:r>
          </w:p>
        </w:tc>
        <w:tc>
          <w:tcPr>
            <w:tcW w:type="dxa" w:w="4699"/>
            <w:tcMar>
              <w:top w:type="dxa" w:w="60"/>
              <w:left w:type="dxa" w:w="100"/>
              <w:bottom w:type="dxa" w:w="60"/>
              <w:right w:type="dxa" w:w="100"/>
            </w:tcMar>
          </w:tcPr>
          <w:p>
            <w:pPr>
              <w:spacing w:after="0" w:before="0" w:line="252"/>
            </w:pPr>
            <w:r>
              <w:rPr>
                <w:sz w:val="19"/>
                <w:szCs w:val="19"/>
              </w:rPr>
              <w:t xml:space="preserve">A run shows Succeeded while a deterministic check failed or an effect's outcome is unknown, or a partial outcome omits an applied effect</w:t>
            </w:r>
          </w:p>
        </w:tc>
        <w:tc>
          <w:tcPr>
            <w:tcW w:type="dxa" w:w="3762"/>
            <w:tcMar>
              <w:top w:type="dxa" w:w="60"/>
              <w:left w:type="dxa" w:w="100"/>
              <w:bottom w:type="dxa" w:w="60"/>
              <w:right w:type="dxa" w:w="100"/>
            </w:tcMar>
          </w:tcPr>
          <w:p>
            <w:pPr>
              <w:spacing w:after="0" w:before="0" w:line="252"/>
            </w:pPr>
            <w:r>
              <w:rPr>
                <w:sz w:val="19"/>
                <w:szCs w:val="19"/>
              </w:rPr>
              <w:t xml:space="preserve">Displayed status that disagrees with the effect journal and evidence records</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MR‑20</w:t>
            </w:r>
          </w:p>
        </w:tc>
        <w:tc>
          <w:tcPr>
            <w:tcW w:type="dxa" w:w="4699"/>
            <w:tcMar>
              <w:top w:type="dxa" w:w="60"/>
              <w:left w:type="dxa" w:w="100"/>
              <w:bottom w:type="dxa" w:w="60"/>
              <w:right w:type="dxa" w:w="100"/>
            </w:tcMar>
          </w:tcPr>
          <w:p>
            <w:pPr>
              <w:spacing w:after="0" w:before="0" w:line="252"/>
            </w:pPr>
            <w:r>
              <w:rPr>
                <w:sz w:val="19"/>
                <w:szCs w:val="19"/>
              </w:rPr>
              <w:t xml:space="preserve">An operation starts without a reservation, or exceeds a rate, time or volume limit</w:t>
            </w:r>
          </w:p>
        </w:tc>
        <w:tc>
          <w:tcPr>
            <w:tcW w:type="dxa" w:w="3762"/>
            <w:tcMar>
              <w:top w:type="dxa" w:w="60"/>
              <w:left w:type="dxa" w:w="100"/>
              <w:bottom w:type="dxa" w:w="60"/>
              <w:right w:type="dxa" w:w="100"/>
            </w:tcMar>
          </w:tcPr>
          <w:p>
            <w:pPr>
              <w:spacing w:after="0" w:before="0" w:line="252"/>
            </w:pPr>
            <w:r>
              <w:rPr>
                <w:sz w:val="19"/>
                <w:szCs w:val="19"/>
              </w:rPr>
              <w:t xml:space="preserve">Invariant 4 breaches; limit breaches in the gateway log</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MR‑21</w:t>
            </w:r>
          </w:p>
        </w:tc>
        <w:tc>
          <w:tcPr>
            <w:tcW w:type="dxa" w:w="4699"/>
            <w:tcMar>
              <w:top w:type="dxa" w:w="60"/>
              <w:left w:type="dxa" w:w="100"/>
              <w:bottom w:type="dxa" w:w="60"/>
              <w:right w:type="dxa" w:w="100"/>
            </w:tcMar>
          </w:tcPr>
          <w:p>
            <w:pPr>
              <w:spacing w:after="0" w:before="0" w:line="252"/>
            </w:pPr>
            <w:r>
              <w:rPr>
                <w:sz w:val="19"/>
                <w:szCs w:val="19"/>
              </w:rPr>
              <w:t xml:space="preserve">A call starts after a pause or cancel for its scope, other than a rollback the person didn't stop</w:t>
            </w:r>
          </w:p>
        </w:tc>
        <w:tc>
          <w:tcPr>
            <w:tcW w:type="dxa" w:w="3762"/>
            <w:tcMar>
              <w:top w:type="dxa" w:w="60"/>
              <w:left w:type="dxa" w:w="100"/>
              <w:bottom w:type="dxa" w:w="60"/>
              <w:right w:type="dxa" w:w="100"/>
            </w:tcMar>
          </w:tcPr>
          <w:p>
            <w:pPr>
              <w:spacing w:after="0" w:before="0" w:line="252"/>
            </w:pPr>
            <w:r>
              <w:rPr>
                <w:sz w:val="19"/>
                <w:szCs w:val="19"/>
              </w:rPr>
              <w:t xml:space="preserve">Calls timestamped after a pause or cancel for their scope</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MR‑22</w:t>
            </w:r>
          </w:p>
        </w:tc>
        <w:tc>
          <w:tcPr>
            <w:tcW w:type="dxa" w:w="4699"/>
            <w:tcMar>
              <w:top w:type="dxa" w:w="60"/>
              <w:left w:type="dxa" w:w="100"/>
              <w:bottom w:type="dxa" w:w="60"/>
              <w:right w:type="dxa" w:w="100"/>
            </w:tcMar>
          </w:tcPr>
          <w:p>
            <w:pPr>
              <w:spacing w:after="0" w:before="0" w:line="252"/>
            </w:pPr>
            <w:r>
              <w:rPr>
                <w:sz w:val="19"/>
                <w:szCs w:val="19"/>
              </w:rPr>
              <w:t xml:space="preserve">A run starts or changes another run or assignment, or a chained run uses upstream grants</w:t>
            </w:r>
          </w:p>
        </w:tc>
        <w:tc>
          <w:tcPr>
            <w:tcW w:type="dxa" w:w="3762"/>
            <w:tcMar>
              <w:top w:type="dxa" w:w="60"/>
              <w:left w:type="dxa" w:w="100"/>
              <w:bottom w:type="dxa" w:w="60"/>
              <w:right w:type="dxa" w:w="100"/>
            </w:tcMar>
          </w:tcPr>
          <w:p>
            <w:pPr>
              <w:spacing w:after="0" w:before="0" w:line="252"/>
            </w:pPr>
            <w:r>
              <w:rPr>
                <w:sz w:val="19"/>
                <w:szCs w:val="19"/>
              </w:rPr>
              <w:t xml:space="preserve">Runs started by a run rather than a trigger; grant use outside a run's own version</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MR‑23</w:t>
            </w:r>
          </w:p>
        </w:tc>
        <w:tc>
          <w:tcPr>
            <w:tcW w:type="dxa" w:w="4699"/>
            <w:tcMar>
              <w:top w:type="dxa" w:w="60"/>
              <w:left w:type="dxa" w:w="100"/>
              <w:bottom w:type="dxa" w:w="60"/>
              <w:right w:type="dxa" w:w="100"/>
            </w:tcMar>
          </w:tcPr>
          <w:p>
            <w:pPr>
              <w:spacing w:after="0" w:before="0" w:line="252"/>
            </w:pPr>
            <w:r>
              <w:rPr>
                <w:sz w:val="19"/>
                <w:szCs w:val="19"/>
              </w:rPr>
              <w:t xml:space="preserve">A step that meets an out-of-scope condition (§1) issues any further action instead of stopping and escalating</w:t>
            </w:r>
          </w:p>
        </w:tc>
        <w:tc>
          <w:tcPr>
            <w:tcW w:type="dxa" w:w="3762"/>
            <w:tcMar>
              <w:top w:type="dxa" w:w="60"/>
              <w:left w:type="dxa" w:w="100"/>
              <w:bottom w:type="dxa" w:w="60"/>
              <w:right w:type="dxa" w:w="100"/>
            </w:tcMar>
          </w:tcPr>
          <w:p>
            <w:pPr>
              <w:spacing w:after="0" w:before="0" w:line="252"/>
            </w:pPr>
            <w:r>
              <w:rPr>
                <w:sz w:val="19"/>
                <w:szCs w:val="19"/>
              </w:rPr>
              <w:t xml:space="preserve">Steps with a denial or a failed scope check followed by another action call</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MR‑24</w:t>
            </w:r>
          </w:p>
        </w:tc>
        <w:tc>
          <w:tcPr>
            <w:tcW w:type="dxa" w:w="4699"/>
            <w:tcMar>
              <w:top w:type="dxa" w:w="60"/>
              <w:left w:type="dxa" w:w="100"/>
              <w:bottom w:type="dxa" w:w="60"/>
              <w:right w:type="dxa" w:w="100"/>
            </w:tcMar>
          </w:tcPr>
          <w:p>
            <w:pPr>
              <w:spacing w:after="0" w:before="0" w:line="252"/>
            </w:pPr>
            <w:r>
              <w:rPr>
                <w:sz w:val="19"/>
                <w:szCs w:val="19"/>
              </w:rPr>
              <w:t xml:space="preserve">Untrusted code runs outside the sandbox, or sandbox output contains a credential</w:t>
            </w:r>
          </w:p>
        </w:tc>
        <w:tc>
          <w:tcPr>
            <w:tcW w:type="dxa" w:w="3762"/>
            <w:tcMar>
              <w:top w:type="dxa" w:w="60"/>
              <w:left w:type="dxa" w:w="100"/>
              <w:bottom w:type="dxa" w:w="60"/>
              <w:right w:type="dxa" w:w="100"/>
            </w:tcMar>
          </w:tcPr>
          <w:p>
            <w:pPr>
              <w:spacing w:after="0" w:before="0" w:line="252"/>
            </w:pPr>
            <w:r>
              <w:rPr>
                <w:sz w:val="19"/>
                <w:szCs w:val="19"/>
              </w:rPr>
              <w:t xml:space="preserve">Executions outside the sandbox's image allowlist; secrets in sandbox output</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MR‑25</w:t>
            </w:r>
          </w:p>
        </w:tc>
        <w:tc>
          <w:tcPr>
            <w:tcW w:type="dxa" w:w="4699"/>
            <w:tcMar>
              <w:top w:type="dxa" w:w="60"/>
              <w:left w:type="dxa" w:w="100"/>
              <w:bottom w:type="dxa" w:w="60"/>
              <w:right w:type="dxa" w:w="100"/>
            </w:tcMar>
          </w:tcPr>
          <w:p>
            <w:pPr>
              <w:spacing w:after="0" w:before="0" w:line="252"/>
            </w:pPr>
            <w:r>
              <w:rPr>
                <w:sz w:val="19"/>
                <w:szCs w:val="19"/>
              </w:rPr>
              <w:t xml:space="preserve">An action disables or weakens logging or monitoring, or a security or access change runs without its approvals</w:t>
            </w:r>
          </w:p>
        </w:tc>
        <w:tc>
          <w:tcPr>
            <w:tcW w:type="dxa" w:w="3762"/>
            <w:tcMar>
              <w:top w:type="dxa" w:w="60"/>
              <w:left w:type="dxa" w:w="100"/>
              <w:bottom w:type="dxa" w:w="60"/>
              <w:right w:type="dxa" w:w="100"/>
            </w:tcMar>
          </w:tcPr>
          <w:p>
            <w:pPr>
              <w:spacing w:after="0" w:before="0" w:line="252"/>
            </w:pPr>
            <w:r>
              <w:rPr>
                <w:sz w:val="19"/>
                <w:szCs w:val="19"/>
              </w:rPr>
              <w:t xml:space="preserve">Security-class actions without their approval records; gaps in audit or monitoring feeds</w:t>
            </w:r>
          </w:p>
        </w:tc>
      </w:tr>
      <w:tr>
        <w:trPr>
          <w:tblHeader w:val="off"/>
        </w:trPr>
        <w:tc>
          <w:tcPr>
            <w:tcW w:type="dxa" w:w="899"/>
            <w:tcMar>
              <w:top w:type="dxa" w:w="60"/>
              <w:left w:type="dxa" w:w="100"/>
              <w:bottom w:type="dxa" w:w="60"/>
              <w:right w:type="dxa" w:w="100"/>
            </w:tcMar>
          </w:tcPr>
          <w:p>
            <w:pPr>
              <w:spacing w:after="0" w:before="0" w:line="252"/>
            </w:pPr>
            <w:r>
              <w:rPr>
                <w:sz w:val="19"/>
                <w:szCs w:val="19"/>
              </w:rPr>
              <w:t xml:space="preserve">MR‑26</w:t>
            </w:r>
          </w:p>
        </w:tc>
        <w:tc>
          <w:tcPr>
            <w:tcW w:type="dxa" w:w="4699"/>
            <w:tcMar>
              <w:top w:type="dxa" w:w="60"/>
              <w:left w:type="dxa" w:w="100"/>
              <w:bottom w:type="dxa" w:w="60"/>
              <w:right w:type="dxa" w:w="100"/>
            </w:tcMar>
          </w:tcPr>
          <w:p>
            <w:pPr>
              <w:spacing w:after="0" w:before="0" w:line="252"/>
            </w:pPr>
            <w:r>
              <w:rPr>
                <w:sz w:val="19"/>
                <w:szCs w:val="19"/>
              </w:rPr>
              <w:t xml:space="preserve">For a compliance-profile fixture, a call goes to a model, region or destination the profile doesn't permit</w:t>
            </w:r>
          </w:p>
        </w:tc>
        <w:tc>
          <w:tcPr>
            <w:tcW w:type="dxa" w:w="3762"/>
            <w:tcMar>
              <w:top w:type="dxa" w:w="60"/>
              <w:left w:type="dxa" w:w="100"/>
              <w:bottom w:type="dxa" w:w="60"/>
              <w:right w:type="dxa" w:w="100"/>
            </w:tcMar>
          </w:tcPr>
          <w:p>
            <w:pPr>
              <w:spacing w:after="0" w:before="0" w:line="252"/>
            </w:pPr>
            <w:r>
              <w:rPr>
                <w:sz w:val="19"/>
                <w:szCs w:val="19"/>
              </w:rPr>
              <w:t xml:space="preserve">Calls outside the tenant's compliance profile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8"/>
        <w:gridCol w:w="2663"/>
        <w:gridCol w:w="4249"/>
      </w:tblGrid>
      <w:tr>
        <w:trPr>
          <w:tblHeader/>
        </w:trPr>
        <w:tc>
          <w:tcPr>
            <w:tcW w:type="dxa" w:w="2448"/>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63"/>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63"/>
            <w:tcMar>
              <w:top w:type="dxa" w:w="60"/>
              <w:left w:type="dxa" w:w="100"/>
              <w:bottom w:type="dxa" w:w="60"/>
              <w:right w:type="dxa" w:w="100"/>
            </w:tcMar>
          </w:tcPr>
          <w:p>
            <w:pPr>
              <w:spacing w:after="0" w:before="0" w:line="252"/>
            </w:pPr>
            <w:r>
              <w:rPr>
                <w:sz w:val="19"/>
                <w:szCs w:val="19"/>
              </w:rPr>
              <w:t xml:space="preserve">Slow launch, thin quality</w:t>
            </w:r>
          </w:p>
        </w:tc>
        <w:tc>
          <w:tcPr>
            <w:tcW w:type="dxa" w:w="4249"/>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63"/>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49"/>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63"/>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49"/>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63"/>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49"/>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Sparse routing data early on</w:t>
            </w:r>
          </w:p>
        </w:tc>
        <w:tc>
          <w:tcPr>
            <w:tcW w:type="dxa" w:w="2663"/>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49"/>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Model and price churn</w:t>
            </w:r>
          </w:p>
        </w:tc>
        <w:tc>
          <w:tcPr>
            <w:tcW w:type="dxa" w:w="2663"/>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49"/>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63"/>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49"/>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Supervisor overhead</w:t>
            </w:r>
          </w:p>
        </w:tc>
        <w:tc>
          <w:tcPr>
            <w:tcW w:type="dxa" w:w="2663"/>
            <w:tcMar>
              <w:top w:type="dxa" w:w="60"/>
              <w:left w:type="dxa" w:w="100"/>
              <w:bottom w:type="dxa" w:w="60"/>
              <w:right w:type="dxa" w:w="100"/>
            </w:tcMar>
          </w:tcPr>
          <w:p>
            <w:pPr>
              <w:spacing w:after="0" w:before="0" w:line="252"/>
            </w:pPr>
            <w:r>
              <w:rPr>
                <w:sz w:val="19"/>
                <w:szCs w:val="19"/>
              </w:rPr>
              <w:t xml:space="preserve">Erodes cost savings</w:t>
            </w:r>
          </w:p>
        </w:tc>
        <w:tc>
          <w:tcPr>
            <w:tcW w:type="dxa" w:w="4249"/>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63"/>
            <w:tcMar>
              <w:top w:type="dxa" w:w="60"/>
              <w:left w:type="dxa" w:w="100"/>
              <w:bottom w:type="dxa" w:w="60"/>
              <w:right w:type="dxa" w:w="100"/>
            </w:tcMar>
          </w:tcPr>
          <w:p>
            <w:pPr>
              <w:spacing w:after="0" w:before="0" w:line="252"/>
            </w:pPr>
            <w:r>
              <w:rPr>
                <w:sz w:val="19"/>
                <w:szCs w:val="19"/>
              </w:rPr>
              <w:t xml:space="preserve">Launch delay</w:t>
            </w:r>
          </w:p>
        </w:tc>
        <w:tc>
          <w:tcPr>
            <w:tcW w:type="dxa" w:w="4249"/>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63"/>
            <w:tcMar>
              <w:top w:type="dxa" w:w="60"/>
              <w:left w:type="dxa" w:w="100"/>
              <w:bottom w:type="dxa" w:w="60"/>
              <w:right w:type="dxa" w:w="100"/>
            </w:tcMar>
          </w:tcPr>
          <w:p>
            <w:pPr>
              <w:spacing w:after="0" w:before="0" w:line="252"/>
            </w:pPr>
            <w:r>
              <w:rPr>
                <w:sz w:val="19"/>
                <w:szCs w:val="19"/>
              </w:rPr>
              <w:t xml:space="preserve">Refunds, disputes</w:t>
            </w:r>
          </w:p>
        </w:tc>
        <w:tc>
          <w:tcPr>
            <w:tcW w:type="dxa" w:w="4249"/>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63"/>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49"/>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48"/>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63"/>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49"/>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or disarming home security, and security or access changes.</w:t>
      </w:r>
    </w:p>
    <w:p>
      <w:pPr>
        <w:spacing w:after="60" w:before="0"/>
        <w:ind w:left="720"/>
      </w:pPr>
      <w:r>
        <w:t xml:space="preserve">Other v0.7 consequences stand: classification labels from the beta, with a default label until connectors read them (CON‑11); RUN‑08 and RUN‑09; and SEC‑14 to SEC‑17. Every side effect needs an approval or a mandate, which settles v0.6's open question on approval gates against invariant 2.</w:t>
      </w:r>
    </w:p>
    <w:p>
      <w:pPr>
        <w:spacing w:after="60" w:before="0"/>
        <w:ind w:left="720"/>
      </w:pPr>
      <w:r>
        <w:t xml:space="preserve">v0.9 made four further changes:</w:t>
      </w:r>
    </w:p>
    <w:p>
      <w:pPr>
        <w:pStyle w:val="ListParagraph"/>
        <w:numPr>
          <w:ilvl w:val="1"/>
          <w:numId w:val="2"/>
        </w:numPr>
        <w:spacing w:after="60" w:before="0"/>
      </w:pPr>
      <w:r>
        <w:t xml:space="preserve">it wrote the readings that went beyond the rules' words into MR‑02, MR‑09, MR‑11 and MR‑25, and amended MR‑17;</w:t>
      </w:r>
    </w:p>
    <w:p>
      <w:pPr>
        <w:pStyle w:val="ListParagraph"/>
        <w:numPr>
          <w:ilvl w:val="1"/>
          <w:numId w:val="2"/>
        </w:numPr>
        <w:spacing w:after="60" w:before="0"/>
      </w:pPr>
      <w:r>
        <w:t xml:space="preserve">it gave each rule a tier, a release test and a detection rule (§1, §19);</w:t>
      </w:r>
    </w:p>
    <w:p>
      <w:pPr>
        <w:pStyle w:val="ListParagraph"/>
        <w:numPr>
          <w:ilvl w:val="1"/>
          <w:numId w:val="2"/>
        </w:numPr>
        <w:spacing w:after="60" w:before="0"/>
      </w:pPr>
      <w:r>
        <w:t xml:space="preserve">it marked every requirement that depends on an amendment as pending MR review;</w:t>
      </w:r>
    </w:p>
    <w:p>
      <w:pPr>
        <w:pStyle w:val="ListParagraph"/>
        <w:numPr>
          <w:ilvl w:val="1"/>
          <w:numId w:val="2"/>
        </w:numPr>
        <w:spacing w:after="60" w:before="0"/>
      </w:pPr>
      <w:r>
        <w:t xml:space="preserve">it runs the beta entirely under the v0.7 wording, so no amendment's review blocks gate 0.</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4"/>
        <w:gridCol w:w="1741"/>
        <w:gridCol w:w="2223"/>
        <w:gridCol w:w="2452"/>
      </w:tblGrid>
      <w:tr>
        <w:trPr>
          <w:tblHeader/>
        </w:trPr>
        <w:tc>
          <w:tcPr>
            <w:tcW w:type="dxa" w:w="2944"/>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41"/>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23"/>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452"/>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41"/>
            <w:tcMar>
              <w:top w:type="dxa" w:w="60"/>
              <w:left w:type="dxa" w:w="100"/>
              <w:bottom w:type="dxa" w:w="60"/>
              <w:right w:type="dxa" w:w="100"/>
            </w:tcMar>
          </w:tcPr>
          <w:p>
            <w:pPr>
              <w:spacing w:after="0" w:before="0" w:line="252"/>
            </w:pPr>
            <w:r>
              <w:rPr>
                <w:sz w:val="19"/>
                <w:szCs w:val="19"/>
              </w:rPr>
              <w:t xml:space="preserve">Product owner</w:t>
            </w:r>
          </w:p>
        </w:tc>
        <w:tc>
          <w:tcPr>
            <w:tcW w:type="dxa" w:w="2223"/>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452"/>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41"/>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23"/>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45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41"/>
            <w:tcMar>
              <w:top w:type="dxa" w:w="60"/>
              <w:left w:type="dxa" w:w="100"/>
              <w:bottom w:type="dxa" w:w="60"/>
              <w:right w:type="dxa" w:w="100"/>
            </w:tcMar>
          </w:tcPr>
          <w:p>
            <w:pPr>
              <w:spacing w:after="0" w:before="0" w:line="252"/>
            </w:pPr>
            <w:r>
              <w:rPr>
                <w:sz w:val="19"/>
                <w:szCs w:val="19"/>
              </w:rPr>
              <w:t xml:space="preserve">Product, security</w:t>
            </w:r>
          </w:p>
        </w:tc>
        <w:tc>
          <w:tcPr>
            <w:tcW w:type="dxa" w:w="2223"/>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452"/>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41"/>
            <w:tcMar>
              <w:top w:type="dxa" w:w="60"/>
              <w:left w:type="dxa" w:w="100"/>
              <w:bottom w:type="dxa" w:w="60"/>
              <w:right w:type="dxa" w:w="100"/>
            </w:tcMar>
          </w:tcPr>
          <w:p>
            <w:pPr>
              <w:spacing w:after="0" w:before="0" w:line="252"/>
            </w:pPr>
            <w:r>
              <w:rPr>
                <w:sz w:val="19"/>
                <w:szCs w:val="19"/>
              </w:rPr>
              <w:t xml:space="preserve">Product owner</w:t>
            </w:r>
          </w:p>
        </w:tc>
        <w:tc>
          <w:tcPr>
            <w:tcW w:type="dxa" w:w="2223"/>
            <w:tcMar>
              <w:top w:type="dxa" w:w="60"/>
              <w:left w:type="dxa" w:w="100"/>
              <w:bottom w:type="dxa" w:w="60"/>
              <w:right w:type="dxa" w:w="100"/>
            </w:tcMar>
          </w:tcPr>
          <w:p>
            <w:pPr>
              <w:spacing w:after="0" w:before="0" w:line="252"/>
            </w:pPr>
            <w:r>
              <w:rPr>
                <w:sz w:val="19"/>
                <w:szCs w:val="19"/>
              </w:rPr>
              <w:t xml:space="preserve">Yes, for phasing</w:t>
            </w:r>
          </w:p>
        </w:tc>
        <w:tc>
          <w:tcPr>
            <w:tcW w:type="dxa" w:w="245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41"/>
            <w:tcMar>
              <w:top w:type="dxa" w:w="60"/>
              <w:left w:type="dxa" w:w="100"/>
              <w:bottom w:type="dxa" w:w="60"/>
              <w:right w:type="dxa" w:w="100"/>
            </w:tcMar>
          </w:tcPr>
          <w:p>
            <w:pPr>
              <w:spacing w:after="0" w:before="0" w:line="252"/>
            </w:pPr>
            <w:r>
              <w:rPr>
                <w:sz w:val="19"/>
                <w:szCs w:val="19"/>
              </w:rPr>
              <w:t xml:space="preserve">Engineering, product</w:t>
            </w:r>
          </w:p>
        </w:tc>
        <w:tc>
          <w:tcPr>
            <w:tcW w:type="dxa" w:w="2223"/>
            <w:tcMar>
              <w:top w:type="dxa" w:w="60"/>
              <w:left w:type="dxa" w:w="100"/>
              <w:bottom w:type="dxa" w:w="60"/>
              <w:right w:type="dxa" w:w="100"/>
            </w:tcMar>
          </w:tcPr>
          <w:p>
            <w:pPr>
              <w:spacing w:after="0" w:before="0" w:line="252"/>
            </w:pPr>
            <w:r>
              <w:rPr>
                <w:sz w:val="19"/>
                <w:szCs w:val="19"/>
              </w:rPr>
              <w:t xml:space="preserve">Before orchestrator build</w:t>
            </w:r>
          </w:p>
        </w:tc>
        <w:tc>
          <w:tcPr>
            <w:tcW w:type="dxa" w:w="2452"/>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41"/>
            <w:tcMar>
              <w:top w:type="dxa" w:w="60"/>
              <w:left w:type="dxa" w:w="100"/>
              <w:bottom w:type="dxa" w:w="60"/>
              <w:right w:type="dxa" w:w="100"/>
            </w:tcMar>
          </w:tcPr>
          <w:p>
            <w:pPr>
              <w:spacing w:after="0" w:before="0" w:line="252"/>
            </w:pPr>
            <w:r>
              <w:rPr>
                <w:sz w:val="19"/>
                <w:szCs w:val="19"/>
              </w:rPr>
              <w:t xml:space="preserve">Product, data</w:t>
            </w:r>
          </w:p>
        </w:tc>
        <w:tc>
          <w:tcPr>
            <w:tcW w:type="dxa" w:w="2223"/>
            <w:tcMar>
              <w:top w:type="dxa" w:w="60"/>
              <w:left w:type="dxa" w:w="100"/>
              <w:bottom w:type="dxa" w:w="60"/>
              <w:right w:type="dxa" w:w="100"/>
            </w:tcMar>
          </w:tcPr>
          <w:p>
            <w:pPr>
              <w:spacing w:after="0" w:before="0" w:line="252"/>
            </w:pPr>
            <w:r>
              <w:rPr>
                <w:sz w:val="19"/>
                <w:szCs w:val="19"/>
              </w:rPr>
              <w:t xml:space="preserve">Before beta</w:t>
            </w:r>
          </w:p>
        </w:tc>
        <w:tc>
          <w:tcPr>
            <w:tcW w:type="dxa" w:w="2452"/>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41"/>
            <w:tcMar>
              <w:top w:type="dxa" w:w="60"/>
              <w:left w:type="dxa" w:w="100"/>
              <w:bottom w:type="dxa" w:w="60"/>
              <w:right w:type="dxa" w:w="100"/>
            </w:tcMar>
          </w:tcPr>
          <w:p>
            <w:pPr>
              <w:spacing w:after="0" w:before="0" w:line="252"/>
            </w:pPr>
            <w:r>
              <w:rPr>
                <w:sz w:val="19"/>
                <w:szCs w:val="19"/>
              </w:rPr>
              <w:t xml:space="preserve">Product</w:t>
            </w:r>
          </w:p>
        </w:tc>
        <w:tc>
          <w:tcPr>
            <w:tcW w:type="dxa" w:w="2223"/>
            <w:tcMar>
              <w:top w:type="dxa" w:w="60"/>
              <w:left w:type="dxa" w:w="100"/>
              <w:bottom w:type="dxa" w:w="60"/>
              <w:right w:type="dxa" w:w="100"/>
            </w:tcMar>
          </w:tcPr>
          <w:p>
            <w:pPr>
              <w:spacing w:after="0" w:before="0" w:line="252"/>
            </w:pPr>
            <w:r>
              <w:rPr>
                <w:sz w:val="19"/>
                <w:szCs w:val="19"/>
              </w:rPr>
              <w:t xml:space="preserve">Before budget build</w:t>
            </w:r>
          </w:p>
        </w:tc>
        <w:tc>
          <w:tcPr>
            <w:tcW w:type="dxa" w:w="2452"/>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41"/>
            <w:tcMar>
              <w:top w:type="dxa" w:w="60"/>
              <w:left w:type="dxa" w:w="100"/>
              <w:bottom w:type="dxa" w:w="60"/>
              <w:right w:type="dxa" w:w="100"/>
            </w:tcMar>
          </w:tcPr>
          <w:p>
            <w:pPr>
              <w:spacing w:after="0" w:before="0" w:line="252"/>
            </w:pPr>
            <w:r>
              <w:rPr>
                <w:sz w:val="19"/>
                <w:szCs w:val="19"/>
              </w:rPr>
              <w:t xml:space="preserve">Business</w:t>
            </w:r>
          </w:p>
        </w:tc>
        <w:tc>
          <w:tcPr>
            <w:tcW w:type="dxa" w:w="2223"/>
            <w:tcMar>
              <w:top w:type="dxa" w:w="60"/>
              <w:left w:type="dxa" w:w="100"/>
              <w:bottom w:type="dxa" w:w="60"/>
              <w:right w:type="dxa" w:w="100"/>
            </w:tcMar>
          </w:tcPr>
          <w:p>
            <w:pPr>
              <w:spacing w:after="0" w:before="0" w:line="252"/>
            </w:pPr>
            <w:r>
              <w:rPr>
                <w:sz w:val="19"/>
                <w:szCs w:val="19"/>
              </w:rPr>
              <w:t xml:space="preserve">Before beta</w:t>
            </w:r>
          </w:p>
        </w:tc>
        <w:tc>
          <w:tcPr>
            <w:tcW w:type="dxa" w:w="2452"/>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41"/>
            <w:tcMar>
              <w:top w:type="dxa" w:w="60"/>
              <w:left w:type="dxa" w:w="100"/>
              <w:bottom w:type="dxa" w:w="60"/>
              <w:right w:type="dxa" w:w="100"/>
            </w:tcMar>
          </w:tcPr>
          <w:p>
            <w:pPr>
              <w:spacing w:after="0" w:before="0" w:line="252"/>
            </w:pPr>
            <w:r>
              <w:rPr>
                <w:sz w:val="19"/>
                <w:szCs w:val="19"/>
              </w:rPr>
              <w:t xml:space="preserve">Sales, legal</w:t>
            </w:r>
          </w:p>
        </w:tc>
        <w:tc>
          <w:tcPr>
            <w:tcW w:type="dxa" w:w="2223"/>
            <w:tcMar>
              <w:top w:type="dxa" w:w="60"/>
              <w:left w:type="dxa" w:w="100"/>
              <w:bottom w:type="dxa" w:w="60"/>
              <w:right w:type="dxa" w:w="100"/>
            </w:tcMar>
          </w:tcPr>
          <w:p>
            <w:pPr>
              <w:spacing w:after="0" w:before="0" w:line="252"/>
            </w:pPr>
            <w:r>
              <w:rPr>
                <w:sz w:val="19"/>
                <w:szCs w:val="19"/>
              </w:rPr>
              <w:t xml:space="preserve">Before Enterprise GA</w:t>
            </w:r>
          </w:p>
        </w:tc>
        <w:tc>
          <w:tcPr>
            <w:tcW w:type="dxa" w:w="2452"/>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41"/>
            <w:tcMar>
              <w:top w:type="dxa" w:w="60"/>
              <w:left w:type="dxa" w:w="100"/>
              <w:bottom w:type="dxa" w:w="60"/>
              <w:right w:type="dxa" w:w="100"/>
            </w:tcMar>
          </w:tcPr>
          <w:p>
            <w:pPr>
              <w:spacing w:after="0" w:before="0" w:line="252"/>
            </w:pPr>
            <w:r>
              <w:rPr>
                <w:sz w:val="19"/>
                <w:szCs w:val="19"/>
              </w:rPr>
              <w:t xml:space="preserve">Business development</w:t>
            </w:r>
          </w:p>
        </w:tc>
        <w:tc>
          <w:tcPr>
            <w:tcW w:type="dxa" w:w="2223"/>
            <w:tcMar>
              <w:top w:type="dxa" w:w="60"/>
              <w:left w:type="dxa" w:w="100"/>
              <w:bottom w:type="dxa" w:w="60"/>
              <w:right w:type="dxa" w:w="100"/>
            </w:tcMar>
          </w:tcPr>
          <w:p>
            <w:pPr>
              <w:spacing w:after="0" w:before="0" w:line="252"/>
            </w:pPr>
            <w:r>
              <w:rPr>
                <w:sz w:val="19"/>
                <w:szCs w:val="19"/>
              </w:rPr>
              <w:t xml:space="preserve">Before Home</w:t>
            </w:r>
          </w:p>
        </w:tc>
        <w:tc>
          <w:tcPr>
            <w:tcW w:type="dxa" w:w="245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41"/>
            <w:tcMar>
              <w:top w:type="dxa" w:w="60"/>
              <w:left w:type="dxa" w:w="100"/>
              <w:bottom w:type="dxa" w:w="60"/>
              <w:right w:type="dxa" w:w="100"/>
            </w:tcMar>
          </w:tcPr>
          <w:p>
            <w:pPr>
              <w:spacing w:after="0" w:before="0" w:line="252"/>
            </w:pPr>
            <w:r>
              <w:rPr>
                <w:sz w:val="19"/>
                <w:szCs w:val="19"/>
              </w:rPr>
              <w:t xml:space="preserve">Product</w:t>
            </w:r>
          </w:p>
        </w:tc>
        <w:tc>
          <w:tcPr>
            <w:tcW w:type="dxa" w:w="2223"/>
            <w:tcMar>
              <w:top w:type="dxa" w:w="60"/>
              <w:left w:type="dxa" w:w="100"/>
              <w:bottom w:type="dxa" w:w="60"/>
              <w:right w:type="dxa" w:w="100"/>
            </w:tcMar>
          </w:tcPr>
          <w:p>
            <w:pPr>
              <w:spacing w:after="0" w:before="0" w:line="252"/>
            </w:pPr>
            <w:r>
              <w:rPr>
                <w:sz w:val="19"/>
                <w:szCs w:val="19"/>
              </w:rPr>
              <w:t xml:space="preserve">No</w:t>
            </w:r>
          </w:p>
        </w:tc>
        <w:tc>
          <w:tcPr>
            <w:tcW w:type="dxa" w:w="2452"/>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Allow browser-automation connectors for sites with no API? They would run only in the disposable sandbox (SEC‑15)</w:t>
            </w:r>
          </w:p>
        </w:tc>
        <w:tc>
          <w:tcPr>
            <w:tcW w:type="dxa" w:w="1741"/>
            <w:tcMar>
              <w:top w:type="dxa" w:w="60"/>
              <w:left w:type="dxa" w:w="100"/>
              <w:bottom w:type="dxa" w:w="60"/>
              <w:right w:type="dxa" w:w="100"/>
            </w:tcMar>
          </w:tcPr>
          <w:p>
            <w:pPr>
              <w:spacing w:after="0" w:before="0" w:line="252"/>
            </w:pPr>
            <w:r>
              <w:rPr>
                <w:sz w:val="19"/>
                <w:szCs w:val="19"/>
              </w:rPr>
              <w:t xml:space="preserve">Product, security</w:t>
            </w:r>
          </w:p>
        </w:tc>
        <w:tc>
          <w:tcPr>
            <w:tcW w:type="dxa" w:w="2223"/>
            <w:tcMar>
              <w:top w:type="dxa" w:w="60"/>
              <w:left w:type="dxa" w:w="100"/>
              <w:bottom w:type="dxa" w:w="60"/>
              <w:right w:type="dxa" w:w="100"/>
            </w:tcMar>
          </w:tcPr>
          <w:p>
            <w:pPr>
              <w:spacing w:after="0" w:before="0" w:line="252"/>
            </w:pPr>
            <w:r>
              <w:rPr>
                <w:sz w:val="19"/>
                <w:szCs w:val="19"/>
              </w:rPr>
              <w:t xml:space="preserve">No (P2)</w:t>
            </w:r>
          </w:p>
        </w:tc>
        <w:tc>
          <w:tcPr>
            <w:tcW w:type="dxa" w:w="2452"/>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Security review of the amendments (MR‑02, MR‑09, MR‑10, MR‑11, MR‑17, MR‑24, MR‑25) and of the readings in §1 and below, which §1 requires</w:t>
            </w:r>
          </w:p>
        </w:tc>
        <w:tc>
          <w:tcPr>
            <w:tcW w:type="dxa" w:w="1741"/>
            <w:tcMar>
              <w:top w:type="dxa" w:w="60"/>
              <w:left w:type="dxa" w:w="100"/>
              <w:bottom w:type="dxa" w:w="60"/>
              <w:right w:type="dxa" w:w="100"/>
            </w:tcMar>
          </w:tcPr>
          <w:p>
            <w:pPr>
              <w:spacing w:after="0" w:before="0" w:line="252"/>
            </w:pPr>
            <w:r>
              <w:rPr>
                <w:sz w:val="19"/>
                <w:szCs w:val="19"/>
              </w:rPr>
              <w:t xml:space="preserve">Security</w:t>
            </w:r>
          </w:p>
        </w:tc>
        <w:tc>
          <w:tcPr>
            <w:tcW w:type="dxa" w:w="2223"/>
            <w:tcMar>
              <w:top w:type="dxa" w:w="60"/>
              <w:left w:type="dxa" w:w="100"/>
              <w:bottom w:type="dxa" w:w="60"/>
              <w:right w:type="dxa" w:w="100"/>
            </w:tcMar>
          </w:tcPr>
          <w:p>
            <w:pPr>
              <w:spacing w:after="0" w:before="0" w:line="252"/>
            </w:pPr>
            <w:r>
              <w:rPr>
                <w:sz w:val="19"/>
                <w:szCs w:val="19"/>
              </w:rPr>
              <w:t xml:space="preserve">Yes, before the GA build; the beta runs under the v0.7 wording (§1)</w:t>
            </w:r>
          </w:p>
        </w:tc>
        <w:tc>
          <w:tcPr>
            <w:tcW w:type="dxa" w:w="2452"/>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Keep the three hard lines that are never mandated: sends outside the trusted boundary, unlocking or disarming home security, and security or access changes (ASG‑24)?</w:t>
            </w:r>
          </w:p>
        </w:tc>
        <w:tc>
          <w:tcPr>
            <w:tcW w:type="dxa" w:w="1741"/>
            <w:tcMar>
              <w:top w:type="dxa" w:w="60"/>
              <w:left w:type="dxa" w:w="100"/>
              <w:bottom w:type="dxa" w:w="60"/>
              <w:right w:type="dxa" w:w="100"/>
            </w:tcMar>
          </w:tcPr>
          <w:p>
            <w:pPr>
              <w:spacing w:after="0" w:before="0" w:line="252"/>
            </w:pPr>
            <w:r>
              <w:rPr>
                <w:sz w:val="19"/>
                <w:szCs w:val="19"/>
              </w:rPr>
              <w:t xml:space="preserve">Product owner</w:t>
            </w:r>
          </w:p>
        </w:tc>
        <w:tc>
          <w:tcPr>
            <w:tcW w:type="dxa" w:w="2223"/>
            <w:tcMar>
              <w:top w:type="dxa" w:w="60"/>
              <w:left w:type="dxa" w:w="100"/>
              <w:bottom w:type="dxa" w:w="60"/>
              <w:right w:type="dxa" w:w="100"/>
            </w:tcMar>
          </w:tcPr>
          <w:p>
            <w:pPr>
              <w:spacing w:after="0" w:before="0" w:line="252"/>
            </w:pPr>
            <w:r>
              <w:rPr>
                <w:sz w:val="19"/>
                <w:szCs w:val="19"/>
              </w:rPr>
              <w:t xml:space="preserve">No</w:t>
            </w:r>
          </w:p>
        </w:tc>
        <w:tc>
          <w:tcPr>
            <w:tcW w:type="dxa" w:w="2452"/>
            <w:tcMar>
              <w:top w:type="dxa" w:w="60"/>
              <w:left w:type="dxa" w:w="100"/>
              <w:bottom w:type="dxa" w:w="60"/>
              <w:right w:type="dxa" w:w="100"/>
            </w:tcMar>
          </w:tcPr>
          <w:p>
            <w:pPr>
              <w:spacing w:after="0" w:before="0" w:line="252"/>
            </w:pPr>
            <w:r>
              <w:rPr>
                <w:sz w:val="19"/>
                <w:szCs w:val="19"/>
              </w:rPr>
              <w:t xml:space="preserve">Keep them</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741"/>
            <w:tcMar>
              <w:top w:type="dxa" w:w="60"/>
              <w:left w:type="dxa" w:w="100"/>
              <w:bottom w:type="dxa" w:w="60"/>
              <w:right w:type="dxa" w:w="100"/>
            </w:tcMar>
          </w:tcPr>
          <w:p>
            <w:pPr>
              <w:spacing w:after="0" w:before="0" w:line="252"/>
            </w:pPr>
            <w:r>
              <w:rPr>
                <w:sz w:val="19"/>
                <w:szCs w:val="19"/>
              </w:rPr>
              <w:t xml:space="preserve">Engineering</w:t>
            </w:r>
          </w:p>
        </w:tc>
        <w:tc>
          <w:tcPr>
            <w:tcW w:type="dxa" w:w="2223"/>
            <w:tcMar>
              <w:top w:type="dxa" w:w="60"/>
              <w:left w:type="dxa" w:w="100"/>
              <w:bottom w:type="dxa" w:w="60"/>
              <w:right w:type="dxa" w:w="100"/>
            </w:tcMar>
          </w:tcPr>
          <w:p>
            <w:pPr>
              <w:spacing w:after="0" w:before="0" w:line="252"/>
            </w:pPr>
            <w:r>
              <w:rPr>
                <w:sz w:val="19"/>
                <w:szCs w:val="19"/>
              </w:rPr>
              <w:t xml:space="preserve">Before the GA catalog is fixed</w:t>
            </w:r>
          </w:p>
        </w:tc>
        <w:tc>
          <w:tcPr>
            <w:tcW w:type="dxa" w:w="2452"/>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41"/>
            <w:tcMar>
              <w:top w:type="dxa" w:w="60"/>
              <w:left w:type="dxa" w:w="100"/>
              <w:bottom w:type="dxa" w:w="60"/>
              <w:right w:type="dxa" w:w="100"/>
            </w:tcMar>
          </w:tcPr>
          <w:p>
            <w:pPr>
              <w:spacing w:after="0" w:before="0" w:line="252"/>
            </w:pPr>
            <w:r>
              <w:rPr>
                <w:sz w:val="19"/>
                <w:szCs w:val="19"/>
              </w:rPr>
              <w:t xml:space="preserve">Product</w:t>
            </w:r>
          </w:p>
        </w:tc>
        <w:tc>
          <w:tcPr>
            <w:tcW w:type="dxa" w:w="2223"/>
            <w:tcMar>
              <w:top w:type="dxa" w:w="60"/>
              <w:left w:type="dxa" w:w="100"/>
              <w:bottom w:type="dxa" w:w="60"/>
              <w:right w:type="dxa" w:w="100"/>
            </w:tcMar>
          </w:tcPr>
          <w:p>
            <w:pPr>
              <w:spacing w:after="0" w:before="0" w:line="252"/>
            </w:pPr>
            <w:r>
              <w:rPr>
                <w:sz w:val="19"/>
                <w:szCs w:val="19"/>
              </w:rPr>
              <w:t xml:space="preserve">No (P2)</w:t>
            </w:r>
          </w:p>
        </w:tc>
        <w:tc>
          <w:tcPr>
            <w:tcW w:type="dxa" w:w="2452"/>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41"/>
            <w:tcMar>
              <w:top w:type="dxa" w:w="60"/>
              <w:left w:type="dxa" w:w="100"/>
              <w:bottom w:type="dxa" w:w="60"/>
              <w:right w:type="dxa" w:w="100"/>
            </w:tcMar>
          </w:tcPr>
          <w:p>
            <w:pPr>
              <w:spacing w:after="0" w:before="0" w:line="252"/>
            </w:pPr>
            <w:r>
              <w:rPr>
                <w:sz w:val="19"/>
                <w:szCs w:val="19"/>
              </w:rPr>
              <w:t xml:space="preserve">Business</w:t>
            </w:r>
          </w:p>
        </w:tc>
        <w:tc>
          <w:tcPr>
            <w:tcW w:type="dxa" w:w="2223"/>
            <w:tcMar>
              <w:top w:type="dxa" w:w="60"/>
              <w:left w:type="dxa" w:w="100"/>
              <w:bottom w:type="dxa" w:w="60"/>
              <w:right w:type="dxa" w:w="100"/>
            </w:tcMar>
          </w:tcPr>
          <w:p>
            <w:pPr>
              <w:spacing w:after="0" w:before="0" w:line="252"/>
            </w:pPr>
            <w:r>
              <w:rPr>
                <w:sz w:val="19"/>
                <w:szCs w:val="19"/>
              </w:rPr>
              <w:t xml:space="preserve">No (P2)</w:t>
            </w:r>
          </w:p>
        </w:tc>
        <w:tc>
          <w:tcPr>
            <w:tcW w:type="dxa" w:w="2452"/>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41"/>
            <w:tcMar>
              <w:top w:type="dxa" w:w="60"/>
              <w:left w:type="dxa" w:w="100"/>
              <w:bottom w:type="dxa" w:w="60"/>
              <w:right w:type="dxa" w:w="100"/>
            </w:tcMar>
          </w:tcPr>
          <w:p>
            <w:pPr>
              <w:spacing w:after="0" w:before="0" w:line="252"/>
            </w:pPr>
            <w:r>
              <w:rPr>
                <w:sz w:val="19"/>
                <w:szCs w:val="19"/>
              </w:rPr>
              <w:t xml:space="preserve">Product, legal</w:t>
            </w:r>
          </w:p>
        </w:tc>
        <w:tc>
          <w:tcPr>
            <w:tcW w:type="dxa" w:w="2223"/>
            <w:tcMar>
              <w:top w:type="dxa" w:w="60"/>
              <w:left w:type="dxa" w:w="100"/>
              <w:bottom w:type="dxa" w:w="60"/>
              <w:right w:type="dxa" w:w="100"/>
            </w:tcMar>
          </w:tcPr>
          <w:p>
            <w:pPr>
              <w:spacing w:after="0" w:before="0" w:line="252"/>
            </w:pPr>
            <w:r>
              <w:rPr>
                <w:sz w:val="19"/>
                <w:szCs w:val="19"/>
              </w:rPr>
              <w:t xml:space="preserve">No</w:t>
            </w:r>
          </w:p>
        </w:tc>
        <w:tc>
          <w:tcPr>
            <w:tcW w:type="dxa" w:w="2452"/>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Home minimum age?</w:t>
            </w:r>
          </w:p>
        </w:tc>
        <w:tc>
          <w:tcPr>
            <w:tcW w:type="dxa" w:w="1741"/>
            <w:tcMar>
              <w:top w:type="dxa" w:w="60"/>
              <w:left w:type="dxa" w:w="100"/>
              <w:bottom w:type="dxa" w:w="60"/>
              <w:right w:type="dxa" w:w="100"/>
            </w:tcMar>
          </w:tcPr>
          <w:p>
            <w:pPr>
              <w:spacing w:after="0" w:before="0" w:line="252"/>
            </w:pPr>
            <w:r>
              <w:rPr>
                <w:sz w:val="19"/>
                <w:szCs w:val="19"/>
              </w:rPr>
              <w:t xml:space="preserve">Legal</w:t>
            </w:r>
          </w:p>
        </w:tc>
        <w:tc>
          <w:tcPr>
            <w:tcW w:type="dxa" w:w="2223"/>
            <w:tcMar>
              <w:top w:type="dxa" w:w="60"/>
              <w:left w:type="dxa" w:w="100"/>
              <w:bottom w:type="dxa" w:w="60"/>
              <w:right w:type="dxa" w:w="100"/>
            </w:tcMar>
          </w:tcPr>
          <w:p>
            <w:pPr>
              <w:spacing w:after="0" w:before="0" w:line="252"/>
            </w:pPr>
            <w:r>
              <w:rPr>
                <w:sz w:val="19"/>
                <w:szCs w:val="19"/>
              </w:rPr>
              <w:t xml:space="preserve">Before Home launch</w:t>
            </w:r>
          </w:p>
        </w:tc>
        <w:tc>
          <w:tcPr>
            <w:tcW w:type="dxa" w:w="2452"/>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41"/>
            <w:tcMar>
              <w:top w:type="dxa" w:w="60"/>
              <w:left w:type="dxa" w:w="100"/>
              <w:bottom w:type="dxa" w:w="60"/>
              <w:right w:type="dxa" w:w="100"/>
            </w:tcMar>
          </w:tcPr>
          <w:p>
            <w:pPr>
              <w:spacing w:after="0" w:before="0" w:line="252"/>
            </w:pPr>
            <w:r>
              <w:rPr>
                <w:sz w:val="19"/>
                <w:szCs w:val="19"/>
              </w:rPr>
              <w:t xml:space="preserve">Product owner</w:t>
            </w:r>
          </w:p>
        </w:tc>
        <w:tc>
          <w:tcPr>
            <w:tcW w:type="dxa" w:w="2223"/>
            <w:tcMar>
              <w:top w:type="dxa" w:w="60"/>
              <w:left w:type="dxa" w:w="100"/>
              <w:bottom w:type="dxa" w:w="60"/>
              <w:right w:type="dxa" w:w="100"/>
            </w:tcMar>
          </w:tcPr>
          <w:p>
            <w:pPr>
              <w:spacing w:after="0" w:before="0" w:line="252"/>
            </w:pPr>
            <w:r>
              <w:rPr>
                <w:sz w:val="19"/>
                <w:szCs w:val="19"/>
              </w:rPr>
              <w:t xml:space="preserve">Before beta signing</w:t>
            </w:r>
          </w:p>
        </w:tc>
        <w:tc>
          <w:tcPr>
            <w:tcW w:type="dxa" w:w="2452"/>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41"/>
            <w:tcMar>
              <w:top w:type="dxa" w:w="60"/>
              <w:left w:type="dxa" w:w="100"/>
              <w:bottom w:type="dxa" w:w="60"/>
              <w:right w:type="dxa" w:w="100"/>
            </w:tcMar>
          </w:tcPr>
          <w:p>
            <w:pPr>
              <w:spacing w:after="0" w:before="0" w:line="252"/>
            </w:pPr>
            <w:r>
              <w:rPr>
                <w:sz w:val="19"/>
                <w:szCs w:val="19"/>
              </w:rPr>
              <w:t xml:space="preserve">Product, security</w:t>
            </w:r>
          </w:p>
        </w:tc>
        <w:tc>
          <w:tcPr>
            <w:tcW w:type="dxa" w:w="2223"/>
            <w:tcMar>
              <w:top w:type="dxa" w:w="60"/>
              <w:left w:type="dxa" w:w="100"/>
              <w:bottom w:type="dxa" w:w="60"/>
              <w:right w:type="dxa" w:w="100"/>
            </w:tcMar>
          </w:tcPr>
          <w:p>
            <w:pPr>
              <w:spacing w:after="0" w:before="0" w:line="252"/>
            </w:pPr>
            <w:r>
              <w:rPr>
                <w:sz w:val="19"/>
                <w:szCs w:val="19"/>
              </w:rPr>
              <w:t xml:space="preserve">No</w:t>
            </w:r>
          </w:p>
        </w:tc>
        <w:tc>
          <w:tcPr>
            <w:tcW w:type="dxa" w:w="2452"/>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944"/>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41"/>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23"/>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452"/>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w:t>
      </w:r>
      <w:r>
        <w:t xml:space="preserve"> The product owner chose these on 2026-10-10. The security review judges each one, and any it finds goes beyond its rule's words becomes an amendment. The readings that v0.8 listed for MR‑02, MR‑09, MR‑11, MR‑17 and MR‑25 are now in those rules' wording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9"/>
        <w:gridCol w:w="8331"/>
      </w:tblGrid>
      <w:tr>
        <w:trPr>
          <w:tblHeader/>
        </w:trPr>
        <w:tc>
          <w:tcPr>
            <w:tcW w:type="dxa" w:w="10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331"/>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029"/>
            <w:tcMar>
              <w:top w:type="dxa" w:w="60"/>
              <w:left w:type="dxa" w:w="100"/>
              <w:bottom w:type="dxa" w:w="60"/>
              <w:right w:type="dxa" w:w="100"/>
            </w:tcMar>
          </w:tcPr>
          <w:p>
            <w:pPr>
              <w:spacing w:after="0" w:before="0" w:line="252"/>
            </w:pPr>
            <w:r>
              <w:rPr>
                <w:sz w:val="19"/>
                <w:szCs w:val="19"/>
              </w:rPr>
              <w:t xml:space="preserve">MR‑10</w:t>
            </w:r>
          </w:p>
        </w:tc>
        <w:tc>
          <w:tcPr>
            <w:tcW w:type="dxa" w:w="8331"/>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029"/>
            <w:tcMar>
              <w:top w:type="dxa" w:w="60"/>
              <w:left w:type="dxa" w:w="100"/>
              <w:bottom w:type="dxa" w:w="60"/>
              <w:right w:type="dxa" w:w="100"/>
            </w:tcMar>
          </w:tcPr>
          <w:p>
            <w:pPr>
              <w:spacing w:after="0" w:before="0" w:line="252"/>
            </w:pPr>
            <w:r>
              <w:rPr>
                <w:sz w:val="19"/>
                <w:szCs w:val="19"/>
              </w:rPr>
              <w:t xml:space="preserve">MR‑12</w:t>
            </w:r>
          </w:p>
        </w:tc>
        <w:tc>
          <w:tcPr>
            <w:tcW w:type="dxa" w:w="8331"/>
            <w:tcMar>
              <w:top w:type="dxa" w:w="60"/>
              <w:left w:type="dxa" w:w="100"/>
              <w:bottom w:type="dxa" w:w="60"/>
              <w:right w:type="dxa" w:w="100"/>
            </w:tcMar>
          </w:tcPr>
          <w:p>
            <w:pPr>
              <w:spacing w:after="0" w:before="0" w:line="252"/>
            </w:pPr>
            <w:r>
              <w:rPr>
                <w:sz w:val="19"/>
                <w:szCs w:val="19"/>
              </w:rPr>
              <w:t xml:space="preserve">A purchase approval or mandate covers a ceiling and a substitution policy, not an exact total (PAY‑05)</w:t>
            </w:r>
          </w:p>
        </w:tc>
      </w:tr>
      <w:tr>
        <w:trPr>
          <w:tblHeader w:val="off"/>
        </w:trPr>
        <w:tc>
          <w:tcPr>
            <w:tcW w:type="dxa" w:w="1029"/>
            <w:tcMar>
              <w:top w:type="dxa" w:w="60"/>
              <w:left w:type="dxa" w:w="100"/>
              <w:bottom w:type="dxa" w:w="60"/>
              <w:right w:type="dxa" w:w="100"/>
            </w:tcMar>
          </w:tcPr>
          <w:p>
            <w:pPr>
              <w:spacing w:after="0" w:before="0" w:line="252"/>
            </w:pPr>
            <w:r>
              <w:rPr>
                <w:sz w:val="19"/>
                <w:szCs w:val="19"/>
              </w:rPr>
              <w:t xml:space="preserve">MR‑15</w:t>
            </w:r>
          </w:p>
        </w:tc>
        <w:tc>
          <w:tcPr>
            <w:tcW w:type="dxa" w:w="8331"/>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029"/>
            <w:tcMar>
              <w:top w:type="dxa" w:w="60"/>
              <w:left w:type="dxa" w:w="100"/>
              <w:bottom w:type="dxa" w:w="60"/>
              <w:right w:type="dxa" w:w="100"/>
            </w:tcMar>
          </w:tcPr>
          <w:p>
            <w:pPr>
              <w:spacing w:after="0" w:before="0" w:line="252"/>
            </w:pPr>
            <w:r>
              <w:rPr>
                <w:sz w:val="19"/>
                <w:szCs w:val="19"/>
              </w:rPr>
              <w:t xml:space="preserve">MR‑22</w:t>
            </w:r>
          </w:p>
        </w:tc>
        <w:tc>
          <w:tcPr>
            <w:tcW w:type="dxa" w:w="8331"/>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029"/>
            <w:tcMar>
              <w:top w:type="dxa" w:w="60"/>
              <w:left w:type="dxa" w:w="100"/>
              <w:bottom w:type="dxa" w:w="60"/>
              <w:right w:type="dxa" w:w="100"/>
            </w:tcMar>
          </w:tcPr>
          <w:p>
            <w:pPr>
              <w:spacing w:after="0" w:before="0" w:line="252"/>
            </w:pPr>
            <w:r>
              <w:rPr>
                <w:sz w:val="19"/>
                <w:szCs w:val="19"/>
              </w:rPr>
              <w:t xml:space="preserve">MR‑23</w:t>
            </w:r>
          </w:p>
        </w:tc>
        <w:tc>
          <w:tcPr>
            <w:tcW w:type="dxa" w:w="8331"/>
            <w:tcMar>
              <w:top w:type="dxa" w:w="60"/>
              <w:left w:type="dxa" w:w="100"/>
              <w:bottom w:type="dxa" w:w="60"/>
              <w:right w:type="dxa" w:w="100"/>
            </w:tcMar>
          </w:tcPr>
          <w:p>
            <w:pPr>
              <w:spacing w:after="0" w:before="0" w:line="252"/>
            </w:pPr>
            <w:r>
              <w:rPr>
                <w:sz w:val="19"/>
                <w:szCs w:val="19"/>
              </w:rPr>
              <w:t xml:space="preserve">Out of scope means outside the step's grants, the task's plan or its success criteria (§1)</w:t>
            </w:r>
          </w:p>
        </w:tc>
      </w:tr>
      <w:tr>
        <w:trPr>
          <w:tblHeader w:val="off"/>
        </w:trPr>
        <w:tc>
          <w:tcPr>
            <w:tcW w:type="dxa" w:w="1029"/>
            <w:tcMar>
              <w:top w:type="dxa" w:w="60"/>
              <w:left w:type="dxa" w:w="100"/>
              <w:bottom w:type="dxa" w:w="60"/>
              <w:right w:type="dxa" w:w="100"/>
            </w:tcMar>
          </w:tcPr>
          <w:p>
            <w:pPr>
              <w:spacing w:after="0" w:before="0" w:line="252"/>
            </w:pPr>
            <w:r>
              <w:rPr>
                <w:sz w:val="19"/>
                <w:szCs w:val="19"/>
              </w:rPr>
              <w:t xml:space="preserve">MR‑24</w:t>
            </w:r>
          </w:p>
        </w:tc>
        <w:tc>
          <w:tcPr>
            <w:tcW w:type="dxa" w:w="8331"/>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029"/>
            <w:tcMar>
              <w:top w:type="dxa" w:w="60"/>
              <w:left w:type="dxa" w:w="100"/>
              <w:bottom w:type="dxa" w:w="60"/>
              <w:right w:type="dxa" w:w="100"/>
            </w:tcMar>
          </w:tcPr>
          <w:p>
            <w:pPr>
              <w:spacing w:after="0" w:before="0" w:line="252"/>
            </w:pPr>
            <w:r>
              <w:rPr>
                <w:sz w:val="19"/>
                <w:szCs w:val="19"/>
              </w:rPr>
              <w:t xml:space="preserve">MR‑26</w:t>
            </w:r>
          </w:p>
        </w:tc>
        <w:tc>
          <w:tcPr>
            <w:tcW w:type="dxa" w:w="8331"/>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2"/>
        <w:gridCol w:w="1120"/>
        <w:gridCol w:w="6998"/>
      </w:tblGrid>
      <w:tr>
        <w:trPr>
          <w:tblHeader/>
        </w:trPr>
        <w:tc>
          <w:tcPr>
            <w:tcW w:type="dxa" w:w="1242"/>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20"/>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6998"/>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42"/>
            <w:tcMar>
              <w:top w:type="dxa" w:w="60"/>
              <w:left w:type="dxa" w:w="100"/>
              <w:bottom w:type="dxa" w:w="60"/>
              <w:right w:type="dxa" w:w="100"/>
            </w:tcMar>
          </w:tcPr>
          <w:p>
            <w:pPr>
              <w:spacing w:after="0" w:before="0" w:line="252"/>
            </w:pPr>
            <w:r>
              <w:rPr>
                <w:sz w:val="19"/>
                <w:szCs w:val="19"/>
              </w:rPr>
              <w:t xml:space="preserve">v0.9</w:t>
            </w:r>
          </w:p>
        </w:tc>
        <w:tc>
          <w:tcPr>
            <w:tcW w:type="dxa" w:w="1120"/>
            <w:tcMar>
              <w:top w:type="dxa" w:w="60"/>
              <w:left w:type="dxa" w:w="100"/>
              <w:bottom w:type="dxa" w:w="60"/>
              <w:right w:type="dxa" w:w="100"/>
            </w:tcMar>
          </w:tcPr>
          <w:p>
            <w:pPr>
              <w:spacing w:after="0" w:before="0" w:line="252"/>
            </w:pPr>
            <w:r>
              <w:rPr>
                <w:sz w:val="19"/>
                <w:szCs w:val="19"/>
              </w:rPr>
              <w:t xml:space="preserve">2026-10-10</w:t>
            </w:r>
          </w:p>
        </w:tc>
        <w:tc>
          <w:tcPr>
            <w:tcW w:type="dxa" w:w="6998"/>
            <w:tcMar>
              <w:top w:type="dxa" w:w="60"/>
              <w:left w:type="dxa" w:w="100"/>
              <w:bottom w:type="dxa" w:w="60"/>
              <w:right w:type="dxa" w:w="100"/>
            </w:tcMar>
          </w:tcPr>
          <w:p>
            <w:pPr>
              <w:spacing w:after="0" w:before="0" w:line="252"/>
            </w:pPr>
            <w:r>
              <w:rPr>
                <w:sz w:val="19"/>
                <w:szCs w:val="19"/>
              </w:rPr>
              <w:t xml:space="preserve">Review of v0.8. Every requirement that depends on an amendment is marked </w:t>
            </w:r>
            <w:r>
              <w:rPr>
                <w:i/>
                <w:iCs/>
                <w:sz w:val="19"/>
                <w:szCs w:val="19"/>
              </w:rPr>
              <w:t xml:space="preserve">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trPr>
          <w:tblHeader w:val="off"/>
        </w:trPr>
        <w:tc>
          <w:tcPr>
            <w:tcW w:type="dxa" w:w="1242"/>
            <w:tcMar>
              <w:top w:type="dxa" w:w="60"/>
              <w:left w:type="dxa" w:w="100"/>
              <w:bottom w:type="dxa" w:w="60"/>
              <w:right w:type="dxa" w:w="100"/>
            </w:tcMar>
          </w:tcPr>
          <w:p>
            <w:pPr>
              <w:spacing w:after="0" w:before="0" w:line="252"/>
            </w:pPr>
            <w:r>
              <w:rPr>
                <w:sz w:val="19"/>
                <w:szCs w:val="19"/>
              </w:rPr>
              <w:t xml:space="preserve">v0.8</w:t>
            </w:r>
          </w:p>
        </w:tc>
        <w:tc>
          <w:tcPr>
            <w:tcW w:type="dxa" w:w="1120"/>
            <w:tcMar>
              <w:top w:type="dxa" w:w="60"/>
              <w:left w:type="dxa" w:w="100"/>
              <w:bottom w:type="dxa" w:w="60"/>
              <w:right w:type="dxa" w:w="100"/>
            </w:tcMar>
          </w:tcPr>
          <w:p>
            <w:pPr>
              <w:spacing w:after="0" w:before="0" w:line="252"/>
            </w:pPr>
            <w:r>
              <w:rPr>
                <w:sz w:val="19"/>
                <w:szCs w:val="19"/>
              </w:rPr>
              <w:t xml:space="preserve">2026-10-10</w:t>
            </w:r>
          </w:p>
        </w:tc>
        <w:tc>
          <w:tcPr>
            <w:tcW w:type="dxa" w:w="6998"/>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42"/>
            <w:tcMar>
              <w:top w:type="dxa" w:w="60"/>
              <w:left w:type="dxa" w:w="100"/>
              <w:bottom w:type="dxa" w:w="60"/>
              <w:right w:type="dxa" w:w="100"/>
            </w:tcMar>
          </w:tcPr>
          <w:p>
            <w:pPr>
              <w:spacing w:after="0" w:before="0" w:line="252"/>
            </w:pPr>
            <w:r>
              <w:rPr>
                <w:sz w:val="19"/>
                <w:szCs w:val="19"/>
              </w:rPr>
              <w:t xml:space="preserve">v0.7</w:t>
            </w:r>
          </w:p>
        </w:tc>
        <w:tc>
          <w:tcPr>
            <w:tcW w:type="dxa" w:w="1120"/>
            <w:tcMar>
              <w:top w:type="dxa" w:w="60"/>
              <w:left w:type="dxa" w:w="100"/>
              <w:bottom w:type="dxa" w:w="60"/>
              <w:right w:type="dxa" w:w="100"/>
            </w:tcMar>
          </w:tcPr>
          <w:p>
            <w:pPr>
              <w:spacing w:after="0" w:before="0" w:line="252"/>
            </w:pPr>
            <w:r>
              <w:rPr>
                <w:sz w:val="19"/>
                <w:szCs w:val="19"/>
              </w:rPr>
              <w:t xml:space="preserve">2026-10-10</w:t>
            </w:r>
          </w:p>
        </w:tc>
        <w:tc>
          <w:tcPr>
            <w:tcW w:type="dxa" w:w="6998"/>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42"/>
            <w:tcMar>
              <w:top w:type="dxa" w:w="60"/>
              <w:left w:type="dxa" w:w="100"/>
              <w:bottom w:type="dxa" w:w="60"/>
              <w:right w:type="dxa" w:w="100"/>
            </w:tcMar>
          </w:tcPr>
          <w:p>
            <w:pPr>
              <w:spacing w:after="0" w:before="0" w:line="252"/>
            </w:pPr>
            <w:r>
              <w:rPr>
                <w:sz w:val="19"/>
                <w:szCs w:val="19"/>
              </w:rPr>
              <w:t xml:space="preserve">v0.6</w:t>
            </w:r>
          </w:p>
        </w:tc>
        <w:tc>
          <w:tcPr>
            <w:tcW w:type="dxa" w:w="1120"/>
            <w:tcMar>
              <w:top w:type="dxa" w:w="60"/>
              <w:left w:type="dxa" w:w="100"/>
              <w:bottom w:type="dxa" w:w="60"/>
              <w:right w:type="dxa" w:w="100"/>
            </w:tcMar>
          </w:tcPr>
          <w:p>
            <w:pPr>
              <w:spacing w:after="0" w:before="0" w:line="252"/>
            </w:pPr>
            <w:r>
              <w:rPr>
                <w:sz w:val="19"/>
                <w:szCs w:val="19"/>
              </w:rPr>
              <w:t xml:space="preserve">2026-10-10</w:t>
            </w:r>
          </w:p>
        </w:tc>
        <w:tc>
          <w:tcPr>
            <w:tcW w:type="dxa" w:w="6998"/>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42"/>
            <w:tcMar>
              <w:top w:type="dxa" w:w="60"/>
              <w:left w:type="dxa" w:w="100"/>
              <w:bottom w:type="dxa" w:w="60"/>
              <w:right w:type="dxa" w:w="100"/>
            </w:tcMar>
          </w:tcPr>
          <w:p>
            <w:pPr>
              <w:spacing w:after="0" w:before="0" w:line="252"/>
            </w:pPr>
            <w:r>
              <w:rPr>
                <w:sz w:val="19"/>
                <w:szCs w:val="19"/>
              </w:rPr>
              <w:t xml:space="preserve">v0.5</w:t>
            </w:r>
          </w:p>
        </w:tc>
        <w:tc>
          <w:tcPr>
            <w:tcW w:type="dxa" w:w="1120"/>
            <w:tcMar>
              <w:top w:type="dxa" w:w="60"/>
              <w:left w:type="dxa" w:w="100"/>
              <w:bottom w:type="dxa" w:w="60"/>
              <w:right w:type="dxa" w:w="100"/>
            </w:tcMar>
          </w:tcPr>
          <w:p>
            <w:pPr>
              <w:spacing w:after="0" w:before="0" w:line="252"/>
            </w:pPr>
            <w:r>
              <w:rPr>
                <w:sz w:val="19"/>
                <w:szCs w:val="19"/>
              </w:rPr>
              <w:t xml:space="preserve">2026-10-05</w:t>
            </w:r>
          </w:p>
        </w:tc>
        <w:tc>
          <w:tcPr>
            <w:tcW w:type="dxa" w:w="6998"/>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42"/>
            <w:tcMar>
              <w:top w:type="dxa" w:w="60"/>
              <w:left w:type="dxa" w:w="100"/>
              <w:bottom w:type="dxa" w:w="60"/>
              <w:right w:type="dxa" w:w="100"/>
            </w:tcMar>
          </w:tcPr>
          <w:p>
            <w:pPr>
              <w:spacing w:after="0" w:before="0" w:line="252"/>
            </w:pPr>
            <w:r>
              <w:rPr>
                <w:sz w:val="19"/>
                <w:szCs w:val="19"/>
              </w:rPr>
              <w:t xml:space="preserve">v0.4</w:t>
            </w:r>
          </w:p>
        </w:tc>
        <w:tc>
          <w:tcPr>
            <w:tcW w:type="dxa" w:w="1120"/>
            <w:tcMar>
              <w:top w:type="dxa" w:w="60"/>
              <w:left w:type="dxa" w:w="100"/>
              <w:bottom w:type="dxa" w:w="60"/>
              <w:right w:type="dxa" w:w="100"/>
            </w:tcMar>
          </w:tcPr>
          <w:p>
            <w:pPr>
              <w:spacing w:after="0" w:before="0" w:line="252"/>
            </w:pPr>
            <w:r>
              <w:rPr>
                <w:sz w:val="19"/>
                <w:szCs w:val="19"/>
              </w:rPr>
              <w:t xml:space="preserve">2026-10-05</w:t>
            </w:r>
          </w:p>
        </w:tc>
        <w:tc>
          <w:tcPr>
            <w:tcW w:type="dxa" w:w="6998"/>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42"/>
            <w:tcMar>
              <w:top w:type="dxa" w:w="60"/>
              <w:left w:type="dxa" w:w="100"/>
              <w:bottom w:type="dxa" w:w="60"/>
              <w:right w:type="dxa" w:w="100"/>
            </w:tcMar>
          </w:tcPr>
          <w:p>
            <w:pPr>
              <w:spacing w:after="0" w:before="0" w:line="252"/>
            </w:pPr>
            <w:r>
              <w:rPr>
                <w:sz w:val="19"/>
                <w:szCs w:val="19"/>
              </w:rPr>
              <w:t xml:space="preserve">v0.3</w:t>
            </w:r>
          </w:p>
        </w:tc>
        <w:tc>
          <w:tcPr>
            <w:tcW w:type="dxa" w:w="1120"/>
            <w:tcMar>
              <w:top w:type="dxa" w:w="60"/>
              <w:left w:type="dxa" w:w="100"/>
              <w:bottom w:type="dxa" w:w="60"/>
              <w:right w:type="dxa" w:w="100"/>
            </w:tcMar>
          </w:tcPr>
          <w:p>
            <w:pPr>
              <w:spacing w:after="0" w:before="0" w:line="252"/>
            </w:pPr>
            <w:r>
              <w:rPr>
                <w:sz w:val="19"/>
                <w:szCs w:val="19"/>
              </w:rPr>
              <w:t xml:space="preserve">2026-10-05</w:t>
            </w:r>
          </w:p>
        </w:tc>
        <w:tc>
          <w:tcPr>
            <w:tcW w:type="dxa" w:w="6998"/>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42"/>
            <w:tcMar>
              <w:top w:type="dxa" w:w="60"/>
              <w:left w:type="dxa" w:w="100"/>
              <w:bottom w:type="dxa" w:w="60"/>
              <w:right w:type="dxa" w:w="100"/>
            </w:tcMar>
          </w:tcPr>
          <w:p>
            <w:pPr>
              <w:spacing w:after="0" w:before="0" w:line="252"/>
            </w:pPr>
            <w:r>
              <w:rPr>
                <w:sz w:val="19"/>
                <w:szCs w:val="19"/>
              </w:rPr>
              <w:t xml:space="preserve">v0.2</w:t>
            </w:r>
          </w:p>
        </w:tc>
        <w:tc>
          <w:tcPr>
            <w:tcW w:type="dxa" w:w="1120"/>
            <w:tcMar>
              <w:top w:type="dxa" w:w="60"/>
              <w:left w:type="dxa" w:w="100"/>
              <w:bottom w:type="dxa" w:w="60"/>
              <w:right w:type="dxa" w:w="100"/>
            </w:tcMar>
          </w:tcPr>
          <w:p>
            <w:pPr>
              <w:spacing w:after="0" w:before="0" w:line="252"/>
            </w:pPr>
            <w:r>
              <w:rPr>
                <w:sz w:val="19"/>
                <w:szCs w:val="19"/>
              </w:rPr>
              <w:t xml:space="preserve">2026-10-05</w:t>
            </w:r>
          </w:p>
        </w:tc>
        <w:tc>
          <w:tcPr>
            <w:tcW w:type="dxa" w:w="6998"/>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42"/>
            <w:tcMar>
              <w:top w:type="dxa" w:w="60"/>
              <w:left w:type="dxa" w:w="100"/>
              <w:bottom w:type="dxa" w:w="60"/>
              <w:right w:type="dxa" w:w="100"/>
            </w:tcMar>
          </w:tcPr>
          <w:p>
            <w:pPr>
              <w:spacing w:after="0" w:before="0" w:line="252"/>
            </w:pPr>
            <w:r>
              <w:rPr>
                <w:sz w:val="19"/>
                <w:szCs w:val="19"/>
              </w:rPr>
              <w:t xml:space="preserve">v0.1</w:t>
            </w:r>
          </w:p>
        </w:tc>
        <w:tc>
          <w:tcPr>
            <w:tcW w:type="dxa" w:w="1120"/>
            <w:tcMar>
              <w:top w:type="dxa" w:w="60"/>
              <w:left w:type="dxa" w:w="100"/>
              <w:bottom w:type="dxa" w:w="60"/>
              <w:right w:type="dxa" w:w="100"/>
            </w:tcMar>
          </w:tcPr>
          <w:p>
            <w:pPr>
              <w:spacing w:after="0" w:before="0" w:line="252"/>
            </w:pPr>
            <w:r>
              <w:rPr>
                <w:sz w:val="19"/>
                <w:szCs w:val="19"/>
              </w:rPr>
              <w:t xml:space="preserve">2026-10-05</w:t>
            </w:r>
          </w:p>
        </w:tc>
        <w:tc>
          <w:tcPr>
            <w:tcW w:type="dxa" w:w="6998"/>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psljo4hyjnpqgwc07u_qt">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aswci1iwnxz9hqcekz8zc">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_whckoyt0xhqrrm1lhlff">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yditsazse1twirfdto_i0">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r3_8zlubuve5s_pomjgph">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s3qxkw4fo38mb74iee7sr">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5ghvhliy5vfo7oakr7km7">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77hkl1diap-fxpr_yclx7">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_ndjplx2bfaeclkevgfub">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bbkygjadg_u_zrvmm-vgm">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h3a40b05ff7pqkytmqos9">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sljo4hyjnpqgwc07u_qt" Type="http://schemas.openxmlformats.org/officeDocument/2006/relationships/hyperlink" Target="https://docs.temporal.io/activity-definition#idempotency" TargetMode="External"/><Relationship Id="rIdaswci1iwnxz9hqcekz8zc" Type="http://schemas.openxmlformats.org/officeDocument/2006/relationships/hyperlink" Target="https://learn.microsoft.com/en-us/entra/identity-platform/configurable-token-lifetimes" TargetMode="External"/><Relationship Id="rId_whckoyt0xhqrrm1lhlff" Type="http://schemas.openxmlformats.org/officeDocument/2006/relationships/hyperlink" Target="https://cheatsheetseries.owasp.org/cheatsheets/LLM_Prompt_Injection_Prevention_Cheat_Sheet.html" TargetMode="External"/><Relationship Id="rIdyditsazse1twirfdto_i0" Type="http://schemas.openxmlformats.org/officeDocument/2006/relationships/hyperlink" Target="https://learn.microsoft.com/en-us/entra/identity/app-provisioning/use-scim-to-provision-users-and-groups" TargetMode="External"/><Relationship Id="rIdr3_8zlubuve5s_pomjgph" Type="http://schemas.openxmlformats.org/officeDocument/2006/relationships/hyperlink" Target="https://learn.microsoft.com/en-us/entra/identity/conditional-access/concept-continuous-access-evaluation" TargetMode="External"/><Relationship Id="rIds3qxkw4fo38mb74iee7sr" Type="http://schemas.openxmlformats.org/officeDocument/2006/relationships/hyperlink" Target="https://www.unicode.org/reports/tr39/" TargetMode="External"/><Relationship Id="rId5ghvhliy5vfo7oakr7km7" Type="http://schemas.openxmlformats.org/officeDocument/2006/relationships/hyperlink" Target="https://datatracker.ietf.org/doc/draft-ietf-webbotauth-httpsig-protocol/" TargetMode="External"/><Relationship Id="rId77hkl1diap-fxpr_yclx7" Type="http://schemas.openxmlformats.org/officeDocument/2006/relationships/hyperlink" Target="https://developers.cloudflare.com/bots/reference/bot-verification/web-bot-auth/" TargetMode="External"/><Relationship Id="rId_ndjplx2bfaeclkevgfub" Type="http://schemas.openxmlformats.org/officeDocument/2006/relationships/hyperlink" Target="https://aws.amazon.com/about-aws/whats-new/2025/11/aws-waf-web-bot-auth-support" TargetMode="External"/><Relationship Id="rIdbbkygjadg_u_zrvmm-vgm" Type="http://schemas.openxmlformats.org/officeDocument/2006/relationships/hyperlink" Target="https://blog.cloudflare.com/secure-agentic-commerce/" TargetMode="External"/><Relationship Id="rIdh3a40b05ff7pqkytmqos9"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v0.9)</dc:title>
  <dc:creator>Collicity</dc:creator>
  <cp:lastModifiedBy>Un-named</cp:lastModifiedBy>
  <cp:revision>1</cp:revision>
  <dcterms:created xsi:type="dcterms:W3CDTF">2026-10-10T10:56:39.132Z</dcterms:created>
  <dcterms:modified xsi:type="dcterms:W3CDTF">2026-10-10T10:56:39.133Z</dcterms:modified>
</cp:coreProperties>
</file>

<file path=docProps/custom.xml><?xml version="1.0" encoding="utf-8"?>
<Properties xmlns="http://schemas.openxmlformats.org/officeDocument/2006/custom-properties" xmlns:vt="http://schemas.openxmlformats.org/officeDocument/2006/docPropsVTypes"/>
</file>