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BAYESIANQC Screenshot Walkthrough</w:t>
      </w:r>
    </w:p>
    <w:p>
      <w:r>
        <w:rPr>
          <w:b/>
        </w:rPr>
        <w:t>Prepared for Josh Burkhalter from the screenshots sent on July 4, 2026.</w:t>
      </w:r>
    </w:p>
    <w:p>
      <w:r>
        <w:rPr>
          <w:b/>
        </w:rPr>
        <w:t xml:space="preserve">Source thread: </w:t>
      </w:r>
      <w:r>
        <w:t xml:space="preserve">Gmail subject "Some Screenshots", sent to Joshburkhalter@hotmail.com. </w:t>
      </w:r>
      <w:r>
        <w:t>The screenshots show a local demo instance; visible localhost URLs are not public service addresses.</w:t>
      </w:r>
    </w:p>
    <w:p>
      <w:r>
        <w:rPr>
          <w:b/>
        </w:rPr>
        <w:t xml:space="preserve">Purpose. </w:t>
      </w:r>
      <w:r>
        <w:t>This document converts the raw screenshots into a short product walkthrough. Each section explains what is visible on screen and why that view matters in the QC workflow.</w:t>
      </w:r>
    </w:p>
    <w:p>
      <w:pPr>
        <w:pStyle w:val="Heading1"/>
      </w:pPr>
      <w:r>
        <w:t>Quick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</w:tcPr>
          <w:p>
            <w:r>
              <w:t>Screenshot</w:t>
            </w:r>
          </w:p>
        </w:tc>
        <w:tc>
          <w:tcPr>
            <w:tcW w:type="dxa" w:w="4752"/>
          </w:tcPr>
          <w:p>
            <w:r>
              <w:t>Area</w:t>
            </w:r>
          </w:p>
        </w:tc>
        <w:tc>
          <w:tcPr>
            <w:tcW w:type="dxa" w:w="4752"/>
          </w:tcPr>
          <w:p>
            <w:r>
              <w:t>Primary point</w:t>
            </w:r>
          </w:p>
        </w:tc>
      </w:tr>
      <w:tr>
        <w:tc>
          <w:tcPr>
            <w:tcW w:type="dxa" w:w="4752"/>
          </w:tcPr>
          <w:p>
            <w:r>
              <w:t>1</w:t>
            </w:r>
          </w:p>
        </w:tc>
        <w:tc>
          <w:tcPr>
            <w:tcW w:type="dxa" w:w="4752"/>
          </w:tcPr>
          <w:p>
            <w:r>
              <w:t>Configuration</w:t>
            </w:r>
          </w:p>
        </w:tc>
        <w:tc>
          <w:tcPr>
            <w:tcW w:type="dxa" w:w="4752"/>
          </w:tcPr>
          <w:p>
            <w:r>
              <w:t>Create or reuse the objects behind a chartable QC stream.</w:t>
            </w:r>
          </w:p>
        </w:tc>
      </w:tr>
      <w:tr>
        <w:tc>
          <w:tcPr>
            <w:tcW w:type="dxa" w:w="4752"/>
          </w:tcPr>
          <w:p>
            <w:r>
              <w:t>2</w:t>
            </w:r>
          </w:p>
        </w:tc>
        <w:tc>
          <w:tcPr>
            <w:tcW w:type="dxa" w:w="4752"/>
          </w:tcPr>
          <w:p>
            <w:r>
              <w:t>Backlog / due QC</w:t>
            </w:r>
          </w:p>
        </w:tc>
        <w:tc>
          <w:tcPr>
            <w:tcW w:type="dxa" w:w="4752"/>
          </w:tcPr>
          <w:p>
            <w:r>
              <w:t>Technician work queue with due status, method, reference, and bench context.</w:t>
            </w:r>
          </w:p>
        </w:tc>
      </w:tr>
      <w:tr>
        <w:tc>
          <w:tcPr>
            <w:tcW w:type="dxa" w:w="4752"/>
          </w:tcPr>
          <w:p>
            <w:r>
              <w:t>3</w:t>
            </w:r>
          </w:p>
        </w:tc>
        <w:tc>
          <w:tcPr>
            <w:tcW w:type="dxa" w:w="4752"/>
          </w:tcPr>
          <w:p>
            <w:r>
              <w:t>Dashboard</w:t>
            </w:r>
          </w:p>
        </w:tc>
        <w:tc>
          <w:tcPr>
            <w:tcW w:type="dxa" w:w="4752"/>
          </w:tcPr>
          <w:p>
            <w:r>
              <w:t>Supervisor-level live counts for alerts, investigations, and CAPAs.</w:t>
            </w:r>
          </w:p>
        </w:tc>
      </w:tr>
      <w:tr>
        <w:tc>
          <w:tcPr>
            <w:tcW w:type="dxa" w:w="4752"/>
          </w:tcPr>
          <w:p>
            <w:r>
              <w:t>4</w:t>
            </w:r>
          </w:p>
        </w:tc>
        <w:tc>
          <w:tcPr>
            <w:tcW w:type="dxa" w:w="4752"/>
          </w:tcPr>
          <w:p>
            <w:r>
              <w:t>Kiosk overview</w:t>
            </w:r>
          </w:p>
        </w:tc>
        <w:tc>
          <w:tcPr>
            <w:tcW w:type="dxa" w:w="4752"/>
          </w:tcPr>
          <w:p>
            <w:r>
              <w:t>Large-screen monitoring of many QC streams with Bayesian status badges.</w:t>
            </w:r>
          </w:p>
        </w:tc>
      </w:tr>
      <w:tr>
        <w:tc>
          <w:tcPr>
            <w:tcW w:type="dxa" w:w="4752"/>
          </w:tcPr>
          <w:p>
            <w:r>
              <w:t>5</w:t>
            </w:r>
          </w:p>
        </w:tc>
        <w:tc>
          <w:tcPr>
            <w:tcW w:type="dxa" w:w="4752"/>
          </w:tcPr>
          <w:p>
            <w:r>
              <w:t>Focused chart</w:t>
            </w:r>
          </w:p>
        </w:tc>
        <w:tc>
          <w:tcPr>
            <w:tcW w:type="dxa" w:w="4752"/>
          </w:tcPr>
          <w:p>
            <w:r>
              <w:t>Point-level and trend-level evidence behind a rejected FlashCheck stream.</w:t>
            </w:r>
          </w:p>
        </w:tc>
      </w:tr>
    </w:tbl>
    <w:p>
      <w:r>
        <w:br w:type="page"/>
      </w:r>
    </w:p>
    <w:p>
      <w:pPr>
        <w:pStyle w:val="Heading1"/>
      </w:pPr>
      <w:r>
        <w:t>1. Add Datastream setup wizard</w:t>
      </w:r>
    </w:p>
    <w:p>
      <w:r>
        <w:rPr>
          <w:b/>
        </w:rPr>
        <w:t xml:space="preserve">What it shows. </w:t>
      </w:r>
      <w:r>
        <w:t>This shows the Configuration &gt; Add Datastream workflow. The screen is at the Location step of a five-step wizard: Location, Method, Limits, Kiosk, and Review. The form captures the enterprise site, lab bench or area, instrument, manufacturer, and model, and includes a Download XLSX Template option for spreadsheet-based setup.</w:t>
      </w:r>
    </w:p>
    <w:p>
      <w:r>
        <w:rPr>
          <w:b/>
        </w:rPr>
        <w:t xml:space="preserve">Why it matters. </w:t>
      </w:r>
      <w:r>
        <w:t>This is the setup surface for creating or reusing the objects behind one chartable QC stream. It is meant to make a new QC stream reproducible by tying the stream to a site, bench, instrument, method, limits, and kiosk assignment before it is reviewed.</w:t>
      </w:r>
    </w:p>
    <w:p>
      <w:pPr>
        <w:pStyle w:val="Heading2"/>
      </w:pPr>
      <w:r>
        <w:t>Visible details to call out:</w:t>
      </w:r>
    </w:p>
    <w:p>
      <w:pPr>
        <w:pStyle w:val="ListBullet"/>
      </w:pPr>
      <w:r>
        <w:t>The app is running as an admin user against the local demo API at http://127.0.0.1:8010.</w:t>
      </w:r>
    </w:p>
    <w:p>
      <w:pPr>
        <w:pStyle w:val="ListBullet"/>
      </w:pPr>
      <w:r>
        <w:t>The dark overlay at the top is a desktop/editor overlay, not part of the BAYESIANQC application.</w:t>
      </w:r>
    </w:p>
    <w:p>
      <w:r>
        <w:rPr>
          <w:i/>
        </w:rPr>
        <w:t>Screenshot 1: screenshot-01.png (2116 x 1318).</w:t>
      </w:r>
    </w:p>
    <w:p>
      <w:r>
        <w:drawing>
          <wp:inline xmlns:a="http://schemas.openxmlformats.org/drawingml/2006/main" xmlns:pic="http://schemas.openxmlformats.org/drawingml/2006/picture">
            <wp:extent cx="8869680" cy="5524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2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Due QC work queue</w:t>
      </w:r>
    </w:p>
    <w:p>
      <w:r>
        <w:rPr>
          <w:b/>
        </w:rPr>
        <w:t xml:space="preserve">What it shows. </w:t>
      </w:r>
      <w:r>
        <w:t>This shows the scheduled QC backlog table. Each row lists a due status and timestamp, the QC task, the associated reference material or lot, and the bench. The visible examples include fuel ASTM streams such as D86 10% recovered and total sulfur, plus medical clinical streams such as creatinine and WBC controls.</w:t>
      </w:r>
    </w:p>
    <w:p>
      <w:r>
        <w:rPr>
          <w:b/>
        </w:rPr>
        <w:t xml:space="preserve">Why it matters. </w:t>
      </w:r>
      <w:r>
        <w:t>This is the technician-facing queue. It turns scheduled or requested QC into actionable work items and keeps the run context visible: which method, instrument, reference material, lot, and bench should be used.</w:t>
      </w:r>
    </w:p>
    <w:p>
      <w:pPr>
        <w:pStyle w:val="Heading2"/>
      </w:pPr>
      <w:r>
        <w:t>Visible details to call out:</w:t>
      </w:r>
    </w:p>
    <w:p>
      <w:pPr>
        <w:pStyle w:val="ListBullet"/>
      </w:pPr>
      <w:r>
        <w:t>All visible items are overdue in the demo data, which makes the queue easy to demonstrate.</w:t>
      </w:r>
    </w:p>
    <w:p>
      <w:pPr>
        <w:pStyle w:val="ListBullet"/>
      </w:pPr>
      <w:r>
        <w:t>The mix of fuel and clinical rows shows that the workflow is domain-flexible rather than tied to one lab specialty.</w:t>
      </w:r>
    </w:p>
    <w:p>
      <w:r>
        <w:rPr>
          <w:i/>
        </w:rPr>
        <w:t>Screenshot 2: screenshot-02.png (1482 x 1000).</w:t>
      </w:r>
    </w:p>
    <w:p>
      <w:r>
        <w:drawing>
          <wp:inline xmlns:a="http://schemas.openxmlformats.org/drawingml/2006/main" xmlns:pic="http://schemas.openxmlformats.org/drawingml/2006/picture">
            <wp:extent cx="8869680" cy="5984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8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Operational dashboard</w:t>
      </w:r>
    </w:p>
    <w:p>
      <w:r>
        <w:rPr>
          <w:b/>
        </w:rPr>
        <w:t xml:space="preserve">What it shows. </w:t>
      </w:r>
      <w:r>
        <w:t>This shows the Dashboard operational summary. The cards summarize workflow counts: Alerts, Investigations, and CAPAs. In this demo state there are 517 total/open alerts, 0 investigations, and 0 CAPAs.</w:t>
      </w:r>
    </w:p>
    <w:p>
      <w:r>
        <w:rPr>
          <w:b/>
        </w:rPr>
        <w:t xml:space="preserve">Why it matters. </w:t>
      </w:r>
      <w:r>
        <w:t>This view gives a supervisor or reviewer a quick triage point for the current QC state. Alerts show the active exception load; investigations and CAPAs show whether issues have been escalated into formal follow-up workflows.</w:t>
      </w:r>
    </w:p>
    <w:p>
      <w:pPr>
        <w:pStyle w:val="Heading2"/>
      </w:pPr>
      <w:r>
        <w:t>Visible details to call out:</w:t>
      </w:r>
    </w:p>
    <w:p>
      <w:pPr>
        <w:pStyle w:val="ListBullet"/>
      </w:pPr>
      <w:r>
        <w:t>The Refresh control updates the live counts from the API.</w:t>
      </w:r>
    </w:p>
    <w:p>
      <w:pPr>
        <w:pStyle w:val="ListBullet"/>
      </w:pPr>
      <w:r>
        <w:t>The screenshot shows a demo backlog with alerts generated, but no investigation or CAPA records opened yet.</w:t>
      </w:r>
    </w:p>
    <w:p>
      <w:r>
        <w:rPr>
          <w:i/>
        </w:rPr>
        <w:t>Screenshot 3: screenshot-03.png (1614 x 1012).</w:t>
      </w:r>
    </w:p>
    <w:p>
      <w:r>
        <w:drawing>
          <wp:inline xmlns:a="http://schemas.openxmlformats.org/drawingml/2006/main" xmlns:pic="http://schemas.openxmlformats.org/drawingml/2006/picture">
            <wp:extent cx="8869680" cy="5561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6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Multi-chart demo kiosk overview</w:t>
      </w:r>
    </w:p>
    <w:p>
      <w:r>
        <w:rPr>
          <w:b/>
        </w:rPr>
        <w:t xml:space="preserve">What it shows. </w:t>
      </w:r>
      <w:r>
        <w:t>This shows the BAYESIANQC demo kiosk in multi-chart mode. It displays six streams at once, with page and timer controls in the header. Each tile combines a compact QC chart, a Bayesian status badge, and an Open button for drilling into the full stream view.</w:t>
      </w:r>
    </w:p>
    <w:p>
      <w:r>
        <w:rPr>
          <w:b/>
        </w:rPr>
        <w:t xml:space="preserve">Why it matters. </w:t>
      </w:r>
      <w:r>
        <w:t>This is the large-screen monitoring view. It is designed to rotate through many streams and make the highest-risk items obvious from across the room. Green, amber, and red status treatments distinguish accept, monitor, low-confidence/warn, and reject states.</w:t>
      </w:r>
    </w:p>
    <w:p>
      <w:pPr>
        <w:pStyle w:val="Heading2"/>
      </w:pPr>
      <w:r>
        <w:t>Visible details to call out:</w:t>
      </w:r>
    </w:p>
    <w:p>
      <w:pPr>
        <w:pStyle w:val="ListBullet"/>
      </w:pPr>
      <w:r>
        <w:t>The header indicates page 1 of 4, covering streams 1-6 of 24.</w:t>
      </w:r>
    </w:p>
    <w:p>
      <w:pPr>
        <w:pStyle w:val="ListBullet"/>
      </w:pPr>
      <w:r>
        <w:t>The lower rail in each tile shows Bayesian warning/hold probability over time alongside the standard QC trend chart.</w:t>
      </w:r>
    </w:p>
    <w:p>
      <w:pPr>
        <w:pStyle w:val="ListBullet"/>
      </w:pPr>
      <w:r>
        <w:t>Visible examples include acceptable OptiDist streams, a monitor state, and rejected FlashCheck streams.</w:t>
      </w:r>
    </w:p>
    <w:p>
      <w:r>
        <w:rPr>
          <w:i/>
        </w:rPr>
        <w:t>Screenshot 4: screenshot-04.png (2084 x 1298).</w:t>
      </w:r>
    </w:p>
    <w:p>
      <w:r>
        <w:drawing>
          <wp:inline xmlns:a="http://schemas.openxmlformats.org/drawingml/2006/main" xmlns:pic="http://schemas.openxmlformats.org/drawingml/2006/picture">
            <wp:extent cx="8869680" cy="5524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2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Focused Pensky Flash Point chart</w:t>
      </w:r>
    </w:p>
    <w:p>
      <w:r>
        <w:rPr>
          <w:b/>
        </w:rPr>
        <w:t xml:space="preserve">What it shows. </w:t>
      </w:r>
      <w:r>
        <w:t>This shows the focused kiosk view for Pensky Flash Point - FlashCheck Fuel-02 over Feb 2-5, 2026. The stream is flagged with a Bayesian Risk 15% reject badge. The main chart displays QC results against mean and standard-deviation limits, with Bayesian bands and highlighted outlier points above the upper control region.</w:t>
      </w:r>
    </w:p>
    <w:p>
      <w:r>
        <w:rPr>
          <w:b/>
        </w:rPr>
        <w:t xml:space="preserve">Why it matters. </w:t>
      </w:r>
      <w:r>
        <w:t>This detailed view explains why a stream is risky. A reviewer can see the recent upward trend, compare observations against the control bands, and inspect point-level evidence before deciding whether to accept, investigate, or hold/reject the run.</w:t>
      </w:r>
    </w:p>
    <w:p>
      <w:pPr>
        <w:pStyle w:val="Heading2"/>
      </w:pPr>
      <w:r>
        <w:t>Visible details to call out:</w:t>
      </w:r>
    </w:p>
    <w:p>
      <w:pPr>
        <w:pStyle w:val="ListBullet"/>
      </w:pPr>
      <w:r>
        <w:t>The visible tooltip for the selected point shows result 63.95, disposition accept, risk 0/100, P warn/action 2.6% / 0.1%, posterior mean 62.8320, and lot FUE-05-A.</w:t>
      </w:r>
    </w:p>
    <w:p>
      <w:pPr>
        <w:pStyle w:val="ListBullet"/>
      </w:pPr>
      <w:r>
        <w:t>The lower probability rail shows risk accumulating over time, with warn and hold thresholds drawn as reference lines.</w:t>
      </w:r>
    </w:p>
    <w:p>
      <w:pPr>
        <w:pStyle w:val="ListBullet"/>
      </w:pPr>
      <w:r>
        <w:t>The Grid button returns from the focused stream view to the multi-chart kiosk overview.</w:t>
      </w:r>
    </w:p>
    <w:p>
      <w:r>
        <w:rPr>
          <w:i/>
        </w:rPr>
        <w:t>Screenshot 5: screenshot-05.png (2072 x 1314).</w:t>
      </w:r>
    </w:p>
    <w:p>
      <w:r>
        <w:drawing>
          <wp:inline xmlns:a="http://schemas.openxmlformats.org/drawingml/2006/main" xmlns:pic="http://schemas.openxmlformats.org/drawingml/2006/picture">
            <wp:extent cx="8869680" cy="56248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6248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