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86AAC" w:rsidRDefault="00000000">
      <w:pPr>
        <w:pStyle w:val="Title"/>
      </w:pPr>
      <w:bookmarkStart w:id="0" w:name="_hmtq1olyod5w" w:colFirst="0" w:colLast="0"/>
      <w:bookmarkEnd w:id="0"/>
      <w:r>
        <w:t>Read Me: About the Data</w:t>
      </w:r>
    </w:p>
    <w:p w14:paraId="00000002" w14:textId="77777777" w:rsidR="00E86AAC" w:rsidRDefault="00E86AAC"/>
    <w:p w14:paraId="00000003" w14:textId="77777777" w:rsidR="00E86AAC" w:rsidRDefault="00000000">
      <w:r>
        <w:t>This document is intended to provide context for both the structure of the data and its meaning.</w:t>
      </w:r>
    </w:p>
    <w:p w14:paraId="00000004" w14:textId="77777777" w:rsidR="00E86AAC" w:rsidRDefault="00E86AAC"/>
    <w:p w14:paraId="00000005" w14:textId="77777777" w:rsidR="00E86AAC" w:rsidRDefault="00000000">
      <w:r>
        <w:t xml:space="preserve">The data consist of seven CSV files: </w:t>
      </w:r>
    </w:p>
    <w:p w14:paraId="00000006" w14:textId="77777777" w:rsidR="00E86AAC" w:rsidRDefault="00E86AAC"/>
    <w:p w14:paraId="00000007" w14:textId="77777777" w:rsidR="00E86AAC" w:rsidRDefault="00000000">
      <w:pPr>
        <w:numPr>
          <w:ilvl w:val="0"/>
          <w:numId w:val="2"/>
        </w:numPr>
      </w:pPr>
      <w:hyperlink w:anchor="_m7ut2vhgdrr">
        <w:r>
          <w:rPr>
            <w:color w:val="1155CC"/>
            <w:u w:val="single"/>
          </w:rPr>
          <w:t>encounters</w:t>
        </w:r>
      </w:hyperlink>
      <w:r>
        <w:t xml:space="preserve"> </w:t>
      </w:r>
    </w:p>
    <w:p w14:paraId="00000008" w14:textId="77777777" w:rsidR="00E86AAC" w:rsidRDefault="00000000">
      <w:pPr>
        <w:numPr>
          <w:ilvl w:val="0"/>
          <w:numId w:val="2"/>
        </w:numPr>
      </w:pPr>
      <w:hyperlink w:anchor="_exgxyqo25shr">
        <w:r>
          <w:rPr>
            <w:color w:val="1155CC"/>
            <w:u w:val="single"/>
          </w:rPr>
          <w:t>patients</w:t>
        </w:r>
      </w:hyperlink>
    </w:p>
    <w:p w14:paraId="00000009" w14:textId="77777777" w:rsidR="00E86AAC" w:rsidRDefault="00000000">
      <w:pPr>
        <w:numPr>
          <w:ilvl w:val="0"/>
          <w:numId w:val="2"/>
        </w:numPr>
      </w:pPr>
      <w:hyperlink w:anchor="_rtwp091yi843">
        <w:r>
          <w:rPr>
            <w:color w:val="1155CC"/>
            <w:u w:val="single"/>
          </w:rPr>
          <w:t>diagnosis</w:t>
        </w:r>
      </w:hyperlink>
    </w:p>
    <w:p w14:paraId="0000000A" w14:textId="77777777" w:rsidR="00E86AAC" w:rsidRDefault="00000000">
      <w:pPr>
        <w:numPr>
          <w:ilvl w:val="0"/>
          <w:numId w:val="2"/>
        </w:numPr>
      </w:pPr>
      <w:hyperlink w:anchor="_u09s4pnkj147">
        <w:r>
          <w:rPr>
            <w:color w:val="1155CC"/>
            <w:u w:val="single"/>
          </w:rPr>
          <w:t>departments</w:t>
        </w:r>
      </w:hyperlink>
      <w:r>
        <w:t xml:space="preserve"> </w:t>
      </w:r>
    </w:p>
    <w:p w14:paraId="0000000B" w14:textId="77777777" w:rsidR="00E86AAC" w:rsidRDefault="00000000">
      <w:pPr>
        <w:numPr>
          <w:ilvl w:val="0"/>
          <w:numId w:val="2"/>
        </w:numPr>
      </w:pPr>
      <w:hyperlink w:anchor="_nzoayk1ni3vv">
        <w:r>
          <w:rPr>
            <w:color w:val="1155CC"/>
            <w:u w:val="single"/>
          </w:rPr>
          <w:t>providers</w:t>
        </w:r>
      </w:hyperlink>
    </w:p>
    <w:p w14:paraId="0000000C" w14:textId="77777777" w:rsidR="00E86AAC" w:rsidRDefault="00000000">
      <w:pPr>
        <w:numPr>
          <w:ilvl w:val="0"/>
          <w:numId w:val="2"/>
        </w:numPr>
      </w:pPr>
      <w:hyperlink w:anchor="_9ufo0bnqe7ch">
        <w:proofErr w:type="spellStart"/>
        <w:r>
          <w:rPr>
            <w:color w:val="1155CC"/>
            <w:u w:val="single"/>
          </w:rPr>
          <w:t>social_determinants</w:t>
        </w:r>
        <w:proofErr w:type="spellEnd"/>
      </w:hyperlink>
    </w:p>
    <w:p w14:paraId="0000000D" w14:textId="77777777" w:rsidR="00E86AAC" w:rsidRDefault="00000000">
      <w:pPr>
        <w:numPr>
          <w:ilvl w:val="0"/>
          <w:numId w:val="2"/>
        </w:numPr>
      </w:pPr>
      <w:hyperlink w:anchor="_hkmetmjs01mq">
        <w:proofErr w:type="spellStart"/>
        <w:r>
          <w:rPr>
            <w:color w:val="1155CC"/>
            <w:u w:val="single"/>
          </w:rPr>
          <w:t>tigercensuscodes</w:t>
        </w:r>
        <w:proofErr w:type="spellEnd"/>
      </w:hyperlink>
      <w:r>
        <w:t xml:space="preserve"> (provided by </w:t>
      </w:r>
      <w:proofErr w:type="spellStart"/>
      <w:r>
        <w:t>DataFest</w:t>
      </w:r>
      <w:proofErr w:type="spellEnd"/>
      <w:r>
        <w:t xml:space="preserve"> organizers)</w:t>
      </w:r>
    </w:p>
    <w:p w14:paraId="0000000E" w14:textId="77777777" w:rsidR="00E86AAC" w:rsidRDefault="00E86AAC"/>
    <w:p w14:paraId="0000000F" w14:textId="77777777" w:rsidR="00E86AAC" w:rsidRDefault="00000000">
      <w:r>
        <w:t>Unless otherwise specified, these were provided by Stormant Vail Health.</w:t>
      </w:r>
    </w:p>
    <w:p w14:paraId="00000010" w14:textId="77777777" w:rsidR="00E86AAC" w:rsidRDefault="00E86AAC"/>
    <w:p w14:paraId="00000011" w14:textId="77777777" w:rsidR="00E86AAC" w:rsidRDefault="00000000">
      <w:r>
        <w:t>In addition, there are several files of documentation that you should review:</w:t>
      </w:r>
    </w:p>
    <w:p w14:paraId="00000012" w14:textId="77777777" w:rsidR="00E86AAC" w:rsidRDefault="00000000">
      <w:pPr>
        <w:numPr>
          <w:ilvl w:val="0"/>
          <w:numId w:val="1"/>
        </w:numPr>
      </w:pPr>
      <w:r>
        <w:t>A video from the data providers at Stormont Vail Health: This will provide you with context.</w:t>
      </w:r>
    </w:p>
    <w:p w14:paraId="00000013" w14:textId="77777777" w:rsidR="00E86AAC" w:rsidRDefault="00000000">
      <w:pPr>
        <w:numPr>
          <w:ilvl w:val="0"/>
          <w:numId w:val="1"/>
        </w:numPr>
      </w:pPr>
      <w:r>
        <w:t>Challenge: This tells you your mission, should you choose to accept it!</w:t>
      </w:r>
    </w:p>
    <w:p w14:paraId="00000014" w14:textId="77777777" w:rsidR="00E86AAC" w:rsidRDefault="00000000">
      <w:pPr>
        <w:numPr>
          <w:ilvl w:val="0"/>
          <w:numId w:val="1"/>
        </w:numPr>
      </w:pPr>
      <w:r>
        <w:t>Variable Definitions: A spreadsheet that contains a list of variables, the files they appear in, and their definitions.</w:t>
      </w:r>
    </w:p>
    <w:p w14:paraId="00000015" w14:textId="77777777" w:rsidR="00E86AAC" w:rsidRDefault="00000000">
      <w:pPr>
        <w:numPr>
          <w:ilvl w:val="0"/>
          <w:numId w:val="1"/>
        </w:numPr>
      </w:pPr>
      <w:r>
        <w:t>Social Determinant Questions and Domains: Provides the questionnaire administered to some patients.</w:t>
      </w:r>
    </w:p>
    <w:p w14:paraId="00000016" w14:textId="77777777" w:rsidR="00E86AAC" w:rsidRDefault="00000000">
      <w:pPr>
        <w:pStyle w:val="Heading1"/>
      </w:pPr>
      <w:bookmarkStart w:id="1" w:name="_m7ut2vhgdrr" w:colFirst="0" w:colLast="0"/>
      <w:bookmarkEnd w:id="1"/>
      <w:r>
        <w:t xml:space="preserve">encounters.csv   </w:t>
      </w:r>
      <w:r>
        <w:tab/>
      </w:r>
      <w:r>
        <w:tab/>
        <w:t>7675801 X 31</w:t>
      </w:r>
    </w:p>
    <w:p w14:paraId="00000017" w14:textId="77777777" w:rsidR="00E86AAC" w:rsidRDefault="00000000">
      <w:r>
        <w:t xml:space="preserve">Each row represents an "encounter" between one patient and the Stormont Vail Health (SVH) system from January 2022 to December 31, 2025. The patient is uniquely identified by </w:t>
      </w:r>
      <w:proofErr w:type="spellStart"/>
      <w:r>
        <w:rPr>
          <w:rFonts w:ascii="Courier New" w:eastAsia="Courier New" w:hAnsi="Courier New" w:cs="Courier New"/>
        </w:rPr>
        <w:t>PatientDurableKey</w:t>
      </w:r>
      <w:proofErr w:type="spellEnd"/>
      <w:r>
        <w:t xml:space="preserve">, and the encounter itself is uniquely identified by </w:t>
      </w:r>
      <w:proofErr w:type="spellStart"/>
      <w:r>
        <w:rPr>
          <w:rFonts w:ascii="Courier New" w:eastAsia="Courier New" w:hAnsi="Courier New" w:cs="Courier New"/>
        </w:rPr>
        <w:t>EncounterKey</w:t>
      </w:r>
      <w:proofErr w:type="spellEnd"/>
      <w:r>
        <w:rPr>
          <w:i/>
          <w:iCs/>
        </w:rPr>
        <w:t>.</w:t>
      </w:r>
      <w:r>
        <w:t xml:space="preserve"> Information about the patient can be found in the </w:t>
      </w:r>
      <w:r>
        <w:rPr>
          <w:b/>
          <w:bCs/>
        </w:rPr>
        <w:t>patients.csv</w:t>
      </w:r>
      <w:r>
        <w:t xml:space="preserve"> file via the </w:t>
      </w:r>
      <w:proofErr w:type="spellStart"/>
      <w:r>
        <w:rPr>
          <w:rFonts w:ascii="Courier New" w:eastAsia="Courier New" w:hAnsi="Courier New" w:cs="Courier New"/>
        </w:rPr>
        <w:t>PatientDurableKey</w:t>
      </w:r>
      <w:proofErr w:type="spellEnd"/>
      <w:r>
        <w:t xml:space="preserve">. (Note that the </w:t>
      </w:r>
      <w:proofErr w:type="spellStart"/>
      <w:r>
        <w:rPr>
          <w:rFonts w:ascii="Courier New" w:eastAsia="Courier New" w:hAnsi="Courier New" w:cs="Courier New"/>
        </w:rPr>
        <w:t>PatientDurableKey</w:t>
      </w:r>
      <w:proofErr w:type="spellEnd"/>
      <w:r>
        <w:t xml:space="preserve"> in the </w:t>
      </w:r>
      <w:r>
        <w:rPr>
          <w:rFonts w:ascii="Courier New" w:eastAsia="Courier New" w:hAnsi="Courier New" w:cs="Courier New"/>
          <w:b/>
          <w:bCs/>
        </w:rPr>
        <w:t>encounters.csv</w:t>
      </w:r>
      <w:r>
        <w:t xml:space="preserve"> file matches the </w:t>
      </w:r>
      <w:proofErr w:type="spellStart"/>
      <w:r>
        <w:rPr>
          <w:rFonts w:ascii="Courier New" w:eastAsia="Courier New" w:hAnsi="Courier New" w:cs="Courier New"/>
        </w:rPr>
        <w:t>DurableKey</w:t>
      </w:r>
      <w:proofErr w:type="spellEnd"/>
      <w:r>
        <w:t xml:space="preserve"> in the </w:t>
      </w:r>
      <w:r>
        <w:rPr>
          <w:rFonts w:ascii="Courier New" w:eastAsia="Courier New" w:hAnsi="Courier New" w:cs="Courier New"/>
          <w:b/>
          <w:bCs/>
        </w:rPr>
        <w:t>patients.csv</w:t>
      </w:r>
      <w:r>
        <w:t xml:space="preserve"> file.)</w:t>
      </w:r>
    </w:p>
    <w:p w14:paraId="00000018" w14:textId="77777777" w:rsidR="00E86AAC" w:rsidRDefault="00E86AAC"/>
    <w:p w14:paraId="00000019" w14:textId="77777777" w:rsidR="00E86AAC" w:rsidRDefault="00000000">
      <w:r>
        <w:t xml:space="preserve">The SVH system offers a wide variety of services, and so encounters consist of a variety of services. The variable </w:t>
      </w:r>
      <w:r>
        <w:rPr>
          <w:rFonts w:ascii="Courier New" w:eastAsia="Courier New" w:hAnsi="Courier New" w:cs="Courier New"/>
        </w:rPr>
        <w:t>Type</w:t>
      </w:r>
      <w:r>
        <w:t xml:space="preserve"> indicates 18 spots where the encounters may have occurred. This might include office visits, appointments, follow-up visits, hospital admissions, or visits for specific types of care. A more specific description of the treatment, albeit possibly cryptic, is in </w:t>
      </w:r>
      <w:proofErr w:type="spellStart"/>
      <w:proofErr w:type="gramStart"/>
      <w:r>
        <w:rPr>
          <w:rFonts w:ascii="Courier New" w:eastAsia="Courier New" w:hAnsi="Courier New" w:cs="Courier New"/>
        </w:rPr>
        <w:t>VisitType</w:t>
      </w:r>
      <w:proofErr w:type="spellEnd"/>
      <w:r>
        <w:t>,  which</w:t>
      </w:r>
      <w:proofErr w:type="gramEnd"/>
      <w:r>
        <w:t xml:space="preserve"> has 1,639 unique values. (The file </w:t>
      </w:r>
      <w:proofErr w:type="spellStart"/>
      <w:r>
        <w:rPr>
          <w:rFonts w:ascii="Courier New" w:eastAsia="Courier New" w:hAnsi="Courier New" w:cs="Courier New"/>
        </w:rPr>
        <w:t>VisitTypeDescription</w:t>
      </w:r>
      <w:proofErr w:type="spellEnd"/>
      <w:r>
        <w:t xml:space="preserve"> provides 93 higher-level descriptions of these visit types. These descriptions are more detailed than </w:t>
      </w:r>
      <w:r>
        <w:rPr>
          <w:rFonts w:ascii="Courier New" w:eastAsia="Courier New" w:hAnsi="Courier New" w:cs="Courier New"/>
        </w:rPr>
        <w:t>Type</w:t>
      </w:r>
      <w:r>
        <w:t xml:space="preserve"> but less specific than </w:t>
      </w:r>
      <w:proofErr w:type="spellStart"/>
      <w:r>
        <w:rPr>
          <w:rFonts w:ascii="Courier New" w:eastAsia="Courier New" w:hAnsi="Courier New" w:cs="Courier New"/>
        </w:rPr>
        <w:t>VisitType</w:t>
      </w:r>
      <w:proofErr w:type="spellEnd"/>
      <w:r>
        <w:t xml:space="preserve">). Regardless of the type of encounter, the date at which the </w:t>
      </w:r>
      <w:r>
        <w:lastRenderedPageBreak/>
        <w:t xml:space="preserve">encounter began is provided in the </w:t>
      </w:r>
      <w:r>
        <w:rPr>
          <w:rFonts w:ascii="Courier New" w:eastAsia="Courier New" w:hAnsi="Courier New" w:cs="Courier New"/>
        </w:rPr>
        <w:t>Date</w:t>
      </w:r>
      <w:r>
        <w:t xml:space="preserve"> variable. Some locations, such as hospitals, officially "admit" and "discharge" patients. These dates and times are also provided in a variety of formats. </w:t>
      </w:r>
    </w:p>
    <w:p w14:paraId="0000001A" w14:textId="77777777" w:rsidR="00E86AAC" w:rsidRDefault="00E86AAC"/>
    <w:p w14:paraId="0000001B" w14:textId="77777777" w:rsidR="00E86AAC" w:rsidRDefault="00000000">
      <w:r>
        <w:t xml:space="preserve">Hospitals, clinics, labs, etc., may be divided into different departments. One building (or even a floor within a building) might have several departments, and the department that saw the patient is identified in the </w:t>
      </w:r>
      <w:proofErr w:type="spellStart"/>
      <w:r>
        <w:rPr>
          <w:rFonts w:ascii="Courier New" w:eastAsia="Courier New" w:hAnsi="Courier New" w:cs="Courier New"/>
        </w:rPr>
        <w:t>DepartmentKey</w:t>
      </w:r>
      <w:proofErr w:type="spellEnd"/>
      <w:r>
        <w:t xml:space="preserve">. This Key links to another file, </w:t>
      </w:r>
      <w:r>
        <w:rPr>
          <w:rFonts w:ascii="Courier New" w:eastAsia="Courier New" w:hAnsi="Courier New" w:cs="Courier New"/>
          <w:b/>
          <w:bCs/>
        </w:rPr>
        <w:t>departments.csv</w:t>
      </w:r>
      <w:r>
        <w:t xml:space="preserve">, that provides information about the departments. </w:t>
      </w:r>
    </w:p>
    <w:p w14:paraId="0000001C" w14:textId="77777777" w:rsidR="00E86AAC" w:rsidRDefault="00E86AAC"/>
    <w:p w14:paraId="0000001D" w14:textId="77777777" w:rsidR="00E86AAC" w:rsidRDefault="00000000">
      <w:r>
        <w:t xml:space="preserve">During their visit, patients will receive a diagnosis. This is recorded in </w:t>
      </w:r>
      <w:proofErr w:type="spellStart"/>
      <w:r>
        <w:rPr>
          <w:rFonts w:ascii="Courier New" w:eastAsia="Courier New" w:hAnsi="Courier New" w:cs="Courier New"/>
        </w:rPr>
        <w:t>PrimaryDiagnosisKey</w:t>
      </w:r>
      <w:proofErr w:type="spellEnd"/>
      <w:r>
        <w:t xml:space="preserve">. A "-1" indicates no diagnosis was needed or given. This might be the case if, for example, a patient phoned a clinic to ask a question. Naturally, patients might have multiple issues, but only the primary diagnosis is provided. More information about the diagnosis is given in the </w:t>
      </w:r>
      <w:r>
        <w:rPr>
          <w:rFonts w:ascii="Courier New" w:eastAsia="Courier New" w:hAnsi="Courier New" w:cs="Courier New"/>
          <w:b/>
          <w:bCs/>
        </w:rPr>
        <w:t>diagnosis.csv</w:t>
      </w:r>
      <w:r>
        <w:t xml:space="preserve"> file. (The </w:t>
      </w:r>
      <w:proofErr w:type="spellStart"/>
      <w:r>
        <w:rPr>
          <w:rFonts w:ascii="Courier New" w:eastAsia="Courier New" w:hAnsi="Courier New" w:cs="Courier New"/>
        </w:rPr>
        <w:t>PrimaryDiagnosisKey</w:t>
      </w:r>
      <w:proofErr w:type="spellEnd"/>
      <w:r>
        <w:t xml:space="preserve"> in encounters links to the </w:t>
      </w:r>
      <w:proofErr w:type="spellStart"/>
      <w:r>
        <w:rPr>
          <w:rFonts w:ascii="Courier New" w:eastAsia="Courier New" w:hAnsi="Courier New" w:cs="Courier New"/>
        </w:rPr>
        <w:t>DiagnosisKey</w:t>
      </w:r>
      <w:proofErr w:type="spellEnd"/>
      <w:r>
        <w:t xml:space="preserve"> in </w:t>
      </w:r>
      <w:r>
        <w:rPr>
          <w:rFonts w:ascii="Courier New" w:eastAsia="Courier New" w:hAnsi="Courier New" w:cs="Courier New"/>
          <w:b/>
          <w:bCs/>
        </w:rPr>
        <w:t>diagnosis.csv</w:t>
      </w:r>
      <w:r>
        <w:t>.)</w:t>
      </w:r>
    </w:p>
    <w:p w14:paraId="0000001E" w14:textId="77777777" w:rsidR="00E86AAC" w:rsidRDefault="00E86AAC"/>
    <w:p w14:paraId="0000001F" w14:textId="77777777" w:rsidR="00E86AAC" w:rsidRDefault="00000000">
      <w:r>
        <w:t xml:space="preserve">A single visit to a clinic or hospital might consist of several encounters. For example, a patient might begin seeing a physician, who then sends them for an X-ray. The X-ray might occur at the same location and on the same day, or later. This visit would result in two encounters. One commonality between these encounters is the primary diagnosis, which will remain the same. See the description of the </w:t>
      </w:r>
      <w:r>
        <w:rPr>
          <w:rFonts w:ascii="Courier New" w:eastAsia="Courier New" w:hAnsi="Courier New" w:cs="Courier New"/>
          <w:b/>
          <w:bCs/>
        </w:rPr>
        <w:t>diagnosis.csv</w:t>
      </w:r>
      <w:r>
        <w:t xml:space="preserve"> file for details. </w:t>
      </w:r>
    </w:p>
    <w:p w14:paraId="00000020" w14:textId="77777777" w:rsidR="00E86AAC" w:rsidRDefault="00E86AAC"/>
    <w:p w14:paraId="00000021" w14:textId="77777777" w:rsidR="00E86AAC" w:rsidRDefault="00000000">
      <w:pPr>
        <w:rPr>
          <w:b/>
          <w:bCs/>
        </w:rPr>
      </w:pPr>
      <w:r>
        <w:rPr>
          <w:b/>
          <w:bCs/>
        </w:rPr>
        <w:t xml:space="preserve">A patient's "journey" consists of a sequence of encounters linked by a common diagnosis. </w:t>
      </w:r>
    </w:p>
    <w:p w14:paraId="00000022" w14:textId="77777777" w:rsidR="00E86AAC" w:rsidRDefault="00E86AAC">
      <w:pPr>
        <w:rPr>
          <w:b/>
          <w:bCs/>
        </w:rPr>
      </w:pPr>
    </w:p>
    <w:p w14:paraId="00000023" w14:textId="77777777" w:rsidR="00E86AAC" w:rsidRDefault="00000000">
      <w:r>
        <w:t xml:space="preserve">Two types of encounters that provide additional data are Surgery and Hospital Encounter. </w:t>
      </w:r>
      <w:proofErr w:type="spellStart"/>
      <w:r>
        <w:rPr>
          <w:rFonts w:ascii="Courier New" w:eastAsia="Courier New" w:hAnsi="Courier New" w:cs="Courier New"/>
        </w:rPr>
        <w:t>AdmissionSource</w:t>
      </w:r>
      <w:proofErr w:type="spellEnd"/>
      <w:r>
        <w:rPr>
          <w:i/>
          <w:iCs/>
        </w:rPr>
        <w:t xml:space="preserve"> </w:t>
      </w:r>
      <w:r>
        <w:t>describes where the patient was immediately before hospital admission. An additional time-date variable (</w:t>
      </w:r>
      <w:proofErr w:type="spellStart"/>
      <w:r>
        <w:rPr>
          <w:rFonts w:ascii="Courier New" w:eastAsia="Courier New" w:hAnsi="Courier New" w:cs="Courier New"/>
        </w:rPr>
        <w:t>AdmissionInstant</w:t>
      </w:r>
      <w:proofErr w:type="spellEnd"/>
      <w:r>
        <w:t>) is provided for hospital admissions and another for hospital discharge (</w:t>
      </w:r>
      <w:proofErr w:type="spellStart"/>
      <w:r>
        <w:rPr>
          <w:rFonts w:ascii="Courier New" w:eastAsia="Courier New" w:hAnsi="Courier New" w:cs="Courier New"/>
        </w:rPr>
        <w:t>DischargeInstant</w:t>
      </w:r>
      <w:proofErr w:type="spellEnd"/>
      <w:r>
        <w:t xml:space="preserve">). We provided these variables in a variety of formats: as an original date/time object, and as separate day, date, year, hour, and minute variables. (For example, </w:t>
      </w:r>
      <w:proofErr w:type="spellStart"/>
      <w:r>
        <w:rPr>
          <w:rFonts w:ascii="Courier New" w:eastAsia="Courier New" w:hAnsi="Courier New" w:cs="Courier New"/>
        </w:rPr>
        <w:t>AdmitYear</w:t>
      </w:r>
      <w:proofErr w:type="spellEnd"/>
      <w:r>
        <w:t xml:space="preserve">, </w:t>
      </w:r>
      <w:proofErr w:type="spellStart"/>
      <w:r>
        <w:rPr>
          <w:rFonts w:ascii="Courier New" w:eastAsia="Courier New" w:hAnsi="Courier New" w:cs="Courier New"/>
        </w:rPr>
        <w:t>AdmitHour</w:t>
      </w:r>
      <w:proofErr w:type="spellEnd"/>
      <w:r>
        <w:rPr>
          <w:i/>
          <w:iCs/>
        </w:rPr>
        <w:t>,</w:t>
      </w:r>
      <w:r>
        <w:t xml:space="preserve"> etc.).</w:t>
      </w:r>
    </w:p>
    <w:p w14:paraId="00000024" w14:textId="77777777" w:rsidR="00E86AAC" w:rsidRDefault="00E86AAC"/>
    <w:p w14:paraId="00000025" w14:textId="77777777" w:rsidR="00E86AAC" w:rsidRDefault="00000000">
      <w:r>
        <w:t xml:space="preserve">You'll find that many variables are intended to provide additional data on particular types of visits, not on all types. Thus, for some types of visits, a variable might have only the values "*Unspecified" or "*Not Applicable". For example, for some types of visits, an Attending person is appointed to oversee the encounter. The </w:t>
      </w:r>
      <w:proofErr w:type="spellStart"/>
      <w:r>
        <w:rPr>
          <w:rFonts w:ascii="Courier New" w:eastAsia="Courier New" w:hAnsi="Courier New" w:cs="Courier New"/>
        </w:rPr>
        <w:t>AttendingProviderDurableKey</w:t>
      </w:r>
      <w:proofErr w:type="spellEnd"/>
      <w:r>
        <w:t xml:space="preserve"> links to the file </w:t>
      </w:r>
      <w:r>
        <w:rPr>
          <w:rFonts w:ascii="Courier New" w:eastAsia="Courier New" w:hAnsi="Courier New" w:cs="Courier New"/>
          <w:b/>
          <w:bCs/>
        </w:rPr>
        <w:t>providers.csv</w:t>
      </w:r>
      <w:r>
        <w:t xml:space="preserve"> (via the </w:t>
      </w:r>
      <w:proofErr w:type="spellStart"/>
      <w:r>
        <w:rPr>
          <w:rFonts w:ascii="Courier New" w:eastAsia="Courier New" w:hAnsi="Courier New" w:cs="Courier New"/>
        </w:rPr>
        <w:t>DurableKey</w:t>
      </w:r>
      <w:proofErr w:type="spellEnd"/>
      <w:r>
        <w:t xml:space="preserve"> in providers), which provides more information about this person. For some visits, the care "provider" might be a machine (e.g., if they are given a CT scan), in which case the </w:t>
      </w:r>
      <w:proofErr w:type="spellStart"/>
      <w:r>
        <w:rPr>
          <w:rFonts w:ascii="Courier New" w:eastAsia="Courier New" w:hAnsi="Courier New" w:cs="Courier New"/>
        </w:rPr>
        <w:t>AttendingProviderDurableKey</w:t>
      </w:r>
      <w:proofErr w:type="spellEnd"/>
      <w:r>
        <w:t xml:space="preserve"> may not link to the </w:t>
      </w:r>
      <w:r>
        <w:rPr>
          <w:rFonts w:ascii="Courier New" w:eastAsia="Courier New" w:hAnsi="Courier New" w:cs="Courier New"/>
          <w:b/>
          <w:bCs/>
        </w:rPr>
        <w:t>providers.csv</w:t>
      </w:r>
      <w:r>
        <w:t xml:space="preserve"> file.</w:t>
      </w:r>
    </w:p>
    <w:p w14:paraId="00000026" w14:textId="77777777" w:rsidR="00E86AAC" w:rsidRDefault="00E86AAC"/>
    <w:p w14:paraId="00000027" w14:textId="77777777" w:rsidR="00E86AAC" w:rsidRDefault="00000000">
      <w:r>
        <w:lastRenderedPageBreak/>
        <w:t xml:space="preserve">At the end of a hospital visit, a patient is discharged. This process also has an Attending person overseeing, and this information is provided in the </w:t>
      </w:r>
      <w:proofErr w:type="spellStart"/>
      <w:r>
        <w:rPr>
          <w:rFonts w:ascii="Courier New" w:eastAsia="Courier New" w:hAnsi="Courier New" w:cs="Courier New"/>
        </w:rPr>
        <w:t>DischargeProviderDurableKey</w:t>
      </w:r>
      <w:proofErr w:type="spellEnd"/>
      <w:r>
        <w:t xml:space="preserve">, which also links to </w:t>
      </w:r>
      <w:r>
        <w:rPr>
          <w:rFonts w:ascii="Courier New" w:eastAsia="Courier New" w:hAnsi="Courier New" w:cs="Courier New"/>
          <w:b/>
          <w:bCs/>
        </w:rPr>
        <w:t>providers.csv</w:t>
      </w:r>
      <w:r>
        <w:t>. (</w:t>
      </w:r>
      <w:proofErr w:type="gramStart"/>
      <w:r>
        <w:t>Also</w:t>
      </w:r>
      <w:proofErr w:type="gramEnd"/>
      <w:r>
        <w:t xml:space="preserve"> via the </w:t>
      </w:r>
      <w:proofErr w:type="spellStart"/>
      <w:r>
        <w:rPr>
          <w:rFonts w:ascii="Courier New" w:eastAsia="Courier New" w:hAnsi="Courier New" w:cs="Courier New"/>
        </w:rPr>
        <w:t>DurableKey</w:t>
      </w:r>
      <w:proofErr w:type="spellEnd"/>
      <w:r>
        <w:t xml:space="preserve"> in </w:t>
      </w:r>
      <w:r>
        <w:rPr>
          <w:rFonts w:ascii="Courier New" w:eastAsia="Courier New" w:hAnsi="Courier New" w:cs="Courier New"/>
          <w:b/>
          <w:bCs/>
        </w:rPr>
        <w:t>providers.csv</w:t>
      </w:r>
      <w:r>
        <w:t>.)</w:t>
      </w:r>
    </w:p>
    <w:p w14:paraId="00000028" w14:textId="77777777" w:rsidR="00E86AAC" w:rsidRDefault="00000000">
      <w:pPr>
        <w:pStyle w:val="Heading1"/>
      </w:pPr>
      <w:bookmarkStart w:id="2" w:name="_exgxyqo25shr" w:colFirst="0" w:colLast="0"/>
      <w:bookmarkEnd w:id="2"/>
      <w:r>
        <w:t xml:space="preserve">patients </w:t>
      </w:r>
      <w:r>
        <w:tab/>
      </w:r>
      <w:r>
        <w:tab/>
      </w:r>
      <w:r>
        <w:tab/>
      </w:r>
      <w:r>
        <w:tab/>
        <w:t>947685 X 12</w:t>
      </w:r>
    </w:p>
    <w:p w14:paraId="00000029" w14:textId="77777777" w:rsidR="00E86AAC" w:rsidRDefault="00000000">
      <w:r>
        <w:t>Each encounter is between a clinic/lab/hospital and a person. This file contains descriptions of all patients who were "active" within the SVH network in the time period. During the time period covered by this data set, a patient might have encountered SVH once or multiple times, or not at all. (If they were not sick or took health care to another network in this time period, they will not have any encounters.)  Some are listed as "DECEASED"; in this case, they were alive at the start of the time period but passed away before December 2025. (There may be a few exceptions to this due to the binning of the variable that records the year of death; a few patients might have passed away within two years of the time period for these data.)</w:t>
      </w:r>
    </w:p>
    <w:p w14:paraId="0000002A" w14:textId="77777777" w:rsidR="00E86AAC" w:rsidRDefault="00E86AAC"/>
    <w:p w14:paraId="0000002B" w14:textId="77777777" w:rsidR="00E86AAC" w:rsidRDefault="00000000">
      <w:r>
        <w:t>For the most part, the variables are self-explanatory. Smoking Status can change, but the recorded status is the status at the last encounter. ("Unknown" means the status is not known; "*Unknown" means the field was left blank.)</w:t>
      </w:r>
    </w:p>
    <w:p w14:paraId="0000002C" w14:textId="77777777" w:rsidR="00E86AAC" w:rsidRDefault="00E86AAC"/>
    <w:p w14:paraId="0000002D" w14:textId="77777777" w:rsidR="00E86AAC" w:rsidRDefault="00000000">
      <w:r>
        <w:t>Ages (</w:t>
      </w:r>
      <w:proofErr w:type="spellStart"/>
      <w:r>
        <w:rPr>
          <w:rFonts w:ascii="Courier New" w:eastAsia="Courier New" w:hAnsi="Courier New" w:cs="Courier New"/>
        </w:rPr>
        <w:t>PatientBirthYearBin</w:t>
      </w:r>
      <w:proofErr w:type="spellEnd"/>
      <w:r>
        <w:t xml:space="preserve">) are provided by birth year, binned into half-decades. For example, those born between 2020 and 2024 (inclusive) would be in the 2020 bin. </w:t>
      </w:r>
    </w:p>
    <w:p w14:paraId="0000002E" w14:textId="77777777" w:rsidR="00E86AAC" w:rsidRDefault="00E86AAC"/>
    <w:p w14:paraId="0000002F" w14:textId="77777777" w:rsidR="00E86AAC" w:rsidRDefault="00000000">
      <w:r>
        <w:t xml:space="preserve">Patients may list multiple races, and </w:t>
      </w:r>
      <w:proofErr w:type="spellStart"/>
      <w:r>
        <w:rPr>
          <w:rFonts w:ascii="Courier New" w:eastAsia="Courier New" w:hAnsi="Courier New" w:cs="Courier New"/>
        </w:rPr>
        <w:t>FirstRace</w:t>
      </w:r>
      <w:proofErr w:type="spellEnd"/>
      <w:r>
        <w:t xml:space="preserve"> is the first race they list. The Federal Office of Budget and Management </w:t>
      </w:r>
      <w:proofErr w:type="gramStart"/>
      <w:r>
        <w:t>uses</w:t>
      </w:r>
      <w:proofErr w:type="gramEnd"/>
      <w:r>
        <w:t xml:space="preserve"> slightly different racial categories, which are provided in </w:t>
      </w:r>
      <w:proofErr w:type="spellStart"/>
      <w:r>
        <w:rPr>
          <w:rFonts w:ascii="Courier New" w:eastAsia="Courier New" w:hAnsi="Courier New" w:cs="Courier New"/>
        </w:rPr>
        <w:t>OmbEthnicity</w:t>
      </w:r>
      <w:proofErr w:type="spellEnd"/>
      <w:r>
        <w:t xml:space="preserve"> and </w:t>
      </w:r>
      <w:proofErr w:type="spellStart"/>
      <w:r>
        <w:rPr>
          <w:rFonts w:ascii="Courier New" w:eastAsia="Courier New" w:hAnsi="Courier New" w:cs="Courier New"/>
        </w:rPr>
        <w:t>OmbRace</w:t>
      </w:r>
      <w:proofErr w:type="spellEnd"/>
      <w:r>
        <w:t xml:space="preserve">. The OMB categories are used for reporting to federal agencies; </w:t>
      </w:r>
      <w:proofErr w:type="spellStart"/>
      <w:r>
        <w:rPr>
          <w:rFonts w:ascii="Courier New" w:eastAsia="Courier New" w:hAnsi="Courier New" w:cs="Courier New"/>
        </w:rPr>
        <w:t>FirstRace</w:t>
      </w:r>
      <w:proofErr w:type="spellEnd"/>
      <w:r>
        <w:t xml:space="preserve"> is used within SVH.</w:t>
      </w:r>
    </w:p>
    <w:p w14:paraId="00000030" w14:textId="77777777" w:rsidR="00E86AAC" w:rsidRDefault="00E86AAC"/>
    <w:p w14:paraId="00000031" w14:textId="77777777" w:rsidR="00E86AAC" w:rsidRDefault="00000000">
      <w:r>
        <w:t xml:space="preserve">A Census Block can be thought of as a (large) city block. The </w:t>
      </w:r>
      <w:proofErr w:type="spellStart"/>
      <w:r>
        <w:rPr>
          <w:rFonts w:ascii="Courier New" w:eastAsia="Courier New" w:hAnsi="Courier New" w:cs="Courier New"/>
        </w:rPr>
        <w:t>CensusBlockGroupFipsCode</w:t>
      </w:r>
      <w:proofErr w:type="spellEnd"/>
      <w:r>
        <w:t xml:space="preserve"> uniquely identifies a U.S. Census "block". Blocks with fewer than 11 patients are "*Unspecified", although this category also denotes </w:t>
      </w:r>
      <w:proofErr w:type="gramStart"/>
      <w:r>
        <w:t>patients  for</w:t>
      </w:r>
      <w:proofErr w:type="gramEnd"/>
      <w:r>
        <w:t xml:space="preserve"> whom no location information is available. You can learn more about how FIPS Codes are constructed here:</w:t>
      </w:r>
    </w:p>
    <w:p w14:paraId="00000032" w14:textId="77777777" w:rsidR="00E86AAC" w:rsidRDefault="00000000">
      <w:hyperlink r:id="rId7">
        <w:r>
          <w:rPr>
            <w:color w:val="1155CC"/>
            <w:u w:val="single"/>
          </w:rPr>
          <w:t>https://www.geocod.io/complete-guide-to-fips-codes/</w:t>
        </w:r>
      </w:hyperlink>
      <w:r>
        <w:t>.</w:t>
      </w:r>
    </w:p>
    <w:p w14:paraId="00000033" w14:textId="77777777" w:rsidR="00E86AAC" w:rsidRDefault="00E86AAC"/>
    <w:p w14:paraId="00000034" w14:textId="77777777" w:rsidR="00E86AAC" w:rsidRDefault="00000000">
      <w:r>
        <w:t xml:space="preserve">Be aware that the need to remove Block identification for blocks with fewer than 11 patients means that rural areas are under-represented.  </w:t>
      </w:r>
    </w:p>
    <w:p w14:paraId="00000035" w14:textId="77777777" w:rsidR="00E86AAC" w:rsidRDefault="00E86AAC"/>
    <w:p w14:paraId="00000036" w14:textId="77777777" w:rsidR="00E86AAC" w:rsidRDefault="00000000">
      <w:r>
        <w:t xml:space="preserve">The </w:t>
      </w:r>
      <w:proofErr w:type="spellStart"/>
      <w:r>
        <w:rPr>
          <w:rFonts w:ascii="Courier New" w:eastAsia="Courier New" w:hAnsi="Courier New" w:cs="Courier New"/>
        </w:rPr>
        <w:t>CensusBlockGroupFipsCode</w:t>
      </w:r>
      <w:proofErr w:type="spellEnd"/>
      <w:r>
        <w:t xml:space="preserve"> can be linked to the </w:t>
      </w:r>
      <w:r>
        <w:rPr>
          <w:rFonts w:ascii="Courier New" w:eastAsia="Courier New" w:hAnsi="Courier New" w:cs="Courier New"/>
          <w:b/>
          <w:bCs/>
        </w:rPr>
        <w:t>tigercensuscodes.csv</w:t>
      </w:r>
      <w:r>
        <w:t xml:space="preserve"> file, which is extracted directly from the U.S. Census website and contains information about these blocks. Each Block can be broken into smaller groups called Tracts. For privacy reasons, the patients' census tracts are not provided. However, the </w:t>
      </w:r>
      <w:r>
        <w:rPr>
          <w:rFonts w:ascii="Courier New" w:eastAsia="Courier New" w:hAnsi="Courier New" w:cs="Courier New"/>
          <w:b/>
          <w:bCs/>
        </w:rPr>
        <w:t>departments.csv</w:t>
      </w:r>
      <w:r>
        <w:t xml:space="preserve"> file includes the census tract in which the hospital or clinic is located. To relate a Tract to a Block, see the guide link in the above paragraph.</w:t>
      </w:r>
    </w:p>
    <w:p w14:paraId="00000037" w14:textId="77777777" w:rsidR="00E86AAC" w:rsidRDefault="00E86AAC"/>
    <w:p w14:paraId="00000038" w14:textId="77777777" w:rsidR="00E86AAC" w:rsidRDefault="00000000">
      <w:r>
        <w:lastRenderedPageBreak/>
        <w:t>MyChart is an app that allows patients to view their medical records, communicate with caregivers, refill prescriptions, review lab results, and more. Patients are invited to activate their MyChart accounts, but may or may not follow through. First, an activation code is generated and, if the patient responds, the status (</w:t>
      </w:r>
      <w:proofErr w:type="spellStart"/>
      <w:r>
        <w:rPr>
          <w:rFonts w:ascii="Courier New" w:eastAsia="Courier New" w:hAnsi="Courier New" w:cs="Courier New"/>
        </w:rPr>
        <w:t>MyChartStatus</w:t>
      </w:r>
      <w:proofErr w:type="spellEnd"/>
      <w:r>
        <w:t>) changes to 'activation pending' and then to 'activated'. Patients might deactivate or simply ignore the invitation to access MyChart. This status might help clarify the patient's level of engagement with SVH.</w:t>
      </w:r>
    </w:p>
    <w:p w14:paraId="00000039" w14:textId="77777777" w:rsidR="00E86AAC" w:rsidRDefault="00000000">
      <w:pPr>
        <w:pStyle w:val="Heading1"/>
      </w:pPr>
      <w:bookmarkStart w:id="3" w:name="_rtwp091yi843" w:colFirst="0" w:colLast="0"/>
      <w:bookmarkEnd w:id="3"/>
      <w:proofErr w:type="gramStart"/>
      <w:r>
        <w:t xml:space="preserve">diagnosis  </w:t>
      </w:r>
      <w:r>
        <w:tab/>
      </w:r>
      <w:proofErr w:type="gramEnd"/>
      <w:r>
        <w:tab/>
      </w:r>
      <w:r>
        <w:tab/>
      </w:r>
      <w:r>
        <w:tab/>
        <w:t>1531262 x 5</w:t>
      </w:r>
    </w:p>
    <w:p w14:paraId="0000003A" w14:textId="77777777" w:rsidR="00E86AAC" w:rsidRDefault="00000000">
      <w:r>
        <w:t xml:space="preserve">In most healthcare encounters, patients are assigned a diagnosis that describes the condition being treated. In our dataset, this diagnosis is linked to each encounter through the </w:t>
      </w:r>
      <w:proofErr w:type="spellStart"/>
      <w:r>
        <w:rPr>
          <w:rFonts w:ascii="Courier New" w:eastAsia="Courier New" w:hAnsi="Courier New" w:cs="Courier New"/>
        </w:rPr>
        <w:t>PrimaryDiagnosisKey</w:t>
      </w:r>
      <w:proofErr w:type="spellEnd"/>
      <w:r>
        <w:t xml:space="preserve">. This key connects to a record in the diagnosis file, where you can find both the </w:t>
      </w:r>
      <w:proofErr w:type="spellStart"/>
      <w:r>
        <w:rPr>
          <w:rFonts w:ascii="Courier New" w:eastAsia="Courier New" w:hAnsi="Courier New" w:cs="Courier New"/>
        </w:rPr>
        <w:t>DiagnosisName</w:t>
      </w:r>
      <w:proofErr w:type="spellEnd"/>
      <w:r>
        <w:t xml:space="preserve"> and its ICD‑10 code (</w:t>
      </w:r>
      <w:proofErr w:type="spellStart"/>
      <w:r>
        <w:rPr>
          <w:rFonts w:ascii="Courier New" w:eastAsia="Courier New" w:hAnsi="Courier New" w:cs="Courier New"/>
        </w:rPr>
        <w:t>GroupCode</w:t>
      </w:r>
      <w:proofErr w:type="spellEnd"/>
      <w:r>
        <w:t xml:space="preserve"> and </w:t>
      </w:r>
      <w:proofErr w:type="spellStart"/>
      <w:r>
        <w:rPr>
          <w:rFonts w:ascii="Courier New" w:eastAsia="Courier New" w:hAnsi="Courier New" w:cs="Courier New"/>
        </w:rPr>
        <w:t>DiagnosisValue</w:t>
      </w:r>
      <w:proofErr w:type="spellEnd"/>
      <w:r>
        <w:t>).</w:t>
      </w:r>
    </w:p>
    <w:p w14:paraId="0000003B" w14:textId="77777777" w:rsidR="00E86AAC" w:rsidRDefault="00E86AAC"/>
    <w:p w14:paraId="0000003C" w14:textId="77777777" w:rsidR="00E86AAC" w:rsidRDefault="00000000">
      <w:r>
        <w:t xml:space="preserve">ICD‑10 diagnosis codes may look complicated, and there’s a reason for that—they’re designed to capture very detailed information about a patient’s condition. It’s important to know that a patient’s </w:t>
      </w:r>
      <w:proofErr w:type="spellStart"/>
      <w:r>
        <w:rPr>
          <w:rFonts w:ascii="Courier New" w:eastAsia="Courier New" w:hAnsi="Courier New" w:cs="Courier New"/>
        </w:rPr>
        <w:t>PrimaryDiagnosisKey</w:t>
      </w:r>
      <w:proofErr w:type="spellEnd"/>
      <w:r>
        <w:t xml:space="preserve"> might change over time,</w:t>
      </w:r>
      <w:r>
        <w:rPr>
          <w:b/>
          <w:bCs/>
        </w:rPr>
        <w:t xml:space="preserve"> even if their medical condition hasn’t truly changed</w:t>
      </w:r>
      <w:r>
        <w:t>. This can happen when federal coding regulations are updated.</w:t>
      </w:r>
    </w:p>
    <w:p w14:paraId="0000003D" w14:textId="77777777" w:rsidR="00E86AAC" w:rsidRDefault="00000000">
      <w:r>
        <w:t xml:space="preserve">To track a patient’s condition consistently over time, we use the </w:t>
      </w:r>
      <w:proofErr w:type="spellStart"/>
      <w:r>
        <w:rPr>
          <w:rFonts w:ascii="Courier New" w:eastAsia="Courier New" w:hAnsi="Courier New" w:cs="Courier New"/>
        </w:rPr>
        <w:t>DiagnosisValue</w:t>
      </w:r>
      <w:proofErr w:type="spellEnd"/>
      <w:r>
        <w:t xml:space="preserve">, which stays the same even when specific billing codes change. This makes </w:t>
      </w:r>
      <w:proofErr w:type="spellStart"/>
      <w:r>
        <w:rPr>
          <w:rFonts w:ascii="Courier New" w:eastAsia="Courier New" w:hAnsi="Courier New" w:cs="Courier New"/>
        </w:rPr>
        <w:t>DiagnosisValue</w:t>
      </w:r>
      <w:proofErr w:type="spellEnd"/>
      <w:r>
        <w:t xml:space="preserve"> especially useful when analyzing long‑term patient journeys.</w:t>
      </w:r>
      <w:r>
        <w:br/>
      </w:r>
    </w:p>
    <w:p w14:paraId="0000003E" w14:textId="77777777" w:rsidR="00E86AAC" w:rsidRDefault="00000000">
      <w:r>
        <w:t>ICD‑10 codes are structured to reveal both general and specific information about a diagnosis. For example:</w:t>
      </w:r>
    </w:p>
    <w:p w14:paraId="0000003F" w14:textId="77777777" w:rsidR="00E86AAC" w:rsidRDefault="00000000">
      <w:pPr>
        <w:numPr>
          <w:ilvl w:val="0"/>
          <w:numId w:val="3"/>
        </w:numPr>
        <w:rPr>
          <w:b/>
          <w:bCs/>
        </w:rPr>
      </w:pPr>
      <w:r>
        <w:rPr>
          <w:b/>
          <w:bCs/>
        </w:rPr>
        <w:t>S62.163L</w:t>
      </w:r>
    </w:p>
    <w:p w14:paraId="00000040" w14:textId="77777777" w:rsidR="00E86AAC" w:rsidRDefault="00000000">
      <w:pPr>
        <w:numPr>
          <w:ilvl w:val="0"/>
          <w:numId w:val="3"/>
        </w:numPr>
        <w:rPr>
          <w:b/>
          <w:bCs/>
        </w:rPr>
      </w:pPr>
      <w:r>
        <w:rPr>
          <w:b/>
          <w:bCs/>
        </w:rPr>
        <w:t>S62.663G</w:t>
      </w:r>
    </w:p>
    <w:p w14:paraId="00000041" w14:textId="77777777" w:rsidR="00E86AAC" w:rsidRDefault="00E86AAC"/>
    <w:p w14:paraId="00000042" w14:textId="77777777" w:rsidR="00E86AAC" w:rsidRDefault="00000000">
      <w:r>
        <w:t xml:space="preserve">The first part, S62, indicates a broad category—in this case, “Fracture at wrist and hand level.” You can find this general code and its description in the </w:t>
      </w:r>
      <w:proofErr w:type="spellStart"/>
      <w:r>
        <w:rPr>
          <w:rFonts w:ascii="Courier New" w:eastAsia="Courier New" w:hAnsi="Courier New" w:cs="Courier New"/>
        </w:rPr>
        <w:t>GroupCode</w:t>
      </w:r>
      <w:proofErr w:type="spellEnd"/>
      <w:r>
        <w:t xml:space="preserve"> and </w:t>
      </w:r>
      <w:proofErr w:type="spellStart"/>
      <w:r>
        <w:rPr>
          <w:rFonts w:ascii="Courier New" w:eastAsia="Courier New" w:hAnsi="Courier New" w:cs="Courier New"/>
        </w:rPr>
        <w:t>GroupName</w:t>
      </w:r>
      <w:proofErr w:type="spellEnd"/>
      <w:r>
        <w:t xml:space="preserve"> fields.</w:t>
      </w:r>
    </w:p>
    <w:p w14:paraId="00000043" w14:textId="77777777" w:rsidR="00E86AAC" w:rsidRDefault="00000000">
      <w:r>
        <w:t>The remaining characters (such as .163L or .663G) describe much more specific details about the injury—such as the exact bone involved, whether the fracture is displaced or nondisplaced, which side of the body it affects, and even whether the visit is an initial or subsequent encounter.</w:t>
      </w:r>
    </w:p>
    <w:p w14:paraId="00000044" w14:textId="77777777" w:rsidR="00E86AAC" w:rsidRDefault="00000000">
      <w:r>
        <w:t>For example:</w:t>
      </w:r>
    </w:p>
    <w:p w14:paraId="00000045" w14:textId="77777777" w:rsidR="00E86AAC" w:rsidRDefault="00000000">
      <w:pPr>
        <w:numPr>
          <w:ilvl w:val="0"/>
          <w:numId w:val="4"/>
        </w:numPr>
      </w:pPr>
      <w:r>
        <w:rPr>
          <w:b/>
          <w:bCs/>
        </w:rPr>
        <w:t>S62.163L</w:t>
      </w:r>
      <w:r>
        <w:t xml:space="preserve"> corresponds to </w:t>
      </w:r>
      <w:r>
        <w:rPr>
          <w:i/>
          <w:iCs/>
        </w:rPr>
        <w:t>a nondisplaced fracture of the distal phalanx of the left middle finger, with delayed healing during a subsequent encounter</w:t>
      </w:r>
      <w:r>
        <w:t>.</w:t>
      </w:r>
    </w:p>
    <w:p w14:paraId="00000046" w14:textId="77777777" w:rsidR="00E86AAC" w:rsidRDefault="00000000">
      <w:pPr>
        <w:numPr>
          <w:ilvl w:val="0"/>
          <w:numId w:val="4"/>
        </w:numPr>
      </w:pPr>
      <w:r>
        <w:rPr>
          <w:b/>
          <w:bCs/>
        </w:rPr>
        <w:t>S62.663G</w:t>
      </w:r>
      <w:r>
        <w:t xml:space="preserve"> corresponds to </w:t>
      </w:r>
      <w:r>
        <w:rPr>
          <w:i/>
          <w:iCs/>
        </w:rPr>
        <w:t>a displaced fracture of the pisiform bone of the wrist, with nonunion during a subsequent encounter</w:t>
      </w:r>
      <w:r>
        <w:t>.</w:t>
      </w:r>
    </w:p>
    <w:p w14:paraId="00000047" w14:textId="77777777" w:rsidR="00E86AAC" w:rsidRDefault="00E86AAC"/>
    <w:p w14:paraId="00000048" w14:textId="77777777" w:rsidR="00E86AAC" w:rsidRDefault="00000000">
      <w:r>
        <w:t xml:space="preserve">These detailed codes and descriptions can be found in </w:t>
      </w:r>
      <w:proofErr w:type="spellStart"/>
      <w:r>
        <w:rPr>
          <w:rFonts w:ascii="Courier New" w:eastAsia="Courier New" w:hAnsi="Courier New" w:cs="Courier New"/>
        </w:rPr>
        <w:t>DiagnosisValue</w:t>
      </w:r>
      <w:proofErr w:type="spellEnd"/>
      <w:r>
        <w:t xml:space="preserve"> and </w:t>
      </w:r>
      <w:proofErr w:type="spellStart"/>
      <w:r>
        <w:rPr>
          <w:rFonts w:ascii="Courier New" w:eastAsia="Courier New" w:hAnsi="Courier New" w:cs="Courier New"/>
        </w:rPr>
        <w:t>DiagnosisName</w:t>
      </w:r>
      <w:proofErr w:type="spellEnd"/>
      <w:r>
        <w:t>.</w:t>
      </w:r>
    </w:p>
    <w:p w14:paraId="00000049" w14:textId="77777777" w:rsidR="00E86AAC" w:rsidRDefault="00E86AAC"/>
    <w:p w14:paraId="0000004A" w14:textId="77777777" w:rsidR="00E86AAC" w:rsidRDefault="00000000">
      <w:r>
        <w:lastRenderedPageBreak/>
        <w:t xml:space="preserve">Patients are (usually) assigned a diagnosis during an encounter. This is indicated by the </w:t>
      </w:r>
      <w:proofErr w:type="spellStart"/>
      <w:r>
        <w:rPr>
          <w:rFonts w:ascii="Courier New" w:eastAsia="Courier New" w:hAnsi="Courier New" w:cs="Courier New"/>
        </w:rPr>
        <w:t>PrimaryDiagnosisKey</w:t>
      </w:r>
      <w:proofErr w:type="spellEnd"/>
      <w:r>
        <w:t xml:space="preserve"> in the encounters data file. The </w:t>
      </w:r>
      <w:proofErr w:type="spellStart"/>
      <w:r>
        <w:rPr>
          <w:rFonts w:ascii="Courier New" w:eastAsia="Courier New" w:hAnsi="Courier New" w:cs="Courier New"/>
        </w:rPr>
        <w:t>PrimaryDiagnosisKey</w:t>
      </w:r>
      <w:proofErr w:type="spellEnd"/>
      <w:r>
        <w:t xml:space="preserve"> points to a description of the ailment in the diagnosis file that includes both a name and a code. </w:t>
      </w:r>
    </w:p>
    <w:p w14:paraId="0000004B" w14:textId="77777777" w:rsidR="00E86AAC" w:rsidRDefault="00E86AAC"/>
    <w:p w14:paraId="0000004C" w14:textId="77777777" w:rsidR="00E86AAC" w:rsidRDefault="00000000">
      <w:r>
        <w:t xml:space="preserve">Diagnoses are complex. A </w:t>
      </w:r>
      <w:proofErr w:type="spellStart"/>
      <w:r>
        <w:rPr>
          <w:rFonts w:ascii="Courier New" w:eastAsia="Courier New" w:hAnsi="Courier New" w:cs="Courier New"/>
        </w:rPr>
        <w:t>PrimaryDiagnosisKey</w:t>
      </w:r>
      <w:proofErr w:type="spellEnd"/>
      <w:r>
        <w:t xml:space="preserve"> may change for a patient, </w:t>
      </w:r>
      <w:r>
        <w:rPr>
          <w:b/>
          <w:bCs/>
        </w:rPr>
        <w:t>even though the essential diagnosis remains the same!</w:t>
      </w:r>
      <w:r>
        <w:t xml:space="preserve"> This change is triggered by changes in federal regulations. However, a patient's "journey" can be tracked by their diagnosis using the </w:t>
      </w:r>
      <w:proofErr w:type="spellStart"/>
      <w:r>
        <w:rPr>
          <w:rFonts w:ascii="Courier New" w:eastAsia="Courier New" w:hAnsi="Courier New" w:cs="Courier New"/>
        </w:rPr>
        <w:t>DiagnosisValue</w:t>
      </w:r>
      <w:proofErr w:type="spellEnd"/>
      <w:r>
        <w:t>, which remains constant and can be used to define a patient's journey.</w:t>
      </w:r>
    </w:p>
    <w:p w14:paraId="0000004D" w14:textId="77777777" w:rsidR="00E86AAC" w:rsidRDefault="00E86AAC"/>
    <w:p w14:paraId="0000004E" w14:textId="77777777" w:rsidR="00E86AAC" w:rsidRDefault="00000000">
      <w:r>
        <w:t xml:space="preserve">The diagnosis codes are listed as a string of numbers, which can be broken into smaller parts that designate the general and the particular. For example, consider the codes S62.163L and S62.663G. The S62 indicates that both patients are diagnosed with "Fracture at wrist and hand level". The S62 can be found in </w:t>
      </w:r>
      <w:proofErr w:type="spellStart"/>
      <w:r>
        <w:rPr>
          <w:rFonts w:ascii="Courier New" w:eastAsia="Courier New" w:hAnsi="Courier New" w:cs="Courier New"/>
        </w:rPr>
        <w:t>GroupCode</w:t>
      </w:r>
      <w:proofErr w:type="spellEnd"/>
      <w:r>
        <w:t xml:space="preserve"> and the description in </w:t>
      </w:r>
      <w:proofErr w:type="spellStart"/>
      <w:r>
        <w:rPr>
          <w:rFonts w:ascii="Courier New" w:eastAsia="Courier New" w:hAnsi="Courier New" w:cs="Courier New"/>
        </w:rPr>
        <w:t>GroupName</w:t>
      </w:r>
      <w:proofErr w:type="spellEnd"/>
      <w:r>
        <w:t xml:space="preserve">. But one patient has "nondisplaced fracture of distal phalanx of left middle finger, subsequent encounter for fracture with delayed healing" (which is indicated by the .663G), and the other has "displaced fracture of pisiform, unspecified wrist, subsequent encounter for fracture with nonunion", 663G, a different diagnosis. The specific code can be found in </w:t>
      </w:r>
      <w:proofErr w:type="spellStart"/>
      <w:r>
        <w:rPr>
          <w:rFonts w:ascii="Courier New" w:eastAsia="Courier New" w:hAnsi="Courier New" w:cs="Courier New"/>
        </w:rPr>
        <w:t>DiagnosisValue</w:t>
      </w:r>
      <w:proofErr w:type="spellEnd"/>
      <w:r>
        <w:rPr>
          <w:rFonts w:ascii="Courier New" w:eastAsia="Courier New" w:hAnsi="Courier New" w:cs="Courier New"/>
        </w:rPr>
        <w:t>,</w:t>
      </w:r>
      <w:r>
        <w:t xml:space="preserve"> and the description in </w:t>
      </w:r>
      <w:proofErr w:type="spellStart"/>
      <w:r>
        <w:rPr>
          <w:rFonts w:ascii="Courier New" w:eastAsia="Courier New" w:hAnsi="Courier New" w:cs="Courier New"/>
        </w:rPr>
        <w:t>DiagnosisName</w:t>
      </w:r>
      <w:proofErr w:type="spellEnd"/>
      <w:r>
        <w:t>.</w:t>
      </w:r>
    </w:p>
    <w:p w14:paraId="0000004F" w14:textId="77777777" w:rsidR="00E86AAC" w:rsidRDefault="00E86AAC"/>
    <w:p w14:paraId="00000050" w14:textId="77777777" w:rsidR="00E86AAC" w:rsidRDefault="00000000">
      <w:r>
        <w:t xml:space="preserve">Bottom line: Use </w:t>
      </w:r>
      <w:proofErr w:type="spellStart"/>
      <w:r>
        <w:rPr>
          <w:rFonts w:ascii="Courier New" w:eastAsia="Courier New" w:hAnsi="Courier New" w:cs="Courier New"/>
        </w:rPr>
        <w:t>DiagnosisValue</w:t>
      </w:r>
      <w:proofErr w:type="spellEnd"/>
      <w:r>
        <w:t xml:space="preserve"> or </w:t>
      </w:r>
      <w:proofErr w:type="spellStart"/>
      <w:r>
        <w:rPr>
          <w:rFonts w:ascii="Courier New" w:eastAsia="Courier New" w:hAnsi="Courier New" w:cs="Courier New"/>
        </w:rPr>
        <w:t>DiagnosisName</w:t>
      </w:r>
      <w:proofErr w:type="spellEnd"/>
      <w:r>
        <w:t xml:space="preserve"> to trace a patient's journey.</w:t>
      </w:r>
    </w:p>
    <w:p w14:paraId="00000051" w14:textId="77777777" w:rsidR="00E86AAC" w:rsidRDefault="00000000">
      <w:pPr>
        <w:pStyle w:val="Heading1"/>
      </w:pPr>
      <w:bookmarkStart w:id="4" w:name="_u09s4pnkj147" w:colFirst="0" w:colLast="0"/>
      <w:bookmarkEnd w:id="4"/>
      <w:proofErr w:type="gramStart"/>
      <w:r>
        <w:t xml:space="preserve">departments  </w:t>
      </w:r>
      <w:r>
        <w:tab/>
      </w:r>
      <w:proofErr w:type="gramEnd"/>
      <w:r>
        <w:tab/>
      </w:r>
      <w:r>
        <w:tab/>
        <w:t>11597 X 9</w:t>
      </w:r>
    </w:p>
    <w:p w14:paraId="00000052" w14:textId="77777777" w:rsidR="00E86AAC" w:rsidRDefault="00000000">
      <w:r>
        <w:t xml:space="preserve">The information about the department includes the address, census tract, department name (which is sometimes opaque), and the department's specialty (with 121 unique values). The department's specialty might provide additional insight into the patient's health needs. However, departments do not necessarily have specialties.  Census tracts are geographic areas designated by the U.S. Census. They are nested within Census Blocks. If a patient's </w:t>
      </w:r>
      <w:proofErr w:type="spellStart"/>
      <w:r>
        <w:rPr>
          <w:rFonts w:ascii="Courier New" w:eastAsia="Courier New" w:hAnsi="Courier New" w:cs="Courier New"/>
        </w:rPr>
        <w:t>CensusBlockGroupFipsCode</w:t>
      </w:r>
      <w:proofErr w:type="spellEnd"/>
      <w:r>
        <w:t xml:space="preserve"> indicates that their Block includes the tract where the clinic is located, you can assume the patient lives relatively near the clinic. Departments have a specialty (</w:t>
      </w:r>
      <w:proofErr w:type="spellStart"/>
      <w:r>
        <w:rPr>
          <w:rFonts w:ascii="Courier New" w:eastAsia="Courier New" w:hAnsi="Courier New" w:cs="Courier New"/>
        </w:rPr>
        <w:t>DepartmentSpecialty</w:t>
      </w:r>
      <w:proofErr w:type="spellEnd"/>
      <w:r>
        <w:t xml:space="preserve">) that is somewhat high-level (roughly 120 unique values) and an even higher-level administrative label, </w:t>
      </w:r>
      <w:proofErr w:type="spellStart"/>
      <w:r>
        <w:rPr>
          <w:rFonts w:ascii="Courier New" w:eastAsia="Courier New" w:hAnsi="Courier New" w:cs="Courier New"/>
        </w:rPr>
        <w:t>DepartmentType</w:t>
      </w:r>
      <w:proofErr w:type="spellEnd"/>
      <w:r>
        <w:rPr>
          <w:rFonts w:ascii="Courier New" w:eastAsia="Courier New" w:hAnsi="Courier New" w:cs="Courier New"/>
        </w:rPr>
        <w:t>,</w:t>
      </w:r>
      <w:r>
        <w:t xml:space="preserve"> with 7 values. The meanings of these values are provided in the </w:t>
      </w:r>
      <w:r>
        <w:rPr>
          <w:rFonts w:ascii="Courier New" w:eastAsia="Courier New" w:hAnsi="Courier New" w:cs="Courier New"/>
          <w:b/>
          <w:bCs/>
        </w:rPr>
        <w:t>variables.csv</w:t>
      </w:r>
      <w:r>
        <w:t xml:space="preserve"> file.)</w:t>
      </w:r>
    </w:p>
    <w:p w14:paraId="00000053" w14:textId="77777777" w:rsidR="00E86AAC" w:rsidRDefault="00000000">
      <w:pPr>
        <w:pStyle w:val="Heading1"/>
      </w:pPr>
      <w:bookmarkStart w:id="5" w:name="_nzoayk1ni3vv" w:colFirst="0" w:colLast="0"/>
      <w:bookmarkEnd w:id="5"/>
      <w:r>
        <w:t xml:space="preserve">providers </w:t>
      </w:r>
      <w:r>
        <w:tab/>
      </w:r>
      <w:r>
        <w:tab/>
      </w:r>
      <w:r>
        <w:tab/>
      </w:r>
      <w:r>
        <w:tab/>
        <w:t>299075 x 8</w:t>
      </w:r>
    </w:p>
    <w:p w14:paraId="00000054" w14:textId="77777777" w:rsidR="00E86AAC" w:rsidRDefault="00000000">
      <w:pPr>
        <w:rPr>
          <w:highlight w:val="yellow"/>
        </w:rPr>
      </w:pPr>
      <w:r>
        <w:t xml:space="preserve">A provider is a person working within a department who provides health care, such as a technician, physician, or nurse practitioner. This file provides information about where this person works and their medical specialty. </w:t>
      </w:r>
      <w:proofErr w:type="spellStart"/>
      <w:r>
        <w:rPr>
          <w:rFonts w:ascii="Courier New" w:eastAsia="Courier New" w:hAnsi="Courier New" w:cs="Courier New"/>
        </w:rPr>
        <w:t>ClinicianTitle</w:t>
      </w:r>
      <w:proofErr w:type="spellEnd"/>
      <w:r>
        <w:t xml:space="preserve"> is the formal, abbreviated title associated with their degree and certification, and </w:t>
      </w:r>
      <w:r>
        <w:rPr>
          <w:rFonts w:ascii="Courier New" w:eastAsia="Courier New" w:hAnsi="Courier New" w:cs="Courier New"/>
        </w:rPr>
        <w:t>Type</w:t>
      </w:r>
      <w:r>
        <w:t xml:space="preserve"> provides a higher-level description for the title. </w:t>
      </w:r>
    </w:p>
    <w:p w14:paraId="00000055" w14:textId="77777777" w:rsidR="00E86AAC" w:rsidRDefault="00E86AAC">
      <w:pPr>
        <w:rPr>
          <w:highlight w:val="yellow"/>
        </w:rPr>
      </w:pPr>
    </w:p>
    <w:p w14:paraId="00000056" w14:textId="77777777" w:rsidR="00E86AAC" w:rsidRDefault="00000000">
      <w:pPr>
        <w:pStyle w:val="Heading1"/>
      </w:pPr>
      <w:bookmarkStart w:id="6" w:name="_9ufo0bnqe7ch" w:colFirst="0" w:colLast="0"/>
      <w:bookmarkEnd w:id="6"/>
      <w:proofErr w:type="spellStart"/>
      <w:r>
        <w:lastRenderedPageBreak/>
        <w:t>social_determinants</w:t>
      </w:r>
      <w:proofErr w:type="spellEnd"/>
      <w:r>
        <w:t xml:space="preserve"> </w:t>
      </w:r>
      <w:r>
        <w:tab/>
        <w:t>3977901 x 5</w:t>
      </w:r>
    </w:p>
    <w:p w14:paraId="00000057" w14:textId="77777777" w:rsidR="00E86AAC" w:rsidRDefault="00000000">
      <w:r>
        <w:t>Because so much of health depends on the environment in which we live, health care providers such as SVH are utilizing a version of a national survey designed to measure some of these factors. SVH began rolling out this survey first to hospital admissions only, then gradually expanded its use to other types of encounters. (This expansion is ongoing.) Ideally, every time a patient arrives for health care, they will be asked the questions on this survey. In practice, providers might choose to ask only selected questions, and patients might refuse or be unable to provide answers.</w:t>
      </w:r>
    </w:p>
    <w:p w14:paraId="00000058" w14:textId="77777777" w:rsidR="00E86AAC" w:rsidRDefault="00E86AAC"/>
    <w:p w14:paraId="00000059" w14:textId="77777777" w:rsidR="00E86AAC" w:rsidRDefault="00000000">
      <w:r>
        <w:t>The survey consists of 11 "domains", and 1 or more questions are asked within each domain. The domains are: "Alcohol Use", "Depression", "Financial Resource Strain", "Food Insecurity", "Housing Stability", "Intimate Partner Violence", "Physical Activity", "Social Connections", "Stress", "Transportation Needs", "Utilities".</w:t>
      </w:r>
    </w:p>
    <w:p w14:paraId="0000005A" w14:textId="77777777" w:rsidR="00E86AAC" w:rsidRDefault="00E86AAC"/>
    <w:p w14:paraId="0000005B" w14:textId="77777777" w:rsidR="00E86AAC" w:rsidRDefault="00000000">
      <w:r>
        <w:t xml:space="preserve">The questions themselves (along with their domains) can be found in "Social Determinant Questions and Domains.csv". This is for reference only; the </w:t>
      </w:r>
      <w:r>
        <w:rPr>
          <w:rFonts w:ascii="Courier New" w:eastAsia="Courier New" w:hAnsi="Courier New" w:cs="Courier New"/>
          <w:b/>
          <w:bCs/>
        </w:rPr>
        <w:t>social_determinants.csv</w:t>
      </w:r>
      <w:r>
        <w:t xml:space="preserve"> file contains all of the data needed. </w:t>
      </w:r>
    </w:p>
    <w:p w14:paraId="0000005C" w14:textId="77777777" w:rsidR="00E86AAC" w:rsidRDefault="00E86AAC"/>
    <w:p w14:paraId="0000005D" w14:textId="77777777" w:rsidR="00E86AAC" w:rsidRDefault="00000000">
      <w:r>
        <w:t xml:space="preserve">Each row in this file corresponds to a question asked and answered by a patient during a specific encounter. </w:t>
      </w:r>
    </w:p>
    <w:p w14:paraId="0000005E" w14:textId="77777777" w:rsidR="00E86AAC" w:rsidRDefault="00000000">
      <w:pPr>
        <w:pStyle w:val="Heading1"/>
      </w:pPr>
      <w:bookmarkStart w:id="7" w:name="_hkmetmjs01mq" w:colFirst="0" w:colLast="0"/>
      <w:bookmarkEnd w:id="7"/>
      <w:proofErr w:type="spellStart"/>
      <w:r>
        <w:t>tigercensuscodes</w:t>
      </w:r>
      <w:proofErr w:type="spellEnd"/>
      <w:r>
        <w:t xml:space="preserve"> </w:t>
      </w:r>
      <w:r>
        <w:tab/>
      </w:r>
      <w:r>
        <w:tab/>
        <w:t>2463 x 4</w:t>
      </w:r>
    </w:p>
    <w:p w14:paraId="0000005F" w14:textId="77777777" w:rsidR="00E86AAC" w:rsidRDefault="00000000">
      <w:r>
        <w:t xml:space="preserve">These data were taken from </w:t>
      </w:r>
      <w:hyperlink r:id="rId8">
        <w:r>
          <w:rPr>
            <w:color w:val="1155CC"/>
            <w:u w:val="single"/>
          </w:rPr>
          <w:t>https://tigerweb.geo.census.gov/tigerwebmain/Files/tab20/tigerweb_tab20_blkgrp_2020_ks.htm</w:t>
        </w:r>
      </w:hyperlink>
      <w:r>
        <w:t xml:space="preserve"> </w:t>
      </w:r>
      <w:proofErr w:type="spellStart"/>
      <w:r>
        <w:t>from</w:t>
      </w:r>
      <w:proofErr w:type="spellEnd"/>
      <w:r>
        <w:t xml:space="preserve"> the U.S. Census.</w:t>
      </w:r>
    </w:p>
    <w:p w14:paraId="00000060" w14:textId="77777777" w:rsidR="00E86AAC" w:rsidRDefault="00E86AAC"/>
    <w:p w14:paraId="00000061" w14:textId="77777777" w:rsidR="00E86AAC" w:rsidRDefault="00000000">
      <w:r>
        <w:t>The population counts came from:</w:t>
      </w:r>
    </w:p>
    <w:p w14:paraId="00000062" w14:textId="77777777" w:rsidR="00E86AAC" w:rsidRDefault="00000000">
      <w:pPr>
        <w:rPr>
          <w:rFonts w:ascii="Calibri" w:eastAsia="Calibri" w:hAnsi="Calibri" w:cs="Calibri"/>
          <w:color w:val="0C64C0"/>
          <w:sz w:val="24"/>
          <w:szCs w:val="24"/>
        </w:rPr>
      </w:pPr>
      <w:r>
        <w:rPr>
          <w:rFonts w:ascii="Calibri" w:eastAsia="Calibri" w:hAnsi="Calibri" w:cs="Calibri"/>
          <w:color w:val="0C64C0"/>
          <w:sz w:val="24"/>
          <w:szCs w:val="24"/>
        </w:rPr>
        <w:t>library(</w:t>
      </w:r>
      <w:proofErr w:type="spellStart"/>
      <w:r>
        <w:rPr>
          <w:rFonts w:ascii="Calibri" w:eastAsia="Calibri" w:hAnsi="Calibri" w:cs="Calibri"/>
          <w:color w:val="0C64C0"/>
          <w:sz w:val="24"/>
          <w:szCs w:val="24"/>
        </w:rPr>
        <w:t>tidycensus</w:t>
      </w:r>
      <w:proofErr w:type="spellEnd"/>
      <w:r>
        <w:rPr>
          <w:rFonts w:ascii="Calibri" w:eastAsia="Calibri" w:hAnsi="Calibri" w:cs="Calibri"/>
          <w:color w:val="0C64C0"/>
          <w:sz w:val="24"/>
          <w:szCs w:val="24"/>
        </w:rPr>
        <w:t>)</w:t>
      </w:r>
    </w:p>
    <w:p w14:paraId="00000063" w14:textId="77777777" w:rsidR="00E86AAC" w:rsidRDefault="00E86AAC">
      <w:pPr>
        <w:rPr>
          <w:rFonts w:ascii="Calibri" w:eastAsia="Calibri" w:hAnsi="Calibri" w:cs="Calibri"/>
          <w:color w:val="0C64C0"/>
          <w:sz w:val="24"/>
          <w:szCs w:val="24"/>
        </w:rPr>
      </w:pPr>
    </w:p>
    <w:p w14:paraId="00000064" w14:textId="77777777" w:rsidR="00E86AAC" w:rsidRDefault="00000000">
      <w:pPr>
        <w:rPr>
          <w:rFonts w:ascii="Calibri" w:eastAsia="Calibri" w:hAnsi="Calibri" w:cs="Calibri"/>
          <w:color w:val="0C64C0"/>
          <w:sz w:val="24"/>
          <w:szCs w:val="24"/>
        </w:rPr>
      </w:pPr>
      <w:r>
        <w:rPr>
          <w:rFonts w:ascii="Calibri" w:eastAsia="Calibri" w:hAnsi="Calibri" w:cs="Calibri"/>
          <w:color w:val="0C64C0"/>
          <w:sz w:val="24"/>
          <w:szCs w:val="24"/>
        </w:rPr>
        <w:t xml:space="preserve">pop &lt;- </w:t>
      </w:r>
      <w:proofErr w:type="spellStart"/>
      <w:r>
        <w:rPr>
          <w:rFonts w:ascii="Calibri" w:eastAsia="Calibri" w:hAnsi="Calibri" w:cs="Calibri"/>
          <w:color w:val="0C64C0"/>
          <w:sz w:val="24"/>
          <w:szCs w:val="24"/>
        </w:rPr>
        <w:t>get_</w:t>
      </w:r>
      <w:proofErr w:type="gramStart"/>
      <w:r>
        <w:rPr>
          <w:rFonts w:ascii="Calibri" w:eastAsia="Calibri" w:hAnsi="Calibri" w:cs="Calibri"/>
          <w:color w:val="0C64C0"/>
          <w:sz w:val="24"/>
          <w:szCs w:val="24"/>
        </w:rPr>
        <w:t>decennial</w:t>
      </w:r>
      <w:proofErr w:type="spellEnd"/>
      <w:r>
        <w:rPr>
          <w:rFonts w:ascii="Calibri" w:eastAsia="Calibri" w:hAnsi="Calibri" w:cs="Calibri"/>
          <w:color w:val="0C64C0"/>
          <w:sz w:val="24"/>
          <w:szCs w:val="24"/>
        </w:rPr>
        <w:t>(</w:t>
      </w:r>
      <w:proofErr w:type="gramEnd"/>
    </w:p>
    <w:p w14:paraId="00000065" w14:textId="77777777" w:rsidR="00E86AAC" w:rsidRDefault="00000000">
      <w:pPr>
        <w:rPr>
          <w:rFonts w:ascii="Calibri" w:eastAsia="Calibri" w:hAnsi="Calibri" w:cs="Calibri"/>
          <w:color w:val="0C64C0"/>
          <w:sz w:val="24"/>
          <w:szCs w:val="24"/>
        </w:rPr>
      </w:pPr>
      <w:r>
        <w:rPr>
          <w:rFonts w:ascii="Calibri" w:eastAsia="Calibri" w:hAnsi="Calibri" w:cs="Calibri"/>
          <w:color w:val="0C64C0"/>
          <w:sz w:val="24"/>
          <w:szCs w:val="24"/>
        </w:rPr>
        <w:t xml:space="preserve">  geography = "block group",</w:t>
      </w:r>
    </w:p>
    <w:p w14:paraId="00000066" w14:textId="77777777" w:rsidR="00E86AAC" w:rsidRDefault="00000000">
      <w:pPr>
        <w:rPr>
          <w:rFonts w:ascii="Calibri" w:eastAsia="Calibri" w:hAnsi="Calibri" w:cs="Calibri"/>
          <w:color w:val="0C64C0"/>
          <w:sz w:val="24"/>
          <w:szCs w:val="24"/>
        </w:rPr>
      </w:pPr>
      <w:r>
        <w:rPr>
          <w:rFonts w:ascii="Calibri" w:eastAsia="Calibri" w:hAnsi="Calibri" w:cs="Calibri"/>
          <w:color w:val="0C64C0"/>
          <w:sz w:val="24"/>
          <w:szCs w:val="24"/>
        </w:rPr>
        <w:t xml:space="preserve">  state = "KS",</w:t>
      </w:r>
    </w:p>
    <w:p w14:paraId="00000067" w14:textId="77777777" w:rsidR="00E86AAC" w:rsidRDefault="00000000">
      <w:pPr>
        <w:rPr>
          <w:rFonts w:ascii="Calibri" w:eastAsia="Calibri" w:hAnsi="Calibri" w:cs="Calibri"/>
          <w:color w:val="0C64C0"/>
          <w:sz w:val="24"/>
          <w:szCs w:val="24"/>
        </w:rPr>
      </w:pPr>
      <w:r>
        <w:rPr>
          <w:rFonts w:ascii="Calibri" w:eastAsia="Calibri" w:hAnsi="Calibri" w:cs="Calibri"/>
          <w:color w:val="0C64C0"/>
          <w:sz w:val="24"/>
          <w:szCs w:val="24"/>
        </w:rPr>
        <w:t xml:space="preserve">  variables = "P1_001N",</w:t>
      </w:r>
    </w:p>
    <w:p w14:paraId="00000068" w14:textId="77777777" w:rsidR="00E86AAC" w:rsidRDefault="00000000">
      <w:pPr>
        <w:rPr>
          <w:rFonts w:ascii="Calibri" w:eastAsia="Calibri" w:hAnsi="Calibri" w:cs="Calibri"/>
          <w:color w:val="0C64C0"/>
          <w:sz w:val="24"/>
          <w:szCs w:val="24"/>
        </w:rPr>
      </w:pPr>
      <w:r>
        <w:rPr>
          <w:rFonts w:ascii="Calibri" w:eastAsia="Calibri" w:hAnsi="Calibri" w:cs="Calibri"/>
          <w:color w:val="0C64C0"/>
          <w:sz w:val="24"/>
          <w:szCs w:val="24"/>
        </w:rPr>
        <w:t xml:space="preserve">  year = 2020</w:t>
      </w:r>
    </w:p>
    <w:p w14:paraId="00000069" w14:textId="77777777" w:rsidR="00E86AAC" w:rsidRDefault="00000000">
      <w:pPr>
        <w:rPr>
          <w:rFonts w:ascii="Calibri" w:eastAsia="Calibri" w:hAnsi="Calibri" w:cs="Calibri"/>
          <w:color w:val="0C64C0"/>
          <w:sz w:val="24"/>
          <w:szCs w:val="24"/>
        </w:rPr>
      </w:pPr>
      <w:r>
        <w:rPr>
          <w:rFonts w:ascii="Calibri" w:eastAsia="Calibri" w:hAnsi="Calibri" w:cs="Calibri"/>
          <w:color w:val="0C64C0"/>
          <w:sz w:val="24"/>
          <w:szCs w:val="24"/>
        </w:rPr>
        <w:t>)</w:t>
      </w:r>
    </w:p>
    <w:p w14:paraId="0000006A" w14:textId="77777777" w:rsidR="00E86AAC" w:rsidRDefault="00E86AAC"/>
    <w:p w14:paraId="0000006B" w14:textId="77777777" w:rsidR="00E86AAC" w:rsidRDefault="00000000">
      <w:r>
        <w:t>Each row represents a census Block in Kansas.</w:t>
      </w:r>
    </w:p>
    <w:p w14:paraId="0000006C" w14:textId="77777777" w:rsidR="00E86AAC" w:rsidRDefault="00E86AAC"/>
    <w:p w14:paraId="0000006D" w14:textId="77777777" w:rsidR="00E86AAC" w:rsidRDefault="00000000">
      <w:pPr>
        <w:pStyle w:val="Heading2"/>
      </w:pPr>
      <w:bookmarkStart w:id="8" w:name="_1f31gduyh862" w:colFirst="0" w:colLast="0"/>
      <w:bookmarkEnd w:id="8"/>
      <w:r>
        <w:lastRenderedPageBreak/>
        <w:t>A note on "Missing" codes</w:t>
      </w:r>
    </w:p>
    <w:p w14:paraId="0000006E" w14:textId="77777777" w:rsidR="00E86AAC" w:rsidRDefault="00000000">
      <w:r>
        <w:t>You'll notice that there are a variety of ways in which this data set tells you that a value is missing. Unspecified, *Unspecified, Unknown, *Unknown, NA, etc.  Generally speaking, a * means that whoever was collecting the information attempted to collect, but either the patient refused or was unable to answer.  Without the *, it means the field was left blank for unknown reasons.</w:t>
      </w:r>
    </w:p>
    <w:sectPr w:rsidR="00E86AAC">
      <w:footerReference w:type="even"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13E50" w14:textId="77777777" w:rsidR="00D6625A" w:rsidRDefault="00D6625A" w:rsidP="00BA7688">
      <w:pPr>
        <w:spacing w:line="240" w:lineRule="auto"/>
      </w:pPr>
      <w:r>
        <w:separator/>
      </w:r>
    </w:p>
  </w:endnote>
  <w:endnote w:type="continuationSeparator" w:id="0">
    <w:p w14:paraId="4D6AFD5C" w14:textId="77777777" w:rsidR="00D6625A" w:rsidRDefault="00D6625A" w:rsidP="00BA76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EF0E6FC-E3BE-5B4E-8092-466500A3848F}"/>
  </w:font>
  <w:font w:name="Arial">
    <w:panose1 w:val="020B0604020202020204"/>
    <w:charset w:val="00"/>
    <w:family w:val="swiss"/>
    <w:pitch w:val="variable"/>
    <w:sig w:usb0="E0002AFF" w:usb1="C0007843" w:usb2="00000009" w:usb3="00000000" w:csb0="000001FF" w:csb1="00000000"/>
    <w:embedRegular r:id="rId2" w:fontKey="{C7DE6C86-A0E2-694A-B9A6-71BA33B6ECC7}"/>
    <w:embedBold r:id="rId3" w:fontKey="{2E631DA6-CC9D-D84E-BBBC-63707486EF21}"/>
    <w:embedItalic r:id="rId4" w:fontKey="{CB464035-1121-8847-9F9E-09B6B3E25849}"/>
  </w:font>
  <w:font w:name="Courier New">
    <w:panose1 w:val="02070309020205020404"/>
    <w:charset w:val="00"/>
    <w:family w:val="modern"/>
    <w:pitch w:val="fixed"/>
    <w:sig w:usb0="E0002EFF" w:usb1="C0007843" w:usb2="00000009" w:usb3="00000000" w:csb0="000001FF" w:csb1="00000000"/>
    <w:embedRegular r:id="rId5" w:fontKey="{EEC4DD2F-2952-1B4E-8F5E-8D999BD27280}"/>
    <w:embedBold r:id="rId6" w:fontKey="{2986C520-9D8B-1849-9AFC-400E0CBBB23B}"/>
  </w:font>
  <w:font w:name="Calibri">
    <w:panose1 w:val="020F0502020204030204"/>
    <w:charset w:val="00"/>
    <w:family w:val="swiss"/>
    <w:pitch w:val="variable"/>
    <w:sig w:usb0="E4002EFF" w:usb1="C000247B" w:usb2="00000009" w:usb3="00000000" w:csb0="000001FF" w:csb1="00000000"/>
    <w:embedRegular r:id="rId7" w:fontKey="{2C272DF0-230E-8D43-A45A-21138FC1EDA2}"/>
  </w:font>
  <w:font w:name="Cambria">
    <w:panose1 w:val="02040503050406030204"/>
    <w:charset w:val="00"/>
    <w:family w:val="roman"/>
    <w:pitch w:val="variable"/>
    <w:sig w:usb0="E00002FF" w:usb1="400004FF" w:usb2="00000000" w:usb3="00000000" w:csb0="0000019F" w:csb1="00000000"/>
    <w:embedRegular r:id="rId8" w:fontKey="{849348BD-8F64-5D4C-B992-A652CFEC009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07813999"/>
      <w:docPartObj>
        <w:docPartGallery w:val="Page Numbers (Bottom of Page)"/>
        <w:docPartUnique/>
      </w:docPartObj>
    </w:sdtPr>
    <w:sdtContent>
      <w:p w14:paraId="1A4AB770" w14:textId="2AFEA30E" w:rsidR="00BA7688" w:rsidRDefault="00BA7688" w:rsidP="0066346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1DDEFF0" w14:textId="77777777" w:rsidR="00BA7688" w:rsidRDefault="00BA7688" w:rsidP="00BA768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66032270"/>
      <w:docPartObj>
        <w:docPartGallery w:val="Page Numbers (Bottom of Page)"/>
        <w:docPartUnique/>
      </w:docPartObj>
    </w:sdtPr>
    <w:sdtContent>
      <w:p w14:paraId="2BB5A232" w14:textId="585E933F" w:rsidR="00BA7688" w:rsidRDefault="00BA7688" w:rsidP="0066346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7C38D7A4" w14:textId="77777777" w:rsidR="00BA7688" w:rsidRDefault="00BA7688" w:rsidP="00BA768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3E961" w14:textId="77777777" w:rsidR="00D6625A" w:rsidRDefault="00D6625A" w:rsidP="00BA7688">
      <w:pPr>
        <w:spacing w:line="240" w:lineRule="auto"/>
      </w:pPr>
      <w:r>
        <w:separator/>
      </w:r>
    </w:p>
  </w:footnote>
  <w:footnote w:type="continuationSeparator" w:id="0">
    <w:p w14:paraId="002B3C90" w14:textId="77777777" w:rsidR="00D6625A" w:rsidRDefault="00D6625A" w:rsidP="00BA768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61D95"/>
    <w:multiLevelType w:val="multilevel"/>
    <w:tmpl w:val="383830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2016913"/>
    <w:multiLevelType w:val="multilevel"/>
    <w:tmpl w:val="9B906C04"/>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5674314"/>
    <w:multiLevelType w:val="multilevel"/>
    <w:tmpl w:val="236657CA"/>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70066D4"/>
    <w:multiLevelType w:val="multilevel"/>
    <w:tmpl w:val="624437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41446053">
    <w:abstractNumId w:val="0"/>
  </w:num>
  <w:num w:numId="2" w16cid:durableId="1153135149">
    <w:abstractNumId w:val="3"/>
  </w:num>
  <w:num w:numId="3" w16cid:durableId="1831827046">
    <w:abstractNumId w:val="2"/>
  </w:num>
  <w:num w:numId="4" w16cid:durableId="8235916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AAC"/>
    <w:rsid w:val="00BA7688"/>
    <w:rsid w:val="00D6625A"/>
    <w:rsid w:val="00E173C1"/>
    <w:rsid w:val="00E86A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9949596E-79C4-7249-8E21-99C52A9B8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Footer">
    <w:name w:val="footer"/>
    <w:basedOn w:val="Normal"/>
    <w:link w:val="FooterChar"/>
    <w:uiPriority w:val="99"/>
    <w:unhideWhenUsed/>
    <w:rsid w:val="00BA7688"/>
    <w:pPr>
      <w:tabs>
        <w:tab w:val="center" w:pos="4680"/>
        <w:tab w:val="right" w:pos="9360"/>
      </w:tabs>
      <w:spacing w:line="240" w:lineRule="auto"/>
    </w:pPr>
  </w:style>
  <w:style w:type="character" w:customStyle="1" w:styleId="FooterChar">
    <w:name w:val="Footer Char"/>
    <w:basedOn w:val="DefaultParagraphFont"/>
    <w:link w:val="Footer"/>
    <w:uiPriority w:val="99"/>
    <w:rsid w:val="00BA7688"/>
  </w:style>
  <w:style w:type="character" w:styleId="PageNumber">
    <w:name w:val="page number"/>
    <w:basedOn w:val="DefaultParagraphFont"/>
    <w:uiPriority w:val="99"/>
    <w:semiHidden/>
    <w:unhideWhenUsed/>
    <w:rsid w:val="00BA76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igerweb.geo.census.gov/tigerwebmain/Files/tab20/tigerweb_tab20_blkgrp_2020_ks.htm" TargetMode="External"/><Relationship Id="rId3" Type="http://schemas.openxmlformats.org/officeDocument/2006/relationships/settings" Target="settings.xml"/><Relationship Id="rId7" Type="http://schemas.openxmlformats.org/officeDocument/2006/relationships/hyperlink" Target="https://www.geocod.io/complete-guide-to-fips-code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2262</Words>
  <Characters>12898</Characters>
  <Application>Microsoft Office Word</Application>
  <DocSecurity>0</DocSecurity>
  <Lines>107</Lines>
  <Paragraphs>30</Paragraphs>
  <ScaleCrop>false</ScaleCrop>
  <Company/>
  <LinksUpToDate>false</LinksUpToDate>
  <CharactersWithSpaces>15130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Gould</cp:lastModifiedBy>
  <cp:revision>2</cp:revision>
  <dcterms:created xsi:type="dcterms:W3CDTF">2026-04-28T15:21:00Z</dcterms:created>
  <dcterms:modified xsi:type="dcterms:W3CDTF">2026-04-28T15:21:00Z</dcterms:modified>
</cp:coreProperties>
</file>