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3D4E"/>
          <w:sz w:val="48"/>
        </w:rPr>
        <w:t>Privacy Policy</w:t>
      </w:r>
    </w:p>
    <w:p>
      <w:pPr>
        <w:spacing w:after="240"/>
      </w:pPr>
      <w:r>
        <w:rPr>
          <w:color w:val="595959"/>
          <w:sz w:val="22"/>
        </w:rPr>
        <w:t>Gilbert Devlyn Advisory | Draft for review</w:t>
      </w:r>
    </w:p>
    <w:p>
      <w:r>
        <w:rPr>
          <w:b/>
        </w:rPr>
        <w:t>Last updated:</w:t>
      </w:r>
      <w:r>
        <w:t xml:space="preserve"> June 16, 2026</w:t>
      </w:r>
    </w:p>
    <w:p>
      <w:r>
        <w:rPr>
          <w:b/>
        </w:rPr>
        <w:t>Important note:</w:t>
      </w:r>
      <w:r>
        <w:t xml:space="preserve"> This draft is intended as a practical business starting point for the Gilbert Devlyn Advisory website and self-assessment. It should be reviewed by qualified legal counsel before publication, especially before launching paid tools, email automations, analytics, or cross-border data storage.</w:t>
      </w:r>
    </w:p>
    <w:p>
      <w:pPr>
        <w:pStyle w:val="Heading1"/>
      </w:pPr>
      <w:r>
        <w:t>1. Who We Are</w:t>
      </w:r>
    </w:p>
    <w:p>
      <w:r>
        <w:t>This Privacy Policy explains how Gilbert Devlyn Advisory ("we," "us," or "our") collects, uses, stores, and shares information when a visitor uses gilbertdevlyn.com, completes the Family Enterprise Self-Assessment, requests follow-up, or communicates with us.</w:t>
      </w:r>
    </w:p>
    <w:p>
      <w:r>
        <w:rPr>
          <w:b/>
        </w:rPr>
        <w:t>Legal entity:</w:t>
      </w:r>
      <w:r>
        <w:t xml:space="preserve"> [Insert legal entity name].</w:t>
      </w:r>
    </w:p>
    <w:p>
      <w:r>
        <w:rPr>
          <w:b/>
        </w:rPr>
        <w:t>Business address:</w:t>
      </w:r>
      <w:r>
        <w:t xml:space="preserve"> [Insert business mailing address].</w:t>
      </w:r>
    </w:p>
    <w:p>
      <w:r>
        <w:rPr>
          <w:b/>
        </w:rPr>
        <w:t>Contact email:</w:t>
      </w:r>
      <w:r>
        <w:t xml:space="preserve"> partner@gilbertdevlyn.com.</w:t>
      </w:r>
    </w:p>
    <w:p>
      <w:pPr>
        <w:pStyle w:val="Heading1"/>
      </w:pPr>
      <w:r>
        <w:t>2. Scope of This Policy</w:t>
      </w:r>
    </w:p>
    <w:p>
      <w:r>
        <w:t>This policy applies to the website, self-assessment experience, contact requests, comparison links, and related communications. It does not apply to third-party websites or services that we do not control.</w:t>
      </w:r>
    </w:p>
    <w:p>
      <w:pPr>
        <w:pStyle w:val="Heading1"/>
      </w:pPr>
      <w:r>
        <w:t>3. Information We Collect</w:t>
      </w:r>
    </w:p>
    <w:p>
      <w:r>
        <w:t>We collect information you provide directly, information generated by your use of the self-assessment, and limited technical information needed to operate the website.</w:t>
      </w:r>
    </w:p>
    <w:tbl>
      <w:tblPr>
        <w:tblStyle w:val="TableGrid"/>
        <w:tblW w:type="auto" w:w="0"/>
        <w:jc w:val="center"/>
        <w:tblLook w:firstColumn="1" w:firstRow="1" w:lastColumn="0" w:lastRow="0" w:noHBand="0" w:noVBand="1" w:val="04A0"/>
      </w:tblPr>
      <w:tblGrid>
        <w:gridCol w:w="3120"/>
        <w:gridCol w:w="3120"/>
        <w:gridCol w:w="3120"/>
      </w:tblGrid>
      <w:tr>
        <w:tc>
          <w:tcPr>
            <w:tcW w:type="dxa" w:w="2088"/>
            <w:shd w:fill="F2F4F7"/>
            <w:tcMar>
              <w:top w:w="80" w:type="dxa"/>
              <w:start w:w="120" w:type="dxa"/>
              <w:bottom w:w="80" w:type="dxa"/>
              <w:end w:w="120" w:type="dxa"/>
            </w:tcMar>
            <w:vAlign w:val="center"/>
          </w:tcPr>
          <w:p>
            <w:r>
              <w:rPr>
                <w:b/>
              </w:rPr>
              <w:t>Category</w:t>
            </w:r>
          </w:p>
        </w:tc>
        <w:tc>
          <w:tcPr>
            <w:tcW w:type="dxa" w:w="3960"/>
            <w:shd w:fill="F2F4F7"/>
            <w:tcMar>
              <w:top w:w="80" w:type="dxa"/>
              <w:start w:w="120" w:type="dxa"/>
              <w:bottom w:w="80" w:type="dxa"/>
              <w:end w:w="120" w:type="dxa"/>
            </w:tcMar>
            <w:vAlign w:val="center"/>
          </w:tcPr>
          <w:p>
            <w:r>
              <w:rPr>
                <w:b/>
              </w:rPr>
              <w:t>Examples</w:t>
            </w:r>
          </w:p>
        </w:tc>
        <w:tc>
          <w:tcPr>
            <w:tcW w:type="dxa" w:w="3311"/>
            <w:shd w:fill="F2F4F7"/>
            <w:tcMar>
              <w:top w:w="80" w:type="dxa"/>
              <w:start w:w="120" w:type="dxa"/>
              <w:bottom w:w="80" w:type="dxa"/>
              <w:end w:w="120" w:type="dxa"/>
            </w:tcMar>
            <w:vAlign w:val="center"/>
          </w:tcPr>
          <w:p>
            <w:r>
              <w:rPr>
                <w:b/>
              </w:rPr>
              <w:t>Purpose</w:t>
            </w:r>
          </w:p>
        </w:tc>
      </w:tr>
      <w:tr>
        <w:tc>
          <w:tcPr>
            <w:tcW w:type="dxa" w:w="2088"/>
            <w:tcMar>
              <w:top w:w="80" w:type="dxa"/>
              <w:start w:w="120" w:type="dxa"/>
              <w:bottom w:w="80" w:type="dxa"/>
              <w:end w:w="120" w:type="dxa"/>
            </w:tcMar>
            <w:vAlign w:val="center"/>
          </w:tcPr>
          <w:p>
            <w:r>
              <w:t>Contact and profile information</w:t>
            </w:r>
          </w:p>
        </w:tc>
        <w:tc>
          <w:tcPr>
            <w:tcW w:type="dxa" w:w="3960"/>
            <w:tcMar>
              <w:top w:w="80" w:type="dxa"/>
              <w:start w:w="120" w:type="dxa"/>
              <w:bottom w:w="80" w:type="dxa"/>
              <w:end w:w="120" w:type="dxa"/>
            </w:tcMar>
            <w:vAlign w:val="center"/>
          </w:tcPr>
          <w:p>
            <w:r>
              <w:t>Name, email address, phone number, country, relationship to the family business, generation, and role details.</w:t>
            </w:r>
          </w:p>
        </w:tc>
        <w:tc>
          <w:tcPr>
            <w:tcW w:type="dxa" w:w="3311"/>
            <w:tcMar>
              <w:top w:w="80" w:type="dxa"/>
              <w:start w:w="120" w:type="dxa"/>
              <w:bottom w:w="80" w:type="dxa"/>
              <w:end w:w="120" w:type="dxa"/>
            </w:tcMar>
            <w:vAlign w:val="center"/>
          </w:tcPr>
          <w:p>
            <w:r>
              <w:t>To connect your result to you, provide follow-up, understand context, and support comparison features.</w:t>
            </w:r>
          </w:p>
        </w:tc>
      </w:tr>
      <w:tr>
        <w:tc>
          <w:tcPr>
            <w:tcW w:type="dxa" w:w="2088"/>
            <w:tcMar>
              <w:top w:w="80" w:type="dxa"/>
              <w:start w:w="120" w:type="dxa"/>
              <w:bottom w:w="80" w:type="dxa"/>
              <w:end w:w="120" w:type="dxa"/>
            </w:tcMar>
            <w:vAlign w:val="center"/>
          </w:tcPr>
          <w:p>
            <w:r>
              <w:t>Assessment responses and results</w:t>
            </w:r>
          </w:p>
        </w:tc>
        <w:tc>
          <w:tcPr>
            <w:tcW w:type="dxa" w:w="3960"/>
            <w:tcMar>
              <w:top w:w="80" w:type="dxa"/>
              <w:start w:w="120" w:type="dxa"/>
              <w:bottom w:w="80" w:type="dxa"/>
              <w:end w:w="120" w:type="dxa"/>
            </w:tcMar>
            <w:vAlign w:val="center"/>
          </w:tcPr>
          <w:p>
            <w:r>
              <w:t>Question responses, unknown responses, score per dimension, overall result, maturity stage, and PDF/report outputs.</w:t>
            </w:r>
          </w:p>
        </w:tc>
        <w:tc>
          <w:tcPr>
            <w:tcW w:type="dxa" w:w="3311"/>
            <w:tcMar>
              <w:top w:w="80" w:type="dxa"/>
              <w:start w:w="120" w:type="dxa"/>
              <w:bottom w:w="80" w:type="dxa"/>
              <w:end w:w="120" w:type="dxa"/>
            </w:tcMar>
            <w:vAlign w:val="center"/>
          </w:tcPr>
          <w:p>
            <w:r>
              <w:t>To generate your self-assessment result, help identify priority areas, and support advisory conversations.</w:t>
            </w:r>
          </w:p>
        </w:tc>
      </w:tr>
      <w:tr>
        <w:tc>
          <w:tcPr>
            <w:tcW w:type="dxa" w:w="2088"/>
            <w:tcMar>
              <w:top w:w="80" w:type="dxa"/>
              <w:start w:w="120" w:type="dxa"/>
              <w:bottom w:w="80" w:type="dxa"/>
              <w:end w:w="120" w:type="dxa"/>
            </w:tcMar>
            <w:vAlign w:val="center"/>
          </w:tcPr>
          <w:p>
            <w:r>
              <w:t>Comparison and invitation information</w:t>
            </w:r>
          </w:p>
        </w:tc>
        <w:tc>
          <w:tcPr>
            <w:tcW w:type="dxa" w:w="3960"/>
            <w:tcMar>
              <w:top w:w="80" w:type="dxa"/>
              <w:start w:w="120" w:type="dxa"/>
              <w:bottom w:w="80" w:type="dxa"/>
              <w:end w:w="120" w:type="dxa"/>
            </w:tcMar>
            <w:vAlign w:val="center"/>
          </w:tcPr>
          <w:p>
            <w:r>
              <w:t>Group or invite identifiers, invitee email address, participant role/generation labels, and comparison status.</w:t>
            </w:r>
          </w:p>
        </w:tc>
        <w:tc>
          <w:tcPr>
            <w:tcW w:type="dxa" w:w="3311"/>
            <w:tcMar>
              <w:top w:w="80" w:type="dxa"/>
              <w:start w:w="120" w:type="dxa"/>
              <w:bottom w:w="80" w:type="dxa"/>
              <w:end w:w="120" w:type="dxa"/>
            </w:tcMar>
            <w:vAlign w:val="center"/>
          </w:tcPr>
          <w:p>
            <w:r>
              <w:t>To allow multiple family members to compare perspectives without showing individual question-by-question responses.</w:t>
            </w:r>
          </w:p>
        </w:tc>
      </w:tr>
      <w:tr>
        <w:tc>
          <w:tcPr>
            <w:tcW w:type="dxa" w:w="2088"/>
            <w:tcMar>
              <w:top w:w="80" w:type="dxa"/>
              <w:start w:w="120" w:type="dxa"/>
              <w:bottom w:w="80" w:type="dxa"/>
              <w:end w:w="120" w:type="dxa"/>
            </w:tcMar>
            <w:vAlign w:val="center"/>
          </w:tcPr>
          <w:p>
            <w:r>
              <w:t>Follow-up information</w:t>
            </w:r>
          </w:p>
        </w:tc>
        <w:tc>
          <w:tcPr>
            <w:tcW w:type="dxa" w:w="3960"/>
            <w:tcMar>
              <w:top w:w="80" w:type="dxa"/>
              <w:start w:w="120" w:type="dxa"/>
              <w:bottom w:w="80" w:type="dxa"/>
              <w:end w:w="120" w:type="dxa"/>
            </w:tcMar>
            <w:vAlign w:val="center"/>
          </w:tcPr>
          <w:p>
            <w:r>
              <w:t>Contact-request status, booking status, and messages or notes you choose to share.</w:t>
            </w:r>
          </w:p>
        </w:tc>
        <w:tc>
          <w:tcPr>
            <w:tcW w:type="dxa" w:w="3311"/>
            <w:tcMar>
              <w:top w:w="80" w:type="dxa"/>
              <w:start w:w="120" w:type="dxa"/>
              <w:bottom w:w="80" w:type="dxa"/>
              <w:end w:w="120" w:type="dxa"/>
            </w:tcMar>
            <w:vAlign w:val="center"/>
          </w:tcPr>
          <w:p>
            <w:r>
              <w:t>To respond to your request and coordinate advisory conversations.</w:t>
            </w:r>
          </w:p>
        </w:tc>
      </w:tr>
      <w:tr>
        <w:tc>
          <w:tcPr>
            <w:tcW w:type="dxa" w:w="2088"/>
            <w:tcMar>
              <w:top w:w="80" w:type="dxa"/>
              <w:start w:w="120" w:type="dxa"/>
              <w:bottom w:w="80" w:type="dxa"/>
              <w:end w:w="120" w:type="dxa"/>
            </w:tcMar>
            <w:vAlign w:val="center"/>
          </w:tcPr>
          <w:p>
            <w:r>
              <w:t>Technical and cookie information</w:t>
            </w:r>
          </w:p>
        </w:tc>
        <w:tc>
          <w:tcPr>
            <w:tcW w:type="dxa" w:w="3960"/>
            <w:tcMar>
              <w:top w:w="80" w:type="dxa"/>
              <w:start w:w="120" w:type="dxa"/>
              <w:bottom w:w="80" w:type="dxa"/>
              <w:end w:w="120" w:type="dxa"/>
            </w:tcMar>
            <w:vAlign w:val="center"/>
          </w:tcPr>
          <w:p>
            <w:r>
              <w:t>Cookie consent status, saved assessment draft, latest result, browser storage records, and basic server logs if enabled.</w:t>
            </w:r>
          </w:p>
        </w:tc>
        <w:tc>
          <w:tcPr>
            <w:tcW w:type="dxa" w:w="3311"/>
            <w:tcMar>
              <w:top w:w="80" w:type="dxa"/>
              <w:start w:w="120" w:type="dxa"/>
              <w:bottom w:w="80" w:type="dxa"/>
              <w:end w:w="120" w:type="dxa"/>
            </w:tcMar>
            <w:vAlign w:val="center"/>
          </w:tcPr>
          <w:p>
            <w:r>
              <w:t>To remember progress, keep the assessment usable, and maintain website security and reliability.</w:t>
            </w:r>
          </w:p>
        </w:tc>
      </w:tr>
    </w:tbl>
    <w:p>
      <w:pPr>
        <w:pStyle w:val="Heading1"/>
      </w:pPr>
      <w:r>
        <w:t>4. How We Collect Information</w:t>
      </w:r>
    </w:p>
    <w:p>
      <w:pPr>
        <w:pStyle w:val="ListBullet"/>
        <w:spacing w:after="80"/>
      </w:pPr>
      <w:r>
        <w:t>Directly from you when you complete the profile intake, answer assessment questions, request follow-up, or submit an invitation.</w:t>
      </w:r>
    </w:p>
    <w:p>
      <w:pPr>
        <w:pStyle w:val="ListBullet"/>
        <w:spacing w:after="80"/>
      </w:pPr>
      <w:r>
        <w:t>Automatically through cookies and browser storage used to save progress, remember consent, and connect results to the comparison flow.</w:t>
      </w:r>
    </w:p>
    <w:p>
      <w:pPr>
        <w:pStyle w:val="ListBullet"/>
        <w:spacing w:after="80"/>
      </w:pPr>
      <w:r>
        <w:t>Through service providers we use or may use to host the website, store assessment results, manage email, send notifications, operate Airtable or similar databases, and schedule follow-up conversations.</w:t>
      </w:r>
    </w:p>
    <w:p>
      <w:pPr>
        <w:pStyle w:val="Heading1"/>
      </w:pPr>
      <w:r>
        <w:t>5. How We Use Information</w:t>
      </w:r>
    </w:p>
    <w:p>
      <w:pPr>
        <w:pStyle w:val="ListBullet"/>
        <w:spacing w:after="80"/>
      </w:pPr>
      <w:r>
        <w:t>Provide and improve the Family Enterprise Self-Assessment.</w:t>
      </w:r>
    </w:p>
    <w:p>
      <w:pPr>
        <w:pStyle w:val="ListBullet"/>
        <w:spacing w:after="80"/>
      </w:pPr>
      <w:r>
        <w:t>Generate results, dimension scores, comparison views, and downloadable reports.</w:t>
      </w:r>
    </w:p>
    <w:p>
      <w:pPr>
        <w:pStyle w:val="ListBullet"/>
        <w:spacing w:after="80"/>
      </w:pPr>
      <w:r>
        <w:t>Respond to follow-up requests and coordinate advisory conversations.</w:t>
      </w:r>
    </w:p>
    <w:p>
      <w:pPr>
        <w:pStyle w:val="ListBullet"/>
        <w:spacing w:after="80"/>
      </w:pPr>
      <w:r>
        <w:t>Send assessment-related communications, invitations, reminders, or completion summaries if email automation is enabled.</w:t>
      </w:r>
    </w:p>
    <w:p>
      <w:pPr>
        <w:pStyle w:val="ListBullet"/>
        <w:spacing w:after="80"/>
      </w:pPr>
      <w:r>
        <w:t>Maintain records needed for operations, client intake, service improvement, security, and legal compliance.</w:t>
      </w:r>
    </w:p>
    <w:p>
      <w:pPr>
        <w:pStyle w:val="ListBullet"/>
        <w:spacing w:after="80"/>
      </w:pPr>
      <w:r>
        <w:t>Understand aggregate, non-identifying patterns in how families use the assessment.</w:t>
      </w:r>
    </w:p>
    <w:p>
      <w:pPr>
        <w:pStyle w:val="Heading1"/>
      </w:pPr>
      <w:r>
        <w:t>6. Cookies and Browser Storage</w:t>
      </w:r>
    </w:p>
    <w:p>
      <w:r>
        <w:t>The website uses cookies and browser storage to keep the assessment functional. For example, the current implementation stores cookie consent, saved assessment drafts, latest results, and comparison group information in the browser. If you clear cookies or browser storage, your saved progress or local result may be lost.</w:t>
      </w:r>
    </w:p>
    <w:p>
      <w:r>
        <w:t>We may later add analytics, email, CRM, or scheduling tools. If those tools introduce additional cookies or tracking technologies, this policy and the cookie notice should be updated before launch.</w:t>
      </w:r>
    </w:p>
    <w:p>
      <w:pPr>
        <w:pStyle w:val="Heading1"/>
      </w:pPr>
      <w:r>
        <w:t>7. How We Share Information</w:t>
      </w:r>
    </w:p>
    <w:p>
      <w:r>
        <w:t>We do not sell personal information. We share information only as needed to operate the website, provide requested services, and comply with law.</w:t>
      </w:r>
    </w:p>
    <w:p>
      <w:pPr>
        <w:pStyle w:val="ListBullet"/>
        <w:spacing w:after="80"/>
      </w:pPr>
      <w:r>
        <w:t>With service providers, such as hosting providers, email providers, Airtable or database tools, scheduling tools, PDF/report tools, analytics providers, and technical contractors.</w:t>
      </w:r>
    </w:p>
    <w:p>
      <w:pPr>
        <w:pStyle w:val="ListBullet"/>
        <w:spacing w:after="80"/>
      </w:pPr>
      <w:r>
        <w:t>With Gilbert Devlyn or authorized team members who need the information to respond to follow-up requests or support advisory work.</w:t>
      </w:r>
    </w:p>
    <w:p>
      <w:pPr>
        <w:pStyle w:val="ListBullet"/>
        <w:spacing w:after="80"/>
      </w:pPr>
      <w:r>
        <w:t>With invited family participants only through the comparison experience, where the product is designed to show role/generation labels and scores, not another person's individual question-by-question answers.</w:t>
      </w:r>
    </w:p>
    <w:p>
      <w:pPr>
        <w:pStyle w:val="ListBullet"/>
        <w:spacing w:after="80"/>
      </w:pPr>
      <w:r>
        <w:t>With legal, regulatory, or security parties if required to comply with law, protect rights, prevent fraud, or respond to lawful requests.</w:t>
      </w:r>
    </w:p>
    <w:p>
      <w:pPr>
        <w:pStyle w:val="Heading1"/>
      </w:pPr>
      <w:r>
        <w:t>8. Data Retention</w:t>
      </w:r>
    </w:p>
    <w:p>
      <w:r>
        <w:t>We keep personal information only as long as reasonably necessary for the purposes described in this policy, unless a longer retention period is required or permitted by law. Assessment records may be retained for follow-up, advisory preparation, internal operations, and recordkeeping. Draft records stored in your browser remain until you clear them or they are replaced.</w:t>
      </w:r>
    </w:p>
    <w:p>
      <w:r>
        <w:rPr>
          <w:b/>
        </w:rPr>
        <w:t>Recommended internal retention rule to confirm:</w:t>
      </w:r>
      <w:r>
        <w:t xml:space="preserve"> [Insert retention period for completed assessments, incomplete assessments, email events, and contact requests].</w:t>
      </w:r>
    </w:p>
    <w:p>
      <w:pPr>
        <w:pStyle w:val="Heading1"/>
      </w:pPr>
      <w:r>
        <w:t>9. Security</w:t>
      </w:r>
    </w:p>
    <w:p>
      <w:r>
        <w:t>We use reasonable administrative, technical, and organizational measures intended to protect personal information. No website, storage system, or transmission method is completely secure, so we cannot guarantee absolute security.</w:t>
      </w:r>
    </w:p>
    <w:p>
      <w:r>
        <w:rPr>
          <w:b/>
        </w:rPr>
        <w:t>Operational recommendation:</w:t>
      </w:r>
      <w:r>
        <w:t xml:space="preserve"> limit access to assessment records to people who need it, use strong passwords and two-factor authentication, avoid sharing raw credentials, and delete information that is no longer needed.</w:t>
      </w:r>
    </w:p>
    <w:p>
      <w:pPr>
        <w:pStyle w:val="Heading1"/>
      </w:pPr>
      <w:r>
        <w:t>10. International Visitors and Data Transfers</w:t>
      </w:r>
    </w:p>
    <w:p>
      <w:r>
        <w:t>Visitors may access the website from different countries, including Mexico and the United States. Personal information may be processed in the country where our service providers operate. By using the website, you understand that your information may be transferred to and processed in jurisdictions that may have different privacy laws than your location.</w:t>
      </w:r>
    </w:p>
    <w:p>
      <w:pPr>
        <w:pStyle w:val="Heading1"/>
      </w:pPr>
      <w:r>
        <w:t>11. Your Choices and Rights</w:t>
      </w:r>
    </w:p>
    <w:p>
      <w:r>
        <w:t>Depending on where you live, you may have rights to request access, correction, deletion, restriction, portability, or objection to certain processing of your personal information. You may also ask us not to contact you for follow-up communications.</w:t>
      </w:r>
    </w:p>
    <w:p>
      <w:r>
        <w:t>To make a request, contact partner@gilbertdevlyn.com. We may need to verify your identity before fulfilling a request. Some requests may be limited by legal, security, operational, or recordkeeping requirements.</w:t>
      </w:r>
    </w:p>
    <w:p>
      <w:pPr>
        <w:pStyle w:val="Heading1"/>
      </w:pPr>
      <w:r>
        <w:t>12. California Privacy Notice</w:t>
      </w:r>
    </w:p>
    <w:p>
      <w:r>
        <w:t>If the business is subject to the California Consumer Privacy Act (CCPA/CPRA), California residents may have rights to know, delete, correct, opt out of sale or sharing, limit certain sensitive personal information uses, and not be discriminated against for exercising privacy rights. This draft assumes the website does not sell personal information or share it for cross-context behavioral advertising. Counsel should confirm whether CCPA/CPRA applies based on revenue, volume of California records, and data-sharing practices.</w:t>
      </w:r>
    </w:p>
    <w:p>
      <w:pPr>
        <w:pStyle w:val="Heading1"/>
      </w:pPr>
      <w:r>
        <w:t>13. Children</w:t>
      </w:r>
    </w:p>
    <w:p>
      <w:r>
        <w:t>The website and self-assessment are intended for adults and business-family participants. They are not directed to children under 13, and we do not knowingly collect personal information from children under 13.</w:t>
      </w:r>
    </w:p>
    <w:p>
      <w:pPr>
        <w:pStyle w:val="Heading1"/>
      </w:pPr>
      <w:r>
        <w:t>14. Changes to This Policy</w:t>
      </w:r>
    </w:p>
    <w:p>
      <w:r>
        <w:t>We may update this Privacy Policy from time to time. If we make material changes, we will update the "Last updated" date and provide additional notice where appropriate.</w:t>
      </w:r>
    </w:p>
    <w:p>
      <w:pPr>
        <w:pStyle w:val="Heading1"/>
      </w:pPr>
      <w:r>
        <w:t>15. Contact Us</w:t>
      </w:r>
    </w:p>
    <w:p>
      <w:r>
        <w:t>For privacy questions or requests, contact:</w:t>
      </w:r>
    </w:p>
    <w:p>
      <w:pPr>
        <w:pStyle w:val="ListBullet"/>
        <w:spacing w:after="80"/>
      </w:pPr>
      <w:r>
        <w:t>Gilbert Devlyn Advisory</w:t>
      </w:r>
    </w:p>
    <w:p>
      <w:pPr>
        <w:pStyle w:val="ListBullet"/>
        <w:spacing w:after="80"/>
      </w:pPr>
      <w:r>
        <w:t>Email: partner@gilbertdevlyn.com</w:t>
      </w:r>
    </w:p>
    <w:p>
      <w:pPr>
        <w:pStyle w:val="ListBullet"/>
        <w:spacing w:after="80"/>
      </w:pPr>
      <w:r>
        <w:t>Address: [Insert business mailing address]</w:t>
      </w:r>
    </w:p>
    <w:p>
      <w:pPr>
        <w:pStyle w:val="Heading1"/>
      </w:pPr>
      <w:r>
        <w:t>Implementation Checklist Before Publishing</w:t>
      </w:r>
    </w:p>
    <w:p>
      <w:pPr>
        <w:pStyle w:val="ListBullet"/>
        <w:spacing w:after="80"/>
      </w:pPr>
      <w:r>
        <w:t>Confirm the legal entity name and mailing address.</w:t>
      </w:r>
    </w:p>
    <w:p>
      <w:pPr>
        <w:pStyle w:val="ListBullet"/>
        <w:spacing w:after="80"/>
      </w:pPr>
      <w:r>
        <w:t>Confirm the final domain and contact email.</w:t>
      </w:r>
    </w:p>
    <w:p>
      <w:pPr>
        <w:pStyle w:val="ListBullet"/>
        <w:spacing w:after="80"/>
      </w:pPr>
      <w:r>
        <w:t>Confirm where completed assessments will be stored: local server, Airtable, Supabase, CRM, email provider, or another system.</w:t>
      </w:r>
    </w:p>
    <w:p>
      <w:pPr>
        <w:pStyle w:val="ListBullet"/>
        <w:spacing w:after="80"/>
      </w:pPr>
      <w:r>
        <w:t>Confirm which third-party services are active at launch, including hosting, email, scheduling, analytics, Airtable, and PDF generation.</w:t>
      </w:r>
    </w:p>
    <w:p>
      <w:pPr>
        <w:pStyle w:val="ListBullet"/>
        <w:spacing w:after="80"/>
      </w:pPr>
      <w:r>
        <w:t>Confirm retention periods for incomplete and completed assessment records.</w:t>
      </w:r>
    </w:p>
    <w:p>
      <w:pPr>
        <w:pStyle w:val="ListBullet"/>
        <w:spacing w:after="80"/>
      </w:pPr>
      <w:r>
        <w:t>Confirm whether the business is subject to CCPA/CPRA, Mexico privacy law requirements, or other jurisdiction-specific obligations.</w:t>
      </w:r>
    </w:p>
    <w:p>
      <w:pPr>
        <w:pStyle w:val="ListBullet"/>
        <w:spacing w:after="80"/>
      </w:pPr>
      <w:r>
        <w:t>Update the cookie banner if analytics, advertising, or third-party tracking is added.</w:t>
      </w:r>
    </w:p>
    <w:p>
      <w:pPr>
        <w:pStyle w:val="ListBullet"/>
        <w:spacing w:after="80"/>
      </w:pPr>
      <w:r>
        <w:t>Have qualified legal counsel review before publication.</w:t>
      </w:r>
    </w:p>
    <w:p>
      <w:pPr>
        <w:pStyle w:val="Heading1"/>
      </w:pPr>
      <w:r>
        <w:t>Drafting References</w:t>
      </w:r>
    </w:p>
    <w:p>
      <w:r>
        <w:t>This draft was informed by general privacy and data security principles from the Federal Trade Commission and California Attorney General guidance, including clear privacy disclosures, knowing what personal information is collected, keeping only what is needed, protecting retained information, and describing applicable consumer rights. These references are not a substitute for legal advice.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Draft for review | Gilbert Devlyn Advisory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D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