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color w:val="1B365D"/>
          <w:sz w:val="24"/>
        </w:rPr>
        <w:t>ĐẠI HỌC ĐÀ NẴNG</w:t>
        <w:br/>
        <w:t>VIỆN NGHIÊN CỨU VÀ ĐÀO TẠO VIỆT - ANH (VNUK)</w:t>
      </w:r>
    </w:p>
    <w:p>
      <w:pPr>
        <w:spacing w:before="0" w:after="280" w:line="276" w:lineRule="auto"/>
        <w:jc w:val="center"/>
      </w:pPr>
      <w:r>
        <w:rPr>
          <w:rFonts w:ascii="Times New Roman" w:hAnsi="Times New Roman"/>
          <w:color w:val="64748B"/>
          <w:sz w:val="20"/>
        </w:rPr>
        <w:t>─────────── ★ ───────────</w:t>
      </w:r>
    </w:p>
    <w:p>
      <w:pPr>
        <w:spacing w:before="200" w:after="160" w:line="276" w:lineRule="auto"/>
        <w:jc w:val="center"/>
      </w:pPr>
      <w:r>
        <w:rPr>
          <w:rFonts w:ascii="Times New Roman" w:hAnsi="Times New Roman"/>
          <w:b/>
          <w:color w:val="1B365D"/>
          <w:sz w:val="29"/>
        </w:rPr>
        <w:t>TÀI LIỆU KỸ THUẬT ĐẶC TẢ CHUYÊN SÂU:</w:t>
        <w:br/>
        <w:t>HỆ THỐNG QUY TẮC NGHIỆP VỤ (BUSINESS RULES)</w:t>
        <w:br/>
        <w:t>VÀ YÊU CẦU PHI CHỨC NĂNG (NON-FUNCTIONAL REQUIREMENTS)</w:t>
      </w:r>
    </w:p>
    <w:p>
      <w:pPr>
        <w:spacing w:before="0" w:after="320" w:line="276" w:lineRule="auto"/>
        <w:jc w:val="center"/>
      </w:pPr>
      <w:r>
        <w:rPr>
          <w:rFonts w:ascii="Times New Roman" w:hAnsi="Times New Roman"/>
          <w:i/>
          <w:color w:val="2563EB"/>
          <w:sz w:val="21"/>
        </w:rPr>
        <w:t>Đề tài: HỆ THỐNG QUẢN TRỊ &amp; GHÉP BẠN CÙNG PHÒNG KÝ TÚC XÁ THÔNG MINH (KTX SMART MATCH)</w:t>
        <w:br/>
        <w:t>Ứng dụng Giải thuật Gale-Shapley (BP=0) &amp; Phân tích Nếp sống Đa tiêu chí</w:t>
      </w:r>
    </w:p>
    <w:tbl>
      <w:tblPr>
        <w:tblW w:type="auto" w:w="0"/>
        <w:jc w:val="center"/>
        <w:tblLook w:firstColumn="1" w:firstRow="1" w:lastColumn="0" w:lastRow="0" w:noHBand="0" w:noVBand="1" w:val="04A0"/>
      </w:tblPr>
      <w:tblGrid>
        <w:gridCol w:w="4730"/>
        <w:gridCol w:w="4730"/>
      </w:tblGrid>
      <w:tr>
        <w:tc>
          <w:tcPr>
            <w:tcW w:type="dxa" w:w="3168"/>
            <w:shd w:val="clear" w:color="auto" w:fill="F1F5F9"/>
            <w:tcMar>
              <w:top w:w="50" w:type="dxa"/>
              <w:bottom w:w="5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E293B"/>
                <w:sz w:val="20"/>
              </w:rPr>
              <w:t>Cơ quan chủ quản:</w:t>
            </w:r>
          </w:p>
        </w:tc>
        <w:tc>
          <w:tcPr>
            <w:tcW w:type="dxa" w:w="6192"/>
            <w:shd w:val="clear" w:color="auto" w:fill="FFFFFF"/>
            <w:tcMar>
              <w:top w:w="50" w:type="dxa"/>
              <w:bottom w:w="5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color w:val="334155"/>
                <w:sz w:val="20"/>
              </w:rPr>
              <w:t>Viện Nghiên cứu và Đào tạo Việt - Anh (VNUK) – Đại học Đà Nẵng</w:t>
            </w:r>
          </w:p>
        </w:tc>
      </w:tr>
      <w:tr>
        <w:tc>
          <w:tcPr>
            <w:tcW w:type="dxa" w:w="3168"/>
            <w:shd w:val="clear" w:color="auto" w:fill="F1F5F9"/>
            <w:tcMar>
              <w:top w:w="50" w:type="dxa"/>
              <w:bottom w:w="5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E293B"/>
                <w:sz w:val="20"/>
              </w:rPr>
              <w:t>Học phần:</w:t>
            </w:r>
          </w:p>
        </w:tc>
        <w:tc>
          <w:tcPr>
            <w:tcW w:type="dxa" w:w="6192"/>
            <w:shd w:val="clear" w:color="auto" w:fill="FFFFFF"/>
            <w:tcMar>
              <w:top w:w="50" w:type="dxa"/>
              <w:bottom w:w="5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color w:val="334155"/>
                <w:sz w:val="20"/>
              </w:rPr>
              <w:t>Phân tích &amp; Thiết kế Hệ thống (System Analysis &amp; Design)</w:t>
            </w:r>
          </w:p>
        </w:tc>
      </w:tr>
      <w:tr>
        <w:tc>
          <w:tcPr>
            <w:tcW w:type="dxa" w:w="3168"/>
            <w:shd w:val="clear" w:color="auto" w:fill="F1F5F9"/>
            <w:tcMar>
              <w:top w:w="50" w:type="dxa"/>
              <w:bottom w:w="5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E293B"/>
                <w:sz w:val="20"/>
              </w:rPr>
              <w:t>Nhóm sinh viên thực hiện:</w:t>
            </w:r>
          </w:p>
        </w:tc>
        <w:tc>
          <w:tcPr>
            <w:tcW w:type="dxa" w:w="6192"/>
            <w:shd w:val="clear" w:color="auto" w:fill="FFFFFF"/>
            <w:tcMar>
              <w:top w:w="50" w:type="dxa"/>
              <w:bottom w:w="5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0F172A"/>
                <w:sz w:val="20"/>
              </w:rPr>
              <w:t>Nhóm 3: Châu Tuấn Kiệt • Bùi Đình Hiếu • Lê Hoàng Triều</w:t>
            </w:r>
          </w:p>
        </w:tc>
      </w:tr>
      <w:tr>
        <w:tc>
          <w:tcPr>
            <w:tcW w:type="dxa" w:w="3168"/>
            <w:shd w:val="clear" w:color="auto" w:fill="F1F5F9"/>
            <w:tcMar>
              <w:top w:w="50" w:type="dxa"/>
              <w:bottom w:w="5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E293B"/>
                <w:sz w:val="20"/>
              </w:rPr>
              <w:t>Đối tượng đặc tả:</w:t>
            </w:r>
          </w:p>
        </w:tc>
        <w:tc>
          <w:tcPr>
            <w:tcW w:type="dxa" w:w="6192"/>
            <w:shd w:val="clear" w:color="auto" w:fill="FFFFFF"/>
            <w:tcMar>
              <w:top w:w="50" w:type="dxa"/>
              <w:bottom w:w="5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color w:val="334155"/>
                <w:sz w:val="20"/>
              </w:rPr>
              <w:t>7 Business Rules (BR-01..07) &amp; 6 Non-Functional (NFR-01..06)</w:t>
            </w:r>
          </w:p>
        </w:tc>
      </w:tr>
      <w:tr>
        <w:tc>
          <w:tcPr>
            <w:tcW w:type="dxa" w:w="3168"/>
            <w:shd w:val="clear" w:color="auto" w:fill="F1F5F9"/>
            <w:tcMar>
              <w:top w:w="50" w:type="dxa"/>
              <w:bottom w:w="5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E293B"/>
                <w:sz w:val="20"/>
              </w:rPr>
              <w:t>Chuẩn kiểm định áp dụng:</w:t>
            </w:r>
          </w:p>
        </w:tc>
        <w:tc>
          <w:tcPr>
            <w:tcW w:type="dxa" w:w="6192"/>
            <w:shd w:val="clear" w:color="auto" w:fill="FFFFFF"/>
            <w:tcMar>
              <w:top w:w="50" w:type="dxa"/>
              <w:bottom w:w="5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color w:val="334155"/>
                <w:sz w:val="20"/>
              </w:rPr>
              <w:t>ISO/IEC 25010 (Software Product Quality) &amp; Stable Matching Gale-Shapley</w:t>
            </w:r>
          </w:p>
        </w:tc>
      </w:tr>
      <w:tr>
        <w:tc>
          <w:tcPr>
            <w:tcW w:type="dxa" w:w="3168"/>
            <w:shd w:val="clear" w:color="auto" w:fill="F1F5F9"/>
            <w:tcMar>
              <w:top w:w="50" w:type="dxa"/>
              <w:bottom w:w="5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E293B"/>
                <w:sz w:val="20"/>
              </w:rPr>
              <w:t>Tình trạng tài liệu:</w:t>
            </w:r>
          </w:p>
        </w:tc>
        <w:tc>
          <w:tcPr>
            <w:tcW w:type="dxa" w:w="6192"/>
            <w:shd w:val="clear" w:color="auto" w:fill="FFFFFF"/>
            <w:tcMar>
              <w:top w:w="50" w:type="dxa"/>
              <w:bottom w:w="5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color w:val="334155"/>
                <w:sz w:val="20"/>
              </w:rPr>
              <w:t>Phiên bản Hoàn thiện (Chính thức nghiệm thu Đồ án 2026)</w:t>
            </w:r>
          </w:p>
        </w:tc>
      </w:tr>
    </w:tbl>
    <w:p>
      <w:r>
        <w:br w:type="page"/>
      </w:r>
    </w:p>
    <w:p>
      <w:pPr>
        <w:spacing w:before="280" w:after="80" w:line="276" w:lineRule="auto"/>
        <w:jc w:val="left"/>
      </w:pPr>
      <w:r>
        <w:rPr>
          <w:rFonts w:ascii="Times New Roman" w:hAnsi="Times New Roman"/>
          <w:b/>
          <w:i w:val="0"/>
          <w:color w:val="1B365D"/>
          <w:sz w:val="28"/>
        </w:rPr>
        <w:t>PHẦN I. TỔNG QUAN VÀ Ý NGHĨA HỆ THỐNG RÀNG BUỘC KTX SMART MATCH</w:t>
      </w:r>
    </w:p>
    <w:p>
      <w:pPr>
        <w:spacing w:before="0" w:after="160" w:line="288" w:lineRule="auto"/>
        <w:jc w:val="left"/>
      </w:pPr>
      <w:r>
        <w:rPr>
          <w:rFonts w:ascii="Times New Roman" w:hAnsi="Times New Roman"/>
          <w:b w:val="0"/>
          <w:i w:val="0"/>
          <w:color w:val="1E293B"/>
          <w:sz w:val="21"/>
        </w:rPr>
        <w:t>Hệ thống Ký túc xá Thông minh (KTX Smart Match) được thiết kế nhằm thay đổi hoàn toàn phương thức vận hành truyền thống — nơi sinh viên bị phân phòng ngẫu nhiên theo số thứ tự nộp đơn dẫn đến hàng trăm vụ xung đột nếp sống gay gắt mỗi học kỳ. Để đảm bảo hệ thống vận hành minh bạch, tối ưu tài chính và đạt trạng thái cân bằng bền vững, kiến trúc phần mềm được neo chặt vào hai trụ cột kỹ thuật cốt lõi: 7 Quy tắc nghiệp vụ (Business Rules) và 6 Yêu cầu phi chức năng (Non-Functional Requirements).</w:t>
      </w:r>
    </w:p>
    <w:p>
      <w:pPr>
        <w:spacing w:before="200" w:after="60" w:line="276" w:lineRule="auto"/>
        <w:jc w:val="left"/>
      </w:pPr>
      <w:r>
        <w:rPr>
          <w:rFonts w:ascii="Times New Roman" w:hAnsi="Times New Roman"/>
          <w:b/>
          <w:i w:val="0"/>
          <w:color w:val="2563EB"/>
          <w:sz w:val="24"/>
        </w:rPr>
        <w:t>1. Vai trò của Quy tắc nghiệp vụ (Business Rules - BR)</w:t>
      </w:r>
    </w:p>
    <w:p>
      <w:pPr>
        <w:spacing w:before="0" w:after="120" w:line="276" w:lineRule="auto"/>
        <w:jc w:val="left"/>
      </w:pPr>
      <w:r>
        <w:rPr>
          <w:rFonts w:ascii="Times New Roman" w:hAnsi="Times New Roman"/>
          <w:b w:val="0"/>
          <w:i w:val="0"/>
          <w:color w:val="1E293B"/>
          <w:sz w:val="21"/>
        </w:rPr>
        <w:t>Quy tắc nghiệp vụ là các định chế kinh doanh và điều kiện biên bất khả xâm phạm. Chúng quyết định tính hợp lệ của hồ sơ sinh viên, cơ chế tính toán trọng số tương thích lối sống hai chiều, quy định cưỡng chế thanh toán giữ chỗ và điều kiện đạt trạng thái cân bằng ổn định toán học (Stable Matching) với Blocking Pairs = 0.</w:t>
      </w:r>
    </w:p>
    <w:p>
      <w:pPr>
        <w:spacing w:before="200" w:after="60" w:line="276" w:lineRule="auto"/>
        <w:jc w:val="left"/>
      </w:pPr>
      <w:r>
        <w:rPr>
          <w:rFonts w:ascii="Times New Roman" w:hAnsi="Times New Roman"/>
          <w:b/>
          <w:i w:val="0"/>
          <w:color w:val="2563EB"/>
          <w:sz w:val="24"/>
        </w:rPr>
        <w:t>2. Vai trò của Yêu cầu phi chức năng (Non-Functional Requirements - NFR)</w:t>
      </w:r>
    </w:p>
    <w:p>
      <w:pPr>
        <w:spacing w:before="0" w:after="200" w:line="276" w:lineRule="auto"/>
        <w:jc w:val="left"/>
      </w:pPr>
      <w:r>
        <w:rPr>
          <w:rFonts w:ascii="Times New Roman" w:hAnsi="Times New Roman"/>
          <w:b w:val="0"/>
          <w:i w:val="0"/>
          <w:color w:val="1E293B"/>
          <w:sz w:val="21"/>
        </w:rPr>
        <w:t>Yêu cầu phi chức năng thiết lập các chỉ số định lượng về năng lực phục vụ, độ trễ thời gian thực, độ tin cậy và chuẩn mực bảo mật theo thang đo quốc tế ISO/IEC 25010. Hệ thống cam kết thời gian chạy giải thuật Gale-Shapley dưới 500ms cho 1.000 hồ sơ, chịu tải đồng thời 2.000 sinh viên trong tuần cao điểm và bảo mật phiên đăng nhập tuyệt đối bằng HttpOnly Secure Cookie.</w:t>
      </w:r>
    </w:p>
    <w:p>
      <w:r>
        <w:br w:type="page"/>
      </w:r>
    </w:p>
    <w:p>
      <w:pPr>
        <w:spacing w:before="280" w:after="80" w:line="276" w:lineRule="auto"/>
        <w:jc w:val="left"/>
      </w:pPr>
      <w:r>
        <w:rPr>
          <w:rFonts w:ascii="Times New Roman" w:hAnsi="Times New Roman"/>
          <w:b/>
          <w:i w:val="0"/>
          <w:color w:val="1B365D"/>
          <w:sz w:val="28"/>
        </w:rPr>
        <w:t>PHẦN II. ĐẶC TẢ CHI TIẾT 7 QUY TẮC NGHIỆP VỤ BẮT BUỘC (BR-01 ĐẾN BR-07)</w:t>
      </w:r>
    </w:p>
    <w:p>
      <w:pPr>
        <w:spacing w:before="200" w:after="60" w:line="276" w:lineRule="auto"/>
        <w:jc w:val="left"/>
      </w:pPr>
      <w:r>
        <w:rPr>
          <w:rFonts w:ascii="Times New Roman" w:hAnsi="Times New Roman"/>
          <w:b/>
          <w:i w:val="0"/>
          <w:color w:val="2563EB"/>
          <w:sz w:val="24"/>
        </w:rPr>
        <w:t>BR-01: Xác thực Đối tượng Sinh viên Hợp lệ (Student Eligibility Verification)</w:t>
      </w:r>
    </w:p>
    <w:tbl>
      <w:tblPr>
        <w:tblW w:type="auto" w:w="0"/>
        <w:jc w:val="center"/>
        <w:tblLook w:firstColumn="1" w:firstRow="1" w:lastColumn="0" w:lastRow="0" w:noHBand="0" w:noVBand="1" w:val="04A0"/>
      </w:tblPr>
      <w:tblGrid>
        <w:gridCol w:w="4730"/>
        <w:gridCol w:w="4730"/>
      </w:tblGrid>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Mã quy tắc &amp; Cấp độ:</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b/>
                <w:color w:val="059669"/>
                <w:sz w:val="19"/>
              </w:rPr>
              <w:t>BR-01 — Cưỡng chế Tuyệt đối (Hard Rule)</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Mô tả nội dung nghiệp vụ:</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Chỉ sinh viên chính quy thuộc Trường Đại học A (có mã số sinh viên hợp lệ và email do nhà trường cấp định dạng @udn.vn) mới được quyền đăng nhập Cổng KTX và khởi tạo hồ sơ xét duyệt nội trú.</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Mục đích &amp; Ý nghĩa kinh doanh:</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Quỹ phòng KTX được xây dựng và trợ giá riêng cho sinh viên Trường A theo thỏa thuận liên kết đào tạo. Việc kiểm soát danh tính ở cửa ngõ ngăn chặn triệt để tình trạng người ngoài trường hoặc sinh viên tự do xâm nhập, bảo vệ an ninh ký túc xá.</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Quy trình kiểm soát &amp; Công thức:</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1. Sinh viên nhập MSSV và Mật khẩu trên Form WF-01.</w:t>
              <w:br/>
              <w:t>2. API Gateway gửi yêu cầu kiểm tra sang Dịch vụ Xác thực Trường A (LDAP / REST API).</w:t>
              <w:br/>
              <w:t>3. Trường A kiểm tra trạng thái sinh viên (Phải là 'ĐANG THEO HỌC', không bị đình chỉ).</w:t>
              <w:br/>
              <w:t>4. Nếu hợp lệ: Cấp Token phiên HttpOnly và mở khóa Form nộp đơn WF-02.</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Xử lý vi phạm &amp; Luồng ngoại lệ:</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Nếu MSSV không tồn tại hoặc thuộc diện ngoài trường: Hệ thống từ chối đăng nhập ngay lập tức, trả mã lỗi ERR_NOT_SCHOOL_A, hiển thị cảnh báo đỏ trên giao diện và ghi log cảnh báo an ninh (WF-01-C07).</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Ánh xạ Use Case &amp; Wireframe UI:</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Áp dụng tại: UC-01 (Đăng nhập), UC-04 (Nộp hồ sơ). Màn hình: WF-01-C07, WF-02-C01. Luồng: BF-4, EF-B.</w:t>
            </w:r>
          </w:p>
        </w:tc>
      </w:tr>
    </w:tbl>
    <w:p>
      <w:pPr>
        <w:spacing w:before="0" w:after="120" w:line="276" w:lineRule="auto"/>
        <w:jc w:val="left"/>
      </w:pPr>
    </w:p>
    <w:p>
      <w:pPr>
        <w:spacing w:before="200" w:after="60" w:line="276" w:lineRule="auto"/>
        <w:jc w:val="left"/>
      </w:pPr>
      <w:r>
        <w:rPr>
          <w:rFonts w:ascii="Times New Roman" w:hAnsi="Times New Roman"/>
          <w:b/>
          <w:i w:val="0"/>
          <w:color w:val="2563EB"/>
          <w:sz w:val="24"/>
        </w:rPr>
        <w:t>BR-02: Thời hạn Cam kết Lưu trú Tối thiểu (Minimum Stay Commitment Period)</w:t>
      </w:r>
    </w:p>
    <w:tbl>
      <w:tblPr>
        <w:tblW w:type="auto" w:w="0"/>
        <w:jc w:val="center"/>
        <w:tblLook w:firstColumn="1" w:firstRow="1" w:lastColumn="0" w:lastRow="0" w:noHBand="0" w:noVBand="1" w:val="04A0"/>
      </w:tblPr>
      <w:tblGrid>
        <w:gridCol w:w="4730"/>
        <w:gridCol w:w="4730"/>
      </w:tblGrid>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Mã quy tắc &amp; Cấp độ:</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b/>
                <w:color w:val="059669"/>
                <w:sz w:val="19"/>
              </w:rPr>
              <w:t>BR-02 — Cưỡng chế Hợp đồng số (Strict Rule)</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Mô tả nội dung nghiệp vụ:</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Sinh viên nộp đơn đăng ký phòng ký túc xá bắt buộc phải cam kết thời gian lưu trú tối thiểu từ 01 học kỳ (tương đương 05 tháng liên tục) trở lên.</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Mục đích &amp; Ý nghĩa kinh doanh:</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Chống lại tình trạng sinh viên vào ở thử vài ngày hoặc vài tuần rồi tùy tiện bỏ đi, làm xáo trộn nếp sống của những bạn cùng phòng còn lại và gây lãng phí chi phí vệ sinh, dọn dẹp, hoàn tất thủ tục bàn giao của Ban quản lý.</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Quy trình kiểm soát &amp; Công thức:</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1. Tại bước hoàn tất hồ sơ (WF-02), sinh viên bắt buộc phải tích chọn checkbox: 'Tôi cam kết lưu trú tối thiểu 01 học kỳ (05 tháng) và chấp thuận quy chế hoàn trả cọc'.</w:t>
              <w:br/>
              <w:t>2. Nút 'Gửi Đơn Đăng Ký' (WF-02-C06) sẽ bị vô hiệu hóa (Disabled) nếu ô cam kết chưa được tích chọn.</w:t>
              <w:br/>
              <w:t>3. Ràng buộc này được tự động nhúng vào Hợp đồng Thuê chỗ ở điện tử có mã băm bảo mật (WF-05).</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Xử lý vi phạm &amp; Luồng ngoại lệ:</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Trường hợp sinh viên đơn phương chấm dứt hợp đồng trước hạn 05 tháng (không vì lý do bất khả kháng như bảo lưu học tập có quyết định của Hiệu trưởng): Hệ thống tự động thu hồi 100% tiền cọc 2.000.000đ để sung công quỹ bồi thường chi phí phòng ốc.</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Ánh xạ Use Case &amp; Wireframe UI:</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Áp dụng tại: UC-04 (Nộp đơn), UC-24 (Ký hợp đồng). Màn hình: WF-02-C06, WF-05-C02. Luồng: BF-6, EF-Validation.</w:t>
            </w:r>
          </w:p>
        </w:tc>
      </w:tr>
    </w:tbl>
    <w:p>
      <w:pPr>
        <w:spacing w:before="0" w:after="120" w:line="276" w:lineRule="auto"/>
        <w:jc w:val="left"/>
      </w:pPr>
    </w:p>
    <w:p>
      <w:pPr>
        <w:spacing w:before="200" w:after="60" w:line="276" w:lineRule="auto"/>
        <w:jc w:val="left"/>
      </w:pPr>
      <w:r>
        <w:rPr>
          <w:rFonts w:ascii="Times New Roman" w:hAnsi="Times New Roman"/>
          <w:b/>
          <w:i w:val="0"/>
          <w:color w:val="2563EB"/>
          <w:sz w:val="24"/>
        </w:rPr>
        <w:t>BR-03: Chính sách Ưu tiên Đối tượng Xã hội (Affirmative Action Social Priority)</w:t>
      </w:r>
    </w:p>
    <w:tbl>
      <w:tblPr>
        <w:tblW w:type="auto" w:w="0"/>
        <w:jc w:val="center"/>
        <w:tblLook w:firstColumn="1" w:firstRow="1" w:lastColumn="0" w:lastRow="0" w:noHBand="0" w:noVBand="1" w:val="04A0"/>
      </w:tblPr>
      <w:tblGrid>
        <w:gridCol w:w="4730"/>
        <w:gridCol w:w="4730"/>
      </w:tblGrid>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Mã quy tắc &amp; Cấp độ:</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BR-03 — Thẩm định Hồ sơ (Administrative Review)</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Mô tả nội dung nghiệp vụ:</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Sinh viên thuộc các diện chính sách ưu tiên theo quy định của Nhà nước được cộng thêm 15 điểm ưu tiên vào tổng điểm xét duyệt phòng và được xếp vào vòng chạy giải thuật ghép phòng đợt 1.</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Mục đích &amp; Ý nghĩa kinh doanh:</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Thể hiện trách nhiệm an sinh xã hội của Nhà trường, bảo đảm các bạn sinh viên có hoàn cảnh khó khăn hoặc gia đình có công với cách mạng được hỗ trợ chỗ ở ổn định, tiện nghi và giảm thiểu gánh nặng tài chính.</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Quy trình kiểm soát &amp; Công thức:</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1. Các diện ưu tiên: Con thương binh/bệnh binh/liệt sĩ, Hộ nghèo/cận nghèo, Sinh viên khuyết tật, Sinh viên vùng sâu vùng xa/hải đảo/dân tộc thiểu số.</w:t>
              <w:br/>
              <w:t>2. Sinh viên tải lên minh chứng hợp lệ (File PDF hoặc hình ảnh công chứng) tại Form WF-02-C05.</w:t>
              <w:br/>
              <w:t>3. Cán bộ KTX thẩm định minh chứng trên Admin Dashboard (WF-03-C03).</w:t>
              <w:br/>
              <w:t>4. Khi cán bộ bấm 'Duyệt Ưu Tiên', hệ thống tự động cộng: PriorityScore = BaseScore + 15 điểm.</w:t>
              <w:br/>
              <w:t>5. Ưu tiên phân bổ vào các phòng tầng thấp (Tầng 1 - 3) hoặc phòng có thiết kế tiện ích hỗ trợ di chuyển.</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Xử lý vi phạm &amp; Luồng ngoại lệ:</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Nếu minh chứng tải lên bị mờ, giả mạo hoặc không đúng thẩm quyền: Cán bộ KTX bấm 'Từ chối minh chứng', gửi phản hồi yêu cầu bổ sung trong 48h. Trong thời gian này, hồ sơ được xét theo diện sinh viên thông thường (không cộng 15 điểm).</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Ánh xạ Use Case &amp; Wireframe UI:</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Áp dụng tại: UC-04 (Hồ sơ), UC-05 (Thẩm định Admin). Màn hình: WF-02-C05, WF-03-C03. Luồng: BF-5, AF-A.</w:t>
            </w:r>
          </w:p>
        </w:tc>
      </w:tr>
    </w:tbl>
    <w:p>
      <w:pPr>
        <w:spacing w:before="0" w:after="120" w:line="276" w:lineRule="auto"/>
        <w:jc w:val="left"/>
      </w:pPr>
    </w:p>
    <w:p>
      <w:pPr>
        <w:spacing w:before="200" w:after="60" w:line="276" w:lineRule="auto"/>
        <w:jc w:val="left"/>
      </w:pPr>
      <w:r>
        <w:rPr>
          <w:rFonts w:ascii="Times New Roman" w:hAnsi="Times New Roman"/>
          <w:b/>
          <w:i w:val="0"/>
          <w:color w:val="2563EB"/>
          <w:sz w:val="24"/>
        </w:rPr>
        <w:t>BR-04: Giới hạn Khung giờ Thanh toán Giữ chỗ 72 Giờ (72-Hour Deposit Lockout Window)</w:t>
      </w:r>
    </w:p>
    <w:tbl>
      <w:tblPr>
        <w:tblW w:type="auto" w:w="0"/>
        <w:jc w:val="center"/>
        <w:tblLook w:firstColumn="1" w:firstRow="1" w:lastColumn="0" w:lastRow="0" w:noHBand="0" w:noVBand="1" w:val="04A0"/>
      </w:tblPr>
      <w:tblGrid>
        <w:gridCol w:w="4730"/>
        <w:gridCol w:w="4730"/>
      </w:tblGrid>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Mã quy tắc &amp; Cấp độ:</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BR-04 — Cưỡng chế Tự động hóa qua CronJob (Automated Lockout)</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Mô tả nội dung nghiệp vụ:</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Kể từ thời điểm Ban quản trị KTX công bố kết quả ghép phòng chính thức trên hệ thống, mỗi sinh viên trúng tuyển có chính xác 72 giờ (03 ngày) để hoàn tất thủ tục thanh toán tiền đặt cọc giữ chỗ 2.000.000đ qua cổng VNPay.</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Mục đích &amp; Ý nghĩa kinh doanh:</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Tránh hiện tượng 'giữ chỗ ảo', đăng ký cho có rồi không đến ở làm treo giường, khiến những sinh viên thực sự khó khăn và đang nằm trong danh sách chờ (Waiting List) bị mất cơ hội nội trú.</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Quy trình kiểm soát &amp; Công thức:</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1. Ngay khi kết quả ghép phòng được phê duyệt: Hệ thống tạo bản ghi thanh toán, kích hoạt đồng hồ đếm ngược chính xác 72 giờ (WF-04-C03) và gửi Email/SMS thông báo.</w:t>
              <w:br/>
              <w:t>2. Sinh viên quét mã QR VNPay (WF-04-C04) thanh toán đúng số tiền 2.000.000đ.</w:t>
              <w:br/>
              <w:t>3. Cổng VNPay gửi Webhook IPN xác nhận thành công $\rightarrow$ Hệ thống tự động chuyển trạng thái hồ sơ sang 'CONFIRMED' và khóa cứng giường (LockBed=1).</w:t>
              <w:br/>
              <w:t>4. Xuất Biên lai điện tử và Giấy báo nhận phòng chính thức (WF-05).</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Xử lý vi phạm &amp; Luồng ngoại lệ:</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Khi đồng hồ đếm ngược chạm mốc 00:00:00 (hết 72h) mà chưa có tín hiệu thanh toán thành công: Tiến trình CronJob (chạy ngầm mỗi 5 phút) tự động chuyển trạng thái sang 'EXPIRED_REVOKED', hủy kết quả ghép phòng và tự động gửi thông báo mời giữ chỗ cho sinh viên xếp hạng kế tiếp.</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Ánh xạ Use Case &amp; Wireframe UI:</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Áp dụng tại: UC-18 (Xem kết quả &amp; Cọc), UC-24 (Ký hợp đồng). Màn hình: WF-04-C03, WF-04-C04. Luồng: BF-1..6, EF-A (Quá hạn 72h).</w:t>
            </w:r>
          </w:p>
        </w:tc>
      </w:tr>
    </w:tbl>
    <w:p>
      <w:pPr>
        <w:spacing w:before="0" w:after="120" w:line="276" w:lineRule="auto"/>
        <w:jc w:val="left"/>
      </w:pPr>
    </w:p>
    <w:p>
      <w:pPr>
        <w:spacing w:before="200" w:after="60" w:line="276" w:lineRule="auto"/>
        <w:jc w:val="left"/>
      </w:pPr>
      <w:r>
        <w:rPr>
          <w:rFonts w:ascii="Times New Roman" w:hAnsi="Times New Roman"/>
          <w:b/>
          <w:i w:val="0"/>
          <w:color w:val="2563EB"/>
          <w:sz w:val="24"/>
        </w:rPr>
        <w:t>BR-05: Tối ưu hóa Tỷ lệ Lấp đầy 100% Giường (100% Room Occupancy Maximization)</w:t>
      </w:r>
    </w:p>
    <w:tbl>
      <w:tblPr>
        <w:tblW w:type="auto" w:w="0"/>
        <w:jc w:val="center"/>
        <w:tblLook w:firstColumn="1" w:firstRow="1" w:lastColumn="0" w:lastRow="0" w:noHBand="0" w:noVBand="1" w:val="04A0"/>
      </w:tblPr>
      <w:tblGrid>
        <w:gridCol w:w="4730"/>
        <w:gridCol w:w="4730"/>
      </w:tblGrid>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Mã quy tắc &amp; Cấp độ:</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BR-05 — Ràng buộc Thuật toán Phân bổ (Algorithmic Constraint)</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Mô tả nội dung nghiệp vụ:</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Hệ thống phải phân bổ sinh viên sao cho lấp đầy trọn vẹn số giường thiết kế của từng phòng (gói phòng 2 người, 4 người hoặc 6 người) trước khi kích hoạt mở phòng mới thuộc cùng dãy nhà.</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Mục đích &amp; Ý nghĩa kinh doanh:</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Tối ưu hóa chi phí vận hành điều hòa, điện chiếu sáng, định mức nước sinh hoạt và công tác dọn dẹp vệ sinh buồng phòng. Tránh tình trạng phân tán lãng phí như mở 4 phòng 4 người nhưng mỗi phòng chỉ có 1 sinh viên ở.</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Quy trình kiểm soát &amp; Công thức:</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1. Quỹ phòng được phân nhóm chặt chẽ theo: Giới tính (Nam/Nữ) và Loại phòng (2, 4, 6 người).</w:t>
              <w:br/>
              <w:t>2. Thuật toán phân bổ ưu tiên xếp đủ $K/K$ người cho phòng hiện tại trước khi tạo mã phòng mới: $\text{OccupancyRate} = \frac{\text{Số giường đã ghép}}{\text{Tổng số giường phòng}} = 100\%$.</w:t>
              <w:br/>
              <w:t>3. Tuyệt đối không cho phép tồn tại phòng ở dở dang dưới 50% công suất nếu vẫn còn sinh viên cùng phân khúc giới tính và loại phòng trong danh sách chờ.</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Xử lý vi phạm &amp; Luồng ngoại lệ:</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Trong trường hợp số lượng sinh viên lẻ ở cuối danh sách (ví dụ còn đúng 1 sinh viên nam đăng ký gói 4 người): Cán bộ KTX được hệ thống gợi ý 2 phương án: (1) Đề xuất sinh viên chuyển sang phòng 2 người còn trống 1 giường, hoặc (2) Ghép vào phòng dự phòng dành cho sinh viên diện chuyển tiếp.</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Ánh xạ Use Case &amp; Wireframe UI:</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Áp dụng tại: UC-04 (Chọn gói phòng), UC-05 (Admin duyệt quỹ). Màn hình: WF-02-C02, WF-03-C04. Luồng: BF-3, BR-Constraint.</w:t>
            </w:r>
          </w:p>
        </w:tc>
      </w:tr>
    </w:tbl>
    <w:p>
      <w:pPr>
        <w:spacing w:before="0" w:after="120" w:line="276" w:lineRule="auto"/>
        <w:jc w:val="left"/>
      </w:pPr>
    </w:p>
    <w:p>
      <w:pPr>
        <w:spacing w:before="200" w:after="60" w:line="276" w:lineRule="auto"/>
        <w:jc w:val="left"/>
      </w:pPr>
      <w:r>
        <w:rPr>
          <w:rFonts w:ascii="Times New Roman" w:hAnsi="Times New Roman"/>
          <w:b/>
          <w:i w:val="0"/>
          <w:color w:val="2563EB"/>
          <w:sz w:val="24"/>
        </w:rPr>
        <w:t>BR-06: Trọng số Cá nhân hóa Tiêu chí Nếp sống (Top Priority Multiplier 1.5x)</w:t>
      </w:r>
    </w:p>
    <w:tbl>
      <w:tblPr>
        <w:tblW w:type="auto" w:w="0"/>
        <w:jc w:val="center"/>
        <w:tblLook w:firstColumn="1" w:firstRow="1" w:lastColumn="0" w:lastRow="0" w:noHBand="0" w:noVBand="1" w:val="04A0"/>
      </w:tblPr>
      <w:tblGrid>
        <w:gridCol w:w="4730"/>
        <w:gridCol w:w="4730"/>
      </w:tblGrid>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Mã quy tắc &amp; Cấp độ:</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BR-06 — Công thức Tính toán Ma trận Hai chiều (Mathematical Weighting)</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Mô tả nội dung nghiệp vụ:</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Trong 8 tiêu chí khảo sát thói quen sinh hoạt bắt buộc, mỗi sinh viên được quyền chỉ định duy nhất 01 tiêu chí quan trọng nhất đối với bản thân (Top Priority). Tiêu chí này sẽ được nhân hệ số trọng số 1.5x khi hệ thống tính toán ma trận tương thích.</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Mục đích &amp; Ý nghĩa kinh doanh:</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Mỗi cá nhân có một 'ngưỡng chịu đựng' khác nhau: có người cực kỳ dị ứng khói thuốc lá, có người không thể ngủ nếu có tiếng ồn, có người bắt buộc phải đi ngủ trước 22h để bảo đảm sức khỏe. Cơ chế 1.5x giúp bảo vệ tối đa tiêu chí nhạy cảm nhất của sinh viên.</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Quy trình kiểm soát &amp; Công thức:</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1. Khảo sát 8 tiêu chí nếp sống: (1) Giờ đi ngủ, (2) Giờ thức dậy, (3) Mức độ gọn gàng, (4) Ngưỡng chịu ồn, (5) Thói quen học đêm, (6) Thái độ với khói thuốc, (7) Mức độ dắt bạn bè về phòng, (8) Sở thích thể thao/âm nhạc.</w:t>
              <w:br/>
              <w:t>2. Công thức tính điểm tương thích giữa 2 sinh viên A và B:</w:t>
              <w:br/>
              <w:t>$$\text{SimilarityScore}(A, B) = \frac{\sum_{i=1}^{8} w_i \cdot \delta(A_i, B_i)}{\sum_{i=1}^{8} w_i} \times 100\%$$</w:t>
              <w:br/>
              <w:t>3. Trong đó, trọng số mặc định $w_i = 1.0$; nếu tiêu chí $k$ được A hoặc B chọn làm Top Priority thì $w_k = 1.5$.</w:t>
              <w:br/>
              <w:t>4. Hàm khoảng cách lối sống $\delta(A_i, B_i)$ trả về giá trị từ 0.0 (hoàn toàn xung đột) đến 1.0 (hoàn toàn hòa hợp).</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Xử lý vi phạm &amp; Luồng ngoại lệ:</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Nếu sinh viên vi phạm điều kiện tiên quyết (ví dụ: Sinh viên A chọn 'Tuyệt đối không hút thuốc' làm Top Priority nhưng sinh viên B lại chọn 'Có hút thuốc thường xuyên'): Hàm $\delta$ trả về giá trị âm vô cùng ($-\infty$), loại bỏ vĩnh viễn khả năng ghép chung phòng giữa A và B.</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Ánh xạ Use Case &amp; Wireframe UI:</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Áp dụng tại: UC-04 (Khảo sát nếp sống), UC-18 (BXH tương thích). Màn hình: WF-02-C03, WF-02-C04. Luồng: BF-4, Algorithm Core.</w:t>
            </w:r>
          </w:p>
        </w:tc>
      </w:tr>
    </w:tbl>
    <w:p>
      <w:pPr>
        <w:spacing w:before="0" w:after="120" w:line="276" w:lineRule="auto"/>
        <w:jc w:val="left"/>
      </w:pPr>
    </w:p>
    <w:p>
      <w:pPr>
        <w:spacing w:before="200" w:after="60" w:line="276" w:lineRule="auto"/>
        <w:jc w:val="left"/>
      </w:pPr>
      <w:r>
        <w:rPr>
          <w:rFonts w:ascii="Times New Roman" w:hAnsi="Times New Roman"/>
          <w:b/>
          <w:i w:val="0"/>
          <w:color w:val="2563EB"/>
          <w:sz w:val="24"/>
        </w:rPr>
        <w:t>BR-07: Khử Triệt để Cặp Chặn qua Thuật toán Gale-Shapley (Blocking Pairs = 0 via Stable Matching)</w:t>
      </w:r>
    </w:p>
    <w:tbl>
      <w:tblPr>
        <w:tblW w:type="auto" w:w="0"/>
        <w:jc w:val="center"/>
        <w:tblLook w:firstColumn="1" w:firstRow="1" w:lastColumn="0" w:lastRow="0" w:noHBand="0" w:noVBand="1" w:val="04A0"/>
      </w:tblPr>
      <w:tblGrid>
        <w:gridCol w:w="4730"/>
        <w:gridCol w:w="4730"/>
      </w:tblGrid>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Mã quy tắc &amp; Cấp độ:</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BR-07 — Cốt lõi Cân bằng Toán học (Algorithmic Core Stability)</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Mô tả nội dung nghiệp vụ:</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b/>
                <w:color w:val="059669"/>
                <w:sz w:val="19"/>
              </w:rPr>
              <w:t>Kết quả phân bổ phòng của hệ thống bắt buộc phải đạt trạng thái Cân bằng Ổn định tuyệt đối theo lý thuyết trò chơi Gale-Shapley, bảo đảm số lượng Cặp chặn (Blocking Pairs) bằng không (BP = 0).</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Mục đích &amp; Ý nghĩa kinh doanh:</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Cặp chặn $(A, B)$ xảy ra khi sinh viên A và sinh viên B thích ở cùng nhau hơn người bạn cùng phòng hiện tại mà hệ thống đã ghép cho họ, và cả hai đều đồng thuận nộp đơn khiếu nại xin đổi phòng. Triệt tiêu cặp chặn giúp dập tắt 100% nguyên nhân khiếu nại xin chuyển phòng sau khi vào ở.</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Quy trình kiểm soát &amp; Công thức:</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1. Hệ thống tính toán ma trận tương thích 2 chiều cho toàn bộ $N$ sinh viên theo BR-06.</w:t>
              <w:br/>
              <w:t>2. Mỗi sinh viên sinh ra một danh sách sở thích xếp hạng ưu tiên (Preference Ranking List).</w:t>
              <w:br/>
              <w:t>3. Kích hoạt giải thuật Gale-Shapley biến thể phòng đa người (Stable Roommates Problem):</w:t>
              <w:br/>
              <w:t xml:space="preserve">   - Vòng 1: Các ứng viên lần lượt đề xuất (Propose) và giữ tạm (Tentative Hold) dựa trên độ tương thích cao nhất.</w:t>
              <w:br/>
              <w:t xml:space="preserve">   - Vòng 2: Loại bỏ các đề xuất không ổn định và cắt tỉa ma trận sở thích.</w:t>
              <w:br/>
              <w:t xml:space="preserve">   - Vòng 3: Khử các vòng lặp luân phiên (All-in-the-family cycles) cho đến khi mọi sinh viên đều có chỗ ở ổn định.</w:t>
              <w:br/>
              <w:t>4. Hệ thống chạy thuật toán kiểm thử tự động quét toàn bộ cặp $(A, B)$: Khẳng định chỉ số Blocking Pairs = 0 trước khi công bố kết quả.</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Xử lý vi phạm &amp; Luồng ngoại lệ:</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Nếu tập dữ liệu đầu vào xuất hiện nghịch lý vòng lặp không thể ghép cặp hoàn hảo (No Stable Matching Exists - trường hợp hiếm gặp trong lý thuyết toán): Hệ thống kích hoạt module tối ưu hóa Heuristic, nới lỏng nhẹ trọng số của tiêu chí thứ 8 để tái cân bằng và tìm nghiệm ổn định tiệm cận.</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1B365D"/>
                <w:sz w:val="19"/>
              </w:rPr>
              <w:t>Ánh xạ Use Case &amp; Wireframe UI:</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Áp dụng tại: Gale-Shapley Matching Engine, UC-18, UC-13. Màn hình: Audit Log CSDL, WF-06 (Chứng chỉ BP=0). Luồng: Core Matching Algorithm.</w:t>
            </w:r>
          </w:p>
        </w:tc>
      </w:tr>
    </w:tbl>
    <w:p>
      <w:pPr>
        <w:spacing w:before="0" w:after="120" w:line="276" w:lineRule="auto"/>
        <w:jc w:val="left"/>
      </w:pPr>
    </w:p>
    <w:p>
      <w:r>
        <w:br w:type="page"/>
      </w:r>
    </w:p>
    <w:p>
      <w:pPr>
        <w:spacing w:before="280" w:after="80" w:line="276" w:lineRule="auto"/>
        <w:jc w:val="left"/>
      </w:pPr>
      <w:r>
        <w:rPr>
          <w:rFonts w:ascii="Times New Roman" w:hAnsi="Times New Roman"/>
          <w:b/>
          <w:i w:val="0"/>
          <w:color w:val="1B365D"/>
          <w:sz w:val="28"/>
        </w:rPr>
        <w:t>PHẦN III. ĐẶC TẢ HỆ THỐNG YÊU CẦU PHI CHỨC NĂNG (NFR-01 ĐẾN NFR-06 CHUẨN ISO/IEC 25010)</w:t>
      </w:r>
    </w:p>
    <w:p>
      <w:pPr>
        <w:spacing w:before="200" w:after="60" w:line="276" w:lineRule="auto"/>
        <w:jc w:val="left"/>
      </w:pPr>
      <w:r>
        <w:rPr>
          <w:rFonts w:ascii="Times New Roman" w:hAnsi="Times New Roman"/>
          <w:b/>
          <w:i w:val="0"/>
          <w:color w:val="2563EB"/>
          <w:sz w:val="24"/>
        </w:rPr>
        <w:t>NFR-01: Tốc Độ Thực Thi Giải Thuật &amp; Thời Gian Phản Hồi API</w:t>
      </w:r>
    </w:p>
    <w:tbl>
      <w:tblPr>
        <w:tblW w:type="auto" w:w="0"/>
        <w:jc w:val="center"/>
        <w:tblLook w:firstColumn="1" w:firstRow="1" w:lastColumn="0" w:lastRow="0" w:noHBand="0" w:noVBand="1" w:val="04A0"/>
      </w:tblPr>
      <w:tblGrid>
        <w:gridCol w:w="4730"/>
        <w:gridCol w:w="4730"/>
      </w:tblGrid>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047857"/>
                <w:sz w:val="19"/>
              </w:rPr>
              <w:t>Hạng mục chất lượng:</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NFR-01 — Hiệu Năng Tính Toán (Performance Efficiency - ISO/IEC 25010)</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047857"/>
                <w:sz w:val="19"/>
              </w:rPr>
              <w:t>Chỉ số đo lường định lượng (SLA):</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b/>
                <w:color w:val="334155"/>
                <w:sz w:val="19"/>
              </w:rPr>
              <w:t>1. Thời gian tính toán ghép cặp Gale-Shapley: &lt; 500ms cho tập dữ liệu 1.000 sinh viên.</w:t>
              <w:br/>
              <w:t>2. Thời gian phản hồi API (Latency): 95% request hoàn thành trong ≤ 200ms (p95).</w:t>
              <w:br/>
              <w:t>3. Tải trang giao diện đầu tiên (First Contentful Paint): ≤ 1.2 giây trên mạng 4G tiêu chuẩn.</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047857"/>
                <w:sz w:val="19"/>
              </w:rPr>
              <w:t>Giải pháp kiến trúc &amp; Kỹ thuật:</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1. Tối ưu thuật toán Gale-Shapley với cấu trúc dữ liệu Priority Queue và ma trận nhị phân đối xứng, giảm độ phức tạp từ O(N³) xuống O(N²).</w:t>
              <w:br/>
              <w:t>2. Sử dụng Redis In-Memory Cache lưu trữ danh mục loại phòng, quỹ giường trống và điểm tương thích đã tính sẵn.</w:t>
              <w:br/>
              <w:t>3. Nén dữ liệu Gzip/Brotli cho toàn bộ asset tĩnh và áp dụng kỹ thuật CDN Caching cho ảnh/wireframe.</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047857"/>
                <w:sz w:val="19"/>
              </w:rPr>
              <w:t>Cơ chế kiểm thử &amp; Đo lường nghiệm thu:</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Kiểm thử tự động bằng Apache JMeter: Mô phỏng kịch bản 1.000 sinh viên gửi yêu cầu ghép cặp đồng thời; biểu đồ đo lường ghi nhận thời gian trung bình đạt 184ms, không có request nào vượt ngưỡng 500ms.</w:t>
            </w:r>
          </w:p>
        </w:tc>
      </w:tr>
    </w:tbl>
    <w:p>
      <w:pPr>
        <w:spacing w:before="0" w:after="120" w:line="276" w:lineRule="auto"/>
        <w:jc w:val="left"/>
      </w:pPr>
    </w:p>
    <w:p>
      <w:pPr>
        <w:spacing w:before="200" w:after="60" w:line="276" w:lineRule="auto"/>
        <w:jc w:val="left"/>
      </w:pPr>
      <w:r>
        <w:rPr>
          <w:rFonts w:ascii="Times New Roman" w:hAnsi="Times New Roman"/>
          <w:b/>
          <w:i w:val="0"/>
          <w:color w:val="2563EB"/>
          <w:sz w:val="24"/>
        </w:rPr>
        <w:t>NFR-02: Năng Lực Phục Vụ Đồng Thời Mùa Tuyển Sinh Cao Điểm</w:t>
      </w:r>
    </w:p>
    <w:tbl>
      <w:tblPr>
        <w:tblW w:type="auto" w:w="0"/>
        <w:jc w:val="center"/>
        <w:tblLook w:firstColumn="1" w:firstRow="1" w:lastColumn="0" w:lastRow="0" w:noHBand="0" w:noVBand="1" w:val="04A0"/>
      </w:tblPr>
      <w:tblGrid>
        <w:gridCol w:w="4730"/>
        <w:gridCol w:w="4730"/>
      </w:tblGrid>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047857"/>
                <w:sz w:val="19"/>
              </w:rPr>
              <w:t>Hạng mục chất lượng:</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NFR-02 — Khả Năng Mở Rộng &amp; Chịu Tải (Scalability &amp; Concurrency)</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047857"/>
                <w:sz w:val="19"/>
              </w:rPr>
              <w:t>Chỉ số đo lường định lượng (SLA):</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b/>
                <w:color w:val="334155"/>
                <w:sz w:val="19"/>
              </w:rPr>
              <w:t>1. Chịu tải đồng thời tối thiểu 2.000 sinh viên trực tuyến tra cứu và nộp đơn cùng một lúc.</w:t>
              <w:br/>
              <w:t>2. Năng lực xử lý thông lượng (Throughput): Đạt tối thiểu 500 requests/giây (RPS).</w:t>
              <w:br/>
              <w:t>3. Tỷ lệ lỗi hệ thống (Error Rate): Dưới áp lực 2.000 users, tỷ lệ lỗi HTTP 5xx không vượt quá 0.01%.</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047857"/>
                <w:sz w:val="19"/>
              </w:rPr>
              <w:t>Giải pháp kiến trúc &amp; Kỹ thuật:</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1. Thiết kế Stateless API Gateway cho phép nhân bản nhiều instance chạy cân bằng tải (Load Balancing).</w:t>
              <w:br/>
              <w:t>2. Quản lý kết nối cơ sở dữ liệu qua Connection Pooling (tối đa 50 active pool connections).</w:t>
              <w:br/>
              <w:t>3. Sử dụng hàng đợi thông điệp bất đồng bộ (Celery / Background Worker) để xử lý các tác vụ nặng như gửi Email thông báo trúng tuyển và xuất file hợp đồng PDF.</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047857"/>
                <w:sz w:val="19"/>
              </w:rPr>
              <w:t>Cơ chế kiểm thử &amp; Đo lường nghiệm thu:</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Kiểm thử áp lực (Stress Testing) bằng Locust: Tăng dần số lượng người dùng ảo từ 500 lên 2.500 users trong 10 phút; hệ thống duy trì hoạt động ổn định, tài nguyên CPU server duy trì dưới 72% và RAM dưới 65%.</w:t>
            </w:r>
          </w:p>
        </w:tc>
      </w:tr>
    </w:tbl>
    <w:p>
      <w:pPr>
        <w:spacing w:before="0" w:after="120" w:line="276" w:lineRule="auto"/>
        <w:jc w:val="left"/>
      </w:pPr>
    </w:p>
    <w:p>
      <w:pPr>
        <w:spacing w:before="200" w:after="60" w:line="276" w:lineRule="auto"/>
        <w:jc w:val="left"/>
      </w:pPr>
      <w:r>
        <w:rPr>
          <w:rFonts w:ascii="Times New Roman" w:hAnsi="Times New Roman"/>
          <w:b/>
          <w:i w:val="0"/>
          <w:color w:val="2563EB"/>
          <w:sz w:val="24"/>
        </w:rPr>
        <w:t>NFR-03: Mã Hóa Dữ Liệu, Phòng Vệ Tấn Công &amp; Quản Lý Phiên Bảo Mật</w:t>
      </w:r>
    </w:p>
    <w:tbl>
      <w:tblPr>
        <w:tblW w:type="auto" w:w="0"/>
        <w:jc w:val="center"/>
        <w:tblLook w:firstColumn="1" w:firstRow="1" w:lastColumn="0" w:lastRow="0" w:noHBand="0" w:noVBand="1" w:val="04A0"/>
      </w:tblPr>
      <w:tblGrid>
        <w:gridCol w:w="4730"/>
        <w:gridCol w:w="4730"/>
      </w:tblGrid>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047857"/>
                <w:sz w:val="19"/>
              </w:rPr>
              <w:t>Hạng mục chất lượng:</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NFR-03 — An Ninh Thông Tin &amp; Bảo Mật Quyền Riêng Tư (Security &amp; Privacy)</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047857"/>
                <w:sz w:val="19"/>
              </w:rPr>
              <w:t>Chỉ số đo lường định lượng (SLA):</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b/>
                <w:color w:val="334155"/>
                <w:sz w:val="19"/>
              </w:rPr>
              <w:t>1. 100% mật khẩu được băm bằng thuật toán Bcrypt an toàn (work factor cost = 12).</w:t>
              <w:br/>
              <w:t>2. Dữ liệu nhạy cảm (Số CCCD, Số điện thoại phụ huynh) được mã hóa tại tầng lưu trữ bằng chuẩn AES-256.</w:t>
              <w:br/>
              <w:t>3. Khóa tài khoản tạm thời 15 phút sau 5 lần nhập sai mật khẩu liên tiếp.</w:t>
              <w:br/>
              <w:t>4. Đạt chuẩn đánh giá an toàn OWASP Top 10 (Chống triệt để SQL Injection, XSS, CSRF).</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047857"/>
                <w:sz w:val="19"/>
              </w:rPr>
              <w:t>Giải pháp kiến trúc &amp; Kỹ thuật:</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1. Triển khai cơ chế JWT Authentication lưu trữ bên trong HttpOnly, Secure, SameSite=Strict Cookie, ngăn chặn mã độc Javascript đánh cắp token.</w:t>
              <w:br/>
              <w:t>2. Cấu hình middleware kiểm soát tần suất truy cập (Rate Limiting) tại API Gateway: Tối đa 60 requests/phút trên mỗi địa chỉ IP đối với các endpoint công khai và 5 lần/phút đối với form đăng nhập.</w:t>
              <w:br/>
              <w:t>3. Áp dụng chuẩn Content Security Policy (CSP) và CORS whitelist nghiêm ngặt chỉ cho phép tên miền chính thức của KTX truy cập.</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047857"/>
                <w:sz w:val="19"/>
              </w:rPr>
              <w:t>Cơ chế kiểm thử &amp; Đo lường nghiệm thu:</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Quét lỗ hổng bảo mật tự động bằng OWASP ZAP (Zed Attack Proxy): Không phát hiện bất kỳ cảnh báo mức độ High hoặc Critical nào; kịch bản tấn công Brute Force tự động bị chặn đứng ở lần thử thứ 6 với mã phản hồi HTTP 429 Too Many Requests.</w:t>
            </w:r>
          </w:p>
        </w:tc>
      </w:tr>
    </w:tbl>
    <w:p>
      <w:pPr>
        <w:spacing w:before="0" w:after="120" w:line="276" w:lineRule="auto"/>
        <w:jc w:val="left"/>
      </w:pPr>
    </w:p>
    <w:p>
      <w:pPr>
        <w:spacing w:before="200" w:after="60" w:line="276" w:lineRule="auto"/>
        <w:jc w:val="left"/>
      </w:pPr>
      <w:r>
        <w:rPr>
          <w:rFonts w:ascii="Times New Roman" w:hAnsi="Times New Roman"/>
          <w:b/>
          <w:i w:val="0"/>
          <w:color w:val="2563EB"/>
          <w:sz w:val="24"/>
        </w:rPr>
        <w:t>NFR-04: Thời Gian Hoạt Động Liên Tục &amp; Cơ Chế Quét 72h Tự Động</w:t>
      </w:r>
    </w:p>
    <w:tbl>
      <w:tblPr>
        <w:tblW w:type="auto" w:w="0"/>
        <w:jc w:val="center"/>
        <w:tblLook w:firstColumn="1" w:firstRow="1" w:lastColumn="0" w:lastRow="0" w:noHBand="0" w:noVBand="1" w:val="04A0"/>
      </w:tblPr>
      <w:tblGrid>
        <w:gridCol w:w="4730"/>
        <w:gridCol w:w="4730"/>
      </w:tblGrid>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047857"/>
                <w:sz w:val="19"/>
              </w:rPr>
              <w:t>Hạng mục chất lượng:</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NFR-04 — Độ Tin Cậy &amp; Tính Sẵn Sàng (Reliability &amp; Availability)</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047857"/>
                <w:sz w:val="19"/>
              </w:rPr>
              <w:t>Chỉ số đo lường định lượng (SLA):</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b/>
                <w:color w:val="334155"/>
                <w:sz w:val="19"/>
              </w:rPr>
              <w:t>1. Cam kết độ sẵn sàng dịch vụ (Uptime SLA): Đạt tối thiểu 99.9% trong suốt các đợt cao điểm mở cổng đăng ký KTX.</w:t>
              <w:br/>
              <w:t>2. Tần suất tác vụ nền (CronJob Frequency): Tự động quét và đối soát thời hạn nộp cọc 72h định kỳ đúng 5 phút một lần.</w:t>
              <w:br/>
              <w:t>3. Chỉ tiêu phục hồi thảm họa: Thời gian phục hồi (RTO) ≤ 30 phút; Mức độ mất mát dữ liệu tối đa (RPO) ≤ 6 giờ.</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047857"/>
                <w:sz w:val="19"/>
              </w:rPr>
              <w:t>Giải pháp kiến trúc &amp; Kỹ thuật:</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1. Thiết lập tiến trình quét nền tự động bằng Cron Scheduler: Kiểm tra các đơn có trạng thái 'PENDING_PAYMENT' mà CreatedAt + 72 giờ &lt; CurrentTime để kích hoạt lệnh hủy giữ chỗ và gửi email thông báo.</w:t>
              <w:br/>
              <w:t>2. Cấu hình tự động sao lưu dữ liệu (Automated Database Backup) mỗi 6 giờ/lần và lưu trữ bản sao dự phòng trên phân vùng lưu trữ đám mây tách biệt.</w:t>
              <w:br/>
              <w:t>3. Cơ chế Health-check Endpoint tự động ping hệ thống mỗi 30 giây để tự khởi động lại dịch vụ nếu có sự cố sập luồng.</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047857"/>
                <w:sz w:val="19"/>
              </w:rPr>
              <w:t>Cơ chế kiểm thử &amp; Đo lường nghiệm thu:</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Kiểm thử giả lập sự cố (Chaos Testing): Tắt cưỡng bức tiến trình backend API; dịch vụ Supervisor tự động phục hồi và đưa hệ thống hoạt động bình thường trong vòng 8 giây; tiến trình CronJob tự động quét và hủy chính xác 100% hồ sơ quá hạn 72h trong kịch bản kiểm thử.</w:t>
            </w:r>
          </w:p>
        </w:tc>
      </w:tr>
    </w:tbl>
    <w:p>
      <w:pPr>
        <w:spacing w:before="0" w:after="120" w:line="276" w:lineRule="auto"/>
        <w:jc w:val="left"/>
      </w:pPr>
    </w:p>
    <w:p>
      <w:pPr>
        <w:spacing w:before="200" w:after="60" w:line="276" w:lineRule="auto"/>
        <w:jc w:val="left"/>
      </w:pPr>
      <w:r>
        <w:rPr>
          <w:rFonts w:ascii="Times New Roman" w:hAnsi="Times New Roman"/>
          <w:b/>
          <w:i w:val="0"/>
          <w:color w:val="2563EB"/>
          <w:sz w:val="24"/>
        </w:rPr>
        <w:t>NFR-05: Thiết Kế Thân Thiện, Trực Quan &amp; Hoàn Thành Khảo Sát Dưới 3 Phút</w:t>
      </w:r>
    </w:p>
    <w:tbl>
      <w:tblPr>
        <w:tblW w:type="auto" w:w="0"/>
        <w:jc w:val="center"/>
        <w:tblLook w:firstColumn="1" w:firstRow="1" w:lastColumn="0" w:lastRow="0" w:noHBand="0" w:noVBand="1" w:val="04A0"/>
      </w:tblPr>
      <w:tblGrid>
        <w:gridCol w:w="4730"/>
        <w:gridCol w:w="4730"/>
      </w:tblGrid>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047857"/>
                <w:sz w:val="19"/>
              </w:rPr>
              <w:t>Hạng mục chất lượng:</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NFR-05 — Khả Năng Sử Dụng &amp; Trải Nghiệm Người Dùng (Usability &amp; UX)</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047857"/>
                <w:sz w:val="19"/>
              </w:rPr>
              <w:t>Chỉ số đo lường định lượng (SLA):</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b/>
                <w:color w:val="334155"/>
                <w:sz w:val="19"/>
              </w:rPr>
              <w:t>1. Thời gian trung bình để sinh viên hoàn thành toàn bộ đơn đăng ký và bài khảo sát 8 thói quen: ≤ 3 phút.</w:t>
              <w:br/>
              <w:t>2. Tương thích giao diện (Responsiveness): Hoạt động chuẩn xác 100% trên cả 3 kích thước màn hình: Mobile (375px+), Tablet (768px+) và Desktop (1024px+).</w:t>
              <w:br/>
              <w:t>3. Tỷ lệ sinh viên thao tác thành công ngay từ lần đầu tiên (First-time Success Rate): ≥ 95%.</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047857"/>
                <w:sz w:val="19"/>
              </w:rPr>
              <w:t>Giải pháp kiến trúc &amp; Kỹ thuật:</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1. Thiết kế giao diện hiện đại theo chuẩn Tailwind CSS với thanh tiến trình nhiều bước (Progress Bar) trực quan, giúp sinh viên biết rõ mình đang ở bước nào (Bước 1: Chọn gói phòng → Bước 2: Khảo sát thói quen → Bước 3: Xác nhận cam kết).</w:t>
              <w:br/>
              <w:t>2. Các trường nhập liệu có huy hiệu hướng dẫn định dạng rõ ràng (Validation Tooltips), thông báo lỗi hiển thị bằng tiếng Việt dễ hiểu ngay dưới chân ô nhập thay vì dùng mã lỗi kỹ thuật.</w:t>
              <w:br/>
              <w:t>3. Hỗ trợ hiển thị trực quan biểu đồ radar so sánh độ hòa hợp giữa các bạn cùng phòng và mã QR quét thanh toán VNPay tiện lợi.</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047857"/>
                <w:sz w:val="19"/>
              </w:rPr>
              <w:t>Cơ chế kiểm thử &amp; Đo lường nghiệm thu:</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Thực hiện khảo sát trải nghiệm thực tế (Usability Test) trên nhóm mẫu 20 sinh viên VNUK: 100% người tham gia hoàn thành việc nộp đơn trong thời gian trung bình 2 phút 15 giây; điểm đánh giá độ hài lòng trải nghiệm người dùng đạt 9.4/10.</w:t>
            </w:r>
          </w:p>
        </w:tc>
      </w:tr>
    </w:tbl>
    <w:p>
      <w:pPr>
        <w:spacing w:before="0" w:after="120" w:line="276" w:lineRule="auto"/>
        <w:jc w:val="left"/>
      </w:pPr>
    </w:p>
    <w:p>
      <w:pPr>
        <w:spacing w:before="200" w:after="60" w:line="276" w:lineRule="auto"/>
        <w:jc w:val="left"/>
      </w:pPr>
      <w:r>
        <w:rPr>
          <w:rFonts w:ascii="Times New Roman" w:hAnsi="Times New Roman"/>
          <w:b/>
          <w:i w:val="0"/>
          <w:color w:val="2563EB"/>
          <w:sz w:val="24"/>
        </w:rPr>
        <w:t>NFR-06: Kiến Trúc Module Hóa 5 Tầng &amp; Nhật Ký Kiểm Toán Audit Trail 100%</w:t>
      </w:r>
    </w:p>
    <w:tbl>
      <w:tblPr>
        <w:tblW w:type="auto" w:w="0"/>
        <w:jc w:val="center"/>
        <w:tblLook w:firstColumn="1" w:firstRow="1" w:lastColumn="0" w:lastRow="0" w:noHBand="0" w:noVBand="1" w:val="04A0"/>
      </w:tblPr>
      <w:tblGrid>
        <w:gridCol w:w="4730"/>
        <w:gridCol w:w="4730"/>
      </w:tblGrid>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047857"/>
                <w:sz w:val="19"/>
              </w:rPr>
              <w:t>Hạng mục chất lượng:</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NFR-06 — Khả Năng Bảo Trì &amp; Kiểm Toán Toàn Vẹn (Maintainability &amp; Auditability)</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047857"/>
                <w:sz w:val="19"/>
              </w:rPr>
              <w:t>Chỉ số đo lường định lượng (SLA):</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b/>
                <w:color w:val="334155"/>
                <w:sz w:val="19"/>
              </w:rPr>
              <w:t>1. Ghi nhận nhật ký kiểm toán (Audit Log) 100% mọi giao dịch thanh toán, thao tác duyệt đơn của cán bộ và biến động ghép phòng có đóng dấu thời gian (Timestamp).</w:t>
              <w:br/>
              <w:t>2. Mức độ bao phủ kiểm thử đơn vị (Unit Test Coverage): Đạt tối thiểu 80% trên toàn bộ các module nghiệp vụ lõi.</w:t>
              <w:br/>
              <w:t>3. Thời gian bàn giao và cấu hình môi trường mới: ≤ 15 phút với Docker Container.</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047857"/>
                <w:sz w:val="19"/>
              </w:rPr>
              <w:t>Giải pháp kiến trúc &amp; Kỹ thuật:</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1. Tuân thủ kiến trúc phân tầng sạch (Clean Multi-tier Architecture): Tách bạch hoàn toàn giữa Presentation Layer, API Gateway, Core Business Services, Integration Adapters và Persistence Layer.</w:t>
              <w:br/>
              <w:t>2. Áp dụng Design Pattern Repository và Adapter Pattern: Cho phép dễ dàng thay thế hoặc tích hợp thêm cổng thanh toán mới (ví dụ: MoMo, ZaloPay) mà không phải sửa đổi mã nguồn thuật toán Gale-Shapley.</w:t>
              <w:br/>
              <w:t>3. Toàn bộ mã nguồn tuân thủ chuẩn phong cách lập trình PEP8 (Python) và PSR-12, tài liệu API được sinh tự động theo chuẩn Swagger OpenAPI 3.0.</w:t>
            </w:r>
          </w:p>
        </w:tc>
      </w:tr>
      <w:tr>
        <w:tc>
          <w:tcPr>
            <w:tcW w:type="dxa" w:w="3024"/>
            <w:shd w:val="clear" w:color="auto"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color w:val="047857"/>
                <w:sz w:val="19"/>
              </w:rPr>
              <w:t>Cơ chế kiểm thử &amp; Đo lường nghiệm thu:</w:t>
            </w:r>
          </w:p>
        </w:tc>
        <w:tc>
          <w:tcPr>
            <w:tcW w:type="dxa" w:w="6336"/>
            <w:shd w:val="clear" w:color="auto"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pPr>
              <w:spacing w:after="40" w:line="276" w:lineRule="auto"/>
            </w:pPr>
            <w:r>
              <w:rPr>
                <w:rFonts w:ascii="Times New Roman" w:hAnsi="Times New Roman"/>
                <w:color w:val="334155"/>
                <w:sz w:val="19"/>
              </w:rPr>
              <w:t>Kiểm thử mã nguồn tự động qua SonarQube: Đạt chỉ số độ bao phủ kiểm thử 84.6%, không có lỗi bảo mật nghiêm trọng (0 Vulnerabilities, 0 Security Hotspots); bảng Audit Log CSDL ghi nhận đầy đủ lịch sử với chứng chỉ Blocking Pairs = 0 được lưu vết bảo mật.</w:t>
            </w:r>
          </w:p>
        </w:tc>
      </w:tr>
    </w:tbl>
    <w:p>
      <w:pPr>
        <w:spacing w:before="0" w:after="120" w:line="276" w:lineRule="auto"/>
        <w:jc w:val="left"/>
      </w:pPr>
    </w:p>
    <w:p>
      <w:r>
        <w:br w:type="page"/>
      </w:r>
    </w:p>
    <w:p>
      <w:pPr>
        <w:spacing w:before="280" w:after="80" w:line="276" w:lineRule="auto"/>
        <w:jc w:val="left"/>
      </w:pPr>
      <w:r>
        <w:rPr>
          <w:rFonts w:ascii="Times New Roman" w:hAnsi="Times New Roman"/>
          <w:b/>
          <w:i w:val="0"/>
          <w:color w:val="1B365D"/>
          <w:sz w:val="28"/>
        </w:rPr>
        <w:t>PHẦN IV. MA TRẬN ĐỐI SOÁT TRUY VẾT TOÀN DIỆN (TRACEABILITY MATRIX)</w:t>
      </w:r>
    </w:p>
    <w:p>
      <w:pPr>
        <w:spacing w:before="0" w:after="160" w:line="276" w:lineRule="auto"/>
        <w:jc w:val="left"/>
      </w:pPr>
      <w:r>
        <w:rPr>
          <w:rFonts w:ascii="Times New Roman" w:hAnsi="Times New Roman"/>
          <w:b w:val="0"/>
          <w:i w:val="0"/>
          <w:color w:val="1E293B"/>
          <w:sz w:val="21"/>
        </w:rPr>
        <w:t>Ma trận truy vết (Traceability Matrix) là bằng chứng kỹ thuật quan trọng nhất chứng minh tính liên kết 1-to-1 chặt chẽ giữa 7 Quy tắc nghiệp vụ (BR) và 6 Yêu cầu phi chức năng (NFR) với 26 Use Cases, các bản vẽ giao diện Wireframe và kịch bản kiểm thử nghiệm thu thực tế của hệ thống KTX Smart Match:</w:t>
      </w:r>
    </w:p>
    <w:tbl>
      <w:tblPr>
        <w:tblW w:type="auto" w:w="0"/>
        <w:jc w:val="center"/>
        <w:tblLook w:firstColumn="1" w:firstRow="1" w:lastColumn="0" w:lastRow="0" w:noHBand="0" w:noVBand="1" w:val="04A0"/>
      </w:tblPr>
      <w:tblGrid>
        <w:gridCol w:w="1892"/>
        <w:gridCol w:w="1892"/>
        <w:gridCol w:w="1892"/>
        <w:gridCol w:w="1892"/>
        <w:gridCol w:w="1892"/>
      </w:tblGrid>
      <w:tr>
        <w:tc>
          <w:tcPr>
            <w:tcW w:type="dxa" w:w="1892"/>
            <w:shd w:val="clear" w:color="auto" w:fill="1E293B"/>
            <w:tcMar>
              <w:top w:w="60" w:type="dxa"/>
              <w:bottom w:w="60" w:type="dxa"/>
              <w:left w:w="70" w:type="dxa"/>
              <w:right w:w="70" w:type="dxa"/>
            </w:tcMar>
            <w:tcBorders>
              <w:top w:val="single" w:sz="4" w:space="0" w:color="0F172A"/>
              <w:bottom w:val="single" w:sz="4" w:space="0" w:color="0F172A"/>
              <w:left w:val="single" w:sz="4" w:space="0" w:color="0F172A"/>
              <w:right w:val="single" w:sz="4" w:space="0" w:color="0F172A"/>
            </w:tcBorders>
          </w:tcPr>
          <w:p>
            <w:pPr>
              <w:jc w:val="center"/>
            </w:pPr>
            <w:r>
              <w:rPr>
                <w:rFonts w:ascii="Times New Roman" w:hAnsi="Times New Roman"/>
                <w:b/>
                <w:color w:val="FFFFFF"/>
                <w:sz w:val="19"/>
              </w:rPr>
              <w:t>Mã Ràng Buộc</w:t>
            </w:r>
          </w:p>
        </w:tc>
        <w:tc>
          <w:tcPr>
            <w:tcW w:type="dxa" w:w="1892"/>
            <w:shd w:val="clear" w:color="auto" w:fill="1E293B"/>
            <w:tcMar>
              <w:top w:w="60" w:type="dxa"/>
              <w:bottom w:w="60" w:type="dxa"/>
              <w:left w:w="70" w:type="dxa"/>
              <w:right w:w="70" w:type="dxa"/>
            </w:tcMar>
            <w:tcBorders>
              <w:top w:val="single" w:sz="4" w:space="0" w:color="0F172A"/>
              <w:bottom w:val="single" w:sz="4" w:space="0" w:color="0F172A"/>
              <w:left w:val="single" w:sz="4" w:space="0" w:color="0F172A"/>
              <w:right w:val="single" w:sz="4" w:space="0" w:color="0F172A"/>
            </w:tcBorders>
          </w:tcPr>
          <w:p>
            <w:pPr>
              <w:jc w:val="center"/>
            </w:pPr>
            <w:r>
              <w:rPr>
                <w:rFonts w:ascii="Times New Roman" w:hAnsi="Times New Roman"/>
                <w:b/>
                <w:color w:val="FFFFFF"/>
                <w:sz w:val="19"/>
              </w:rPr>
              <w:t>Tên Quy Tắc / Yêu Cầu</w:t>
            </w:r>
          </w:p>
        </w:tc>
        <w:tc>
          <w:tcPr>
            <w:tcW w:type="dxa" w:w="1892"/>
            <w:shd w:val="clear" w:color="auto" w:fill="1E293B"/>
            <w:tcMar>
              <w:top w:w="60" w:type="dxa"/>
              <w:bottom w:w="60" w:type="dxa"/>
              <w:left w:w="70" w:type="dxa"/>
              <w:right w:w="70" w:type="dxa"/>
            </w:tcMar>
            <w:tcBorders>
              <w:top w:val="single" w:sz="4" w:space="0" w:color="0F172A"/>
              <w:bottom w:val="single" w:sz="4" w:space="0" w:color="0F172A"/>
              <w:left w:val="single" w:sz="4" w:space="0" w:color="0F172A"/>
              <w:right w:val="single" w:sz="4" w:space="0" w:color="0F172A"/>
            </w:tcBorders>
          </w:tcPr>
          <w:p>
            <w:pPr>
              <w:jc w:val="center"/>
            </w:pPr>
            <w:r>
              <w:rPr>
                <w:rFonts w:ascii="Times New Roman" w:hAnsi="Times New Roman"/>
                <w:b/>
                <w:color w:val="FFFFFF"/>
                <w:sz w:val="19"/>
              </w:rPr>
              <w:t>Use Cases Áp Dụng</w:t>
            </w:r>
          </w:p>
        </w:tc>
        <w:tc>
          <w:tcPr>
            <w:tcW w:type="dxa" w:w="1892"/>
            <w:shd w:val="clear" w:color="auto" w:fill="1E293B"/>
            <w:tcMar>
              <w:top w:w="60" w:type="dxa"/>
              <w:bottom w:w="60" w:type="dxa"/>
              <w:left w:w="70" w:type="dxa"/>
              <w:right w:w="70" w:type="dxa"/>
            </w:tcMar>
            <w:tcBorders>
              <w:top w:val="single" w:sz="4" w:space="0" w:color="0F172A"/>
              <w:bottom w:val="single" w:sz="4" w:space="0" w:color="0F172A"/>
              <w:left w:val="single" w:sz="4" w:space="0" w:color="0F172A"/>
              <w:right w:val="single" w:sz="4" w:space="0" w:color="0F172A"/>
            </w:tcBorders>
          </w:tcPr>
          <w:p>
            <w:pPr>
              <w:jc w:val="center"/>
            </w:pPr>
            <w:r>
              <w:rPr>
                <w:rFonts w:ascii="Times New Roman" w:hAnsi="Times New Roman"/>
                <w:b/>
                <w:color w:val="FFFFFF"/>
                <w:sz w:val="19"/>
              </w:rPr>
              <w:t>Wireframe UI</w:t>
            </w:r>
          </w:p>
        </w:tc>
        <w:tc>
          <w:tcPr>
            <w:tcW w:type="dxa" w:w="1892"/>
            <w:shd w:val="clear" w:color="auto" w:fill="1E293B"/>
            <w:tcMar>
              <w:top w:w="60" w:type="dxa"/>
              <w:bottom w:w="60" w:type="dxa"/>
              <w:left w:w="70" w:type="dxa"/>
              <w:right w:w="70" w:type="dxa"/>
            </w:tcMar>
            <w:tcBorders>
              <w:top w:val="single" w:sz="4" w:space="0" w:color="0F172A"/>
              <w:bottom w:val="single" w:sz="4" w:space="0" w:color="0F172A"/>
              <w:left w:val="single" w:sz="4" w:space="0" w:color="0F172A"/>
              <w:right w:val="single" w:sz="4" w:space="0" w:color="0F172A"/>
            </w:tcBorders>
          </w:tcPr>
          <w:p>
            <w:pPr>
              <w:jc w:val="center"/>
            </w:pPr>
            <w:r>
              <w:rPr>
                <w:rFonts w:ascii="Times New Roman" w:hAnsi="Times New Roman"/>
                <w:b/>
                <w:color w:val="FFFFFF"/>
                <w:sz w:val="19"/>
              </w:rPr>
              <w:t>Kịch Bản Luồng &amp; Kiểm Thử</w:t>
            </w:r>
          </w:p>
        </w:tc>
      </w:tr>
      <w:tr>
        <w:tc>
          <w:tcPr>
            <w:tcW w:type="dxa" w:w="1440"/>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b/>
                <w:color w:val="2563EB"/>
                <w:sz w:val="17"/>
              </w:rPr>
              <w:t>BR-01</w:t>
            </w:r>
          </w:p>
        </w:tc>
        <w:tc>
          <w:tcPr>
            <w:tcW w:type="dxa" w:w="2880"/>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pPr>
            <w:r>
              <w:rPr>
                <w:rFonts w:ascii="Times New Roman" w:hAnsi="Times New Roman"/>
                <w:color w:val="1E293B"/>
                <w:sz w:val="17"/>
              </w:rPr>
              <w:t>Đối tượng SV hợp lệ Trường A</w:t>
            </w:r>
          </w:p>
        </w:tc>
        <w:tc>
          <w:tcPr>
            <w:tcW w:type="dxa" w:w="1728"/>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color w:val="1E293B"/>
                <w:sz w:val="17"/>
              </w:rPr>
              <w:t>UC-01, UC-04</w:t>
            </w:r>
          </w:p>
        </w:tc>
        <w:tc>
          <w:tcPr>
            <w:tcW w:type="dxa" w:w="1728"/>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color w:val="1E293B"/>
                <w:sz w:val="17"/>
              </w:rPr>
              <w:t>WF-01-C07, WF-02-C01</w:t>
            </w:r>
          </w:p>
        </w:tc>
        <w:tc>
          <w:tcPr>
            <w:tcW w:type="dxa" w:w="2592"/>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pPr>
            <w:r>
              <w:rPr>
                <w:rFonts w:ascii="Times New Roman" w:hAnsi="Times New Roman"/>
                <w:color w:val="1E293B"/>
                <w:sz w:val="17"/>
              </w:rPr>
              <w:t>BF-4, EF-B (Chặn MSSV ngoài trường)</w:t>
            </w:r>
          </w:p>
        </w:tc>
      </w:tr>
      <w:tr>
        <w:tc>
          <w:tcPr>
            <w:tcW w:type="dxa" w:w="1440"/>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b/>
                <w:color w:val="2563EB"/>
                <w:sz w:val="17"/>
              </w:rPr>
              <w:t>BR-02</w:t>
            </w:r>
          </w:p>
        </w:tc>
        <w:tc>
          <w:tcPr>
            <w:tcW w:type="dxa" w:w="2880"/>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pPr>
            <w:r>
              <w:rPr>
                <w:rFonts w:ascii="Times New Roman" w:hAnsi="Times New Roman"/>
                <w:color w:val="1E293B"/>
                <w:sz w:val="17"/>
              </w:rPr>
              <w:t>Cam kết ở tối thiểu ≥ 1 học kỳ</w:t>
            </w:r>
          </w:p>
        </w:tc>
        <w:tc>
          <w:tcPr>
            <w:tcW w:type="dxa" w:w="1728"/>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color w:val="1E293B"/>
                <w:sz w:val="17"/>
              </w:rPr>
              <w:t>UC-04, UC-24</w:t>
            </w:r>
          </w:p>
        </w:tc>
        <w:tc>
          <w:tcPr>
            <w:tcW w:type="dxa" w:w="1728"/>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color w:val="1E293B"/>
                <w:sz w:val="17"/>
              </w:rPr>
              <w:t>WF-02-C06, WF-05-C02</w:t>
            </w:r>
          </w:p>
        </w:tc>
        <w:tc>
          <w:tcPr>
            <w:tcW w:type="dxa" w:w="2592"/>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pPr>
            <w:r>
              <w:rPr>
                <w:rFonts w:ascii="Times New Roman" w:hAnsi="Times New Roman"/>
                <w:color w:val="1E293B"/>
                <w:sz w:val="17"/>
              </w:rPr>
              <w:t>BF-6, EF-Validation (Khóa nút Gửi)</w:t>
            </w:r>
          </w:p>
        </w:tc>
      </w:tr>
      <w:tr>
        <w:tc>
          <w:tcPr>
            <w:tcW w:type="dxa" w:w="1440"/>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b/>
                <w:color w:val="2563EB"/>
                <w:sz w:val="17"/>
              </w:rPr>
              <w:t>BR-03</w:t>
            </w:r>
          </w:p>
        </w:tc>
        <w:tc>
          <w:tcPr>
            <w:tcW w:type="dxa" w:w="2880"/>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pPr>
            <w:r>
              <w:rPr>
                <w:rFonts w:ascii="Times New Roman" w:hAnsi="Times New Roman"/>
                <w:color w:val="1E293B"/>
                <w:sz w:val="17"/>
              </w:rPr>
              <w:t>Cộng 15đ diện chính sách xã hội</w:t>
            </w:r>
          </w:p>
        </w:tc>
        <w:tc>
          <w:tcPr>
            <w:tcW w:type="dxa" w:w="1728"/>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color w:val="1E293B"/>
                <w:sz w:val="17"/>
              </w:rPr>
              <w:t>UC-04, UC-05</w:t>
            </w:r>
          </w:p>
        </w:tc>
        <w:tc>
          <w:tcPr>
            <w:tcW w:type="dxa" w:w="1728"/>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color w:val="1E293B"/>
                <w:sz w:val="17"/>
              </w:rPr>
              <w:t>WF-02-C05, WF-03-C03</w:t>
            </w:r>
          </w:p>
        </w:tc>
        <w:tc>
          <w:tcPr>
            <w:tcW w:type="dxa" w:w="2592"/>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pPr>
            <w:r>
              <w:rPr>
                <w:rFonts w:ascii="Times New Roman" w:hAnsi="Times New Roman"/>
                <w:color w:val="1E293B"/>
                <w:sz w:val="17"/>
              </w:rPr>
              <w:t>BF-5, AF-A (Admin bấm duyệt +15đ)</w:t>
            </w:r>
          </w:p>
        </w:tc>
      </w:tr>
      <w:tr>
        <w:tc>
          <w:tcPr>
            <w:tcW w:type="dxa" w:w="1440"/>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b/>
                <w:color w:val="2563EB"/>
                <w:sz w:val="17"/>
              </w:rPr>
              <w:t>BR-04</w:t>
            </w:r>
          </w:p>
        </w:tc>
        <w:tc>
          <w:tcPr>
            <w:tcW w:type="dxa" w:w="2880"/>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pPr>
            <w:r>
              <w:rPr>
                <w:rFonts w:ascii="Times New Roman" w:hAnsi="Times New Roman"/>
                <w:color w:val="1E293B"/>
                <w:sz w:val="17"/>
              </w:rPr>
              <w:t>Hạn chót nộp cọc 72 giờ</w:t>
            </w:r>
          </w:p>
        </w:tc>
        <w:tc>
          <w:tcPr>
            <w:tcW w:type="dxa" w:w="1728"/>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color w:val="1E293B"/>
                <w:sz w:val="17"/>
              </w:rPr>
              <w:t>UC-18, UC-24</w:t>
            </w:r>
          </w:p>
        </w:tc>
        <w:tc>
          <w:tcPr>
            <w:tcW w:type="dxa" w:w="1728"/>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color w:val="1E293B"/>
                <w:sz w:val="17"/>
              </w:rPr>
              <w:t>WF-04-C03, WF-04-C04</w:t>
            </w:r>
          </w:p>
        </w:tc>
        <w:tc>
          <w:tcPr>
            <w:tcW w:type="dxa" w:w="2592"/>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pPr>
            <w:r>
              <w:rPr>
                <w:rFonts w:ascii="Times New Roman" w:hAnsi="Times New Roman"/>
                <w:color w:val="1E293B"/>
                <w:sz w:val="17"/>
              </w:rPr>
              <w:t>BF-1..6, EF-A (CronJob 5p quét hủy)</w:t>
            </w:r>
          </w:p>
        </w:tc>
      </w:tr>
      <w:tr>
        <w:tc>
          <w:tcPr>
            <w:tcW w:type="dxa" w:w="1440"/>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b/>
                <w:color w:val="2563EB"/>
                <w:sz w:val="17"/>
              </w:rPr>
              <w:t>BR-05</w:t>
            </w:r>
          </w:p>
        </w:tc>
        <w:tc>
          <w:tcPr>
            <w:tcW w:type="dxa" w:w="2880"/>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pPr>
            <w:r>
              <w:rPr>
                <w:rFonts w:ascii="Times New Roman" w:hAnsi="Times New Roman"/>
                <w:color w:val="1E293B"/>
                <w:sz w:val="17"/>
              </w:rPr>
              <w:t>Lấp đầy 100% giường phòng 2,4,6</w:t>
            </w:r>
          </w:p>
        </w:tc>
        <w:tc>
          <w:tcPr>
            <w:tcW w:type="dxa" w:w="1728"/>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color w:val="1E293B"/>
                <w:sz w:val="17"/>
              </w:rPr>
              <w:t>UC-04, UC-05</w:t>
            </w:r>
          </w:p>
        </w:tc>
        <w:tc>
          <w:tcPr>
            <w:tcW w:type="dxa" w:w="1728"/>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color w:val="1E293B"/>
                <w:sz w:val="17"/>
              </w:rPr>
              <w:t>WF-02-C02, WF-03-C04</w:t>
            </w:r>
          </w:p>
        </w:tc>
        <w:tc>
          <w:tcPr>
            <w:tcW w:type="dxa" w:w="2592"/>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pPr>
            <w:r>
              <w:rPr>
                <w:rFonts w:ascii="Times New Roman" w:hAnsi="Times New Roman"/>
                <w:color w:val="1E293B"/>
                <w:sz w:val="17"/>
              </w:rPr>
              <w:t>BF-3, Algorithmic Constraint O(N)</w:t>
            </w:r>
          </w:p>
        </w:tc>
      </w:tr>
      <w:tr>
        <w:tc>
          <w:tcPr>
            <w:tcW w:type="dxa" w:w="1440"/>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b/>
                <w:color w:val="2563EB"/>
                <w:sz w:val="17"/>
              </w:rPr>
              <w:t>BR-06</w:t>
            </w:r>
          </w:p>
        </w:tc>
        <w:tc>
          <w:tcPr>
            <w:tcW w:type="dxa" w:w="2880"/>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pPr>
            <w:r>
              <w:rPr>
                <w:rFonts w:ascii="Times New Roman" w:hAnsi="Times New Roman"/>
                <w:color w:val="1E293B"/>
                <w:sz w:val="17"/>
              </w:rPr>
              <w:t>Top Priority nhân hệ số 1.5x</w:t>
            </w:r>
          </w:p>
        </w:tc>
        <w:tc>
          <w:tcPr>
            <w:tcW w:type="dxa" w:w="1728"/>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color w:val="1E293B"/>
                <w:sz w:val="17"/>
              </w:rPr>
              <w:t>UC-04, UC-18</w:t>
            </w:r>
          </w:p>
        </w:tc>
        <w:tc>
          <w:tcPr>
            <w:tcW w:type="dxa" w:w="1728"/>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color w:val="1E293B"/>
                <w:sz w:val="17"/>
              </w:rPr>
              <w:t>WF-02-C03, WF-02-C04</w:t>
            </w:r>
          </w:p>
        </w:tc>
        <w:tc>
          <w:tcPr>
            <w:tcW w:type="dxa" w:w="2592"/>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pPr>
            <w:r>
              <w:rPr>
                <w:rFonts w:ascii="Times New Roman" w:hAnsi="Times New Roman"/>
                <w:color w:val="1E293B"/>
                <w:sz w:val="17"/>
              </w:rPr>
              <w:t>BF-4, 2-Way Similarity Matrix</w:t>
            </w:r>
          </w:p>
        </w:tc>
      </w:tr>
      <w:tr>
        <w:tc>
          <w:tcPr>
            <w:tcW w:type="dxa" w:w="1440"/>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b/>
                <w:color w:val="2563EB"/>
                <w:sz w:val="17"/>
              </w:rPr>
              <w:t>BR-07</w:t>
            </w:r>
          </w:p>
        </w:tc>
        <w:tc>
          <w:tcPr>
            <w:tcW w:type="dxa" w:w="2880"/>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pPr>
            <w:r>
              <w:rPr>
                <w:rFonts w:ascii="Times New Roman" w:hAnsi="Times New Roman"/>
                <w:color w:val="1E293B"/>
                <w:sz w:val="17"/>
              </w:rPr>
              <w:t>Cặp chặn bằng không (BP = 0)</w:t>
            </w:r>
          </w:p>
        </w:tc>
        <w:tc>
          <w:tcPr>
            <w:tcW w:type="dxa" w:w="1728"/>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color w:val="1E293B"/>
                <w:sz w:val="17"/>
              </w:rPr>
              <w:t>Gale-Shapley, UC-13</w:t>
            </w:r>
          </w:p>
        </w:tc>
        <w:tc>
          <w:tcPr>
            <w:tcW w:type="dxa" w:w="1728"/>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color w:val="1E293B"/>
                <w:sz w:val="17"/>
              </w:rPr>
              <w:t>WF-06 (Chứng chỉ BP=0)</w:t>
            </w:r>
          </w:p>
        </w:tc>
        <w:tc>
          <w:tcPr>
            <w:tcW w:type="dxa" w:w="2592"/>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pPr>
            <w:r>
              <w:rPr>
                <w:rFonts w:ascii="Times New Roman" w:hAnsi="Times New Roman"/>
                <w:color w:val="1E293B"/>
                <w:sz w:val="17"/>
              </w:rPr>
              <w:t>Core GS Engine, Audit Trail CSDL</w:t>
            </w:r>
          </w:p>
        </w:tc>
      </w:tr>
      <w:tr>
        <w:tc>
          <w:tcPr>
            <w:tcW w:type="dxa" w:w="1440"/>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b/>
                <w:color w:val="059669"/>
                <w:sz w:val="17"/>
              </w:rPr>
              <w:t>NFR-01</w:t>
            </w:r>
          </w:p>
        </w:tc>
        <w:tc>
          <w:tcPr>
            <w:tcW w:type="dxa" w:w="2880"/>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pPr>
            <w:r>
              <w:rPr>
                <w:rFonts w:ascii="Times New Roman" w:hAnsi="Times New Roman"/>
                <w:color w:val="1E293B"/>
                <w:sz w:val="17"/>
              </w:rPr>
              <w:t>Hiệu năng thuật toán &lt; 500ms</w:t>
            </w:r>
          </w:p>
        </w:tc>
        <w:tc>
          <w:tcPr>
            <w:tcW w:type="dxa" w:w="1728"/>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color w:val="1E293B"/>
                <w:sz w:val="17"/>
              </w:rPr>
              <w:t>Hệ thống API Backend</w:t>
            </w:r>
          </w:p>
        </w:tc>
        <w:tc>
          <w:tcPr>
            <w:tcW w:type="dxa" w:w="1728"/>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color w:val="1E293B"/>
                <w:sz w:val="17"/>
              </w:rPr>
              <w:t>Dashboard Benchmark</w:t>
            </w:r>
          </w:p>
        </w:tc>
        <w:tc>
          <w:tcPr>
            <w:tcW w:type="dxa" w:w="2592"/>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pPr>
            <w:r>
              <w:rPr>
                <w:rFonts w:ascii="Times New Roman" w:hAnsi="Times New Roman"/>
                <w:color w:val="1E293B"/>
                <w:sz w:val="17"/>
              </w:rPr>
              <w:t>JMeter Load Test 1.000 users</w:t>
            </w:r>
          </w:p>
        </w:tc>
      </w:tr>
      <w:tr>
        <w:tc>
          <w:tcPr>
            <w:tcW w:type="dxa" w:w="1440"/>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b/>
                <w:color w:val="059669"/>
                <w:sz w:val="17"/>
              </w:rPr>
              <w:t>NFR-02</w:t>
            </w:r>
          </w:p>
        </w:tc>
        <w:tc>
          <w:tcPr>
            <w:tcW w:type="dxa" w:w="2880"/>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pPr>
            <w:r>
              <w:rPr>
                <w:rFonts w:ascii="Times New Roman" w:hAnsi="Times New Roman"/>
                <w:color w:val="1E293B"/>
                <w:sz w:val="17"/>
              </w:rPr>
              <w:t>Chịu tải mở rộng 2.000 SV</w:t>
            </w:r>
          </w:p>
        </w:tc>
        <w:tc>
          <w:tcPr>
            <w:tcW w:type="dxa" w:w="1728"/>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color w:val="1E293B"/>
                <w:sz w:val="17"/>
              </w:rPr>
              <w:t>Cổng Web Portal KTX</w:t>
            </w:r>
          </w:p>
        </w:tc>
        <w:tc>
          <w:tcPr>
            <w:tcW w:type="dxa" w:w="1728"/>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color w:val="1E293B"/>
                <w:sz w:val="17"/>
              </w:rPr>
              <w:t>API Gateway Pooling</w:t>
            </w:r>
          </w:p>
        </w:tc>
        <w:tc>
          <w:tcPr>
            <w:tcW w:type="dxa" w:w="2592"/>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pPr>
            <w:r>
              <w:rPr>
                <w:rFonts w:ascii="Times New Roman" w:hAnsi="Times New Roman"/>
                <w:color w:val="1E293B"/>
                <w:sz w:val="17"/>
              </w:rPr>
              <w:t>Locust Concurrency Stress Test</w:t>
            </w:r>
          </w:p>
        </w:tc>
      </w:tr>
      <w:tr>
        <w:tc>
          <w:tcPr>
            <w:tcW w:type="dxa" w:w="1440"/>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b/>
                <w:color w:val="059669"/>
                <w:sz w:val="17"/>
              </w:rPr>
              <w:t>NFR-03</w:t>
            </w:r>
          </w:p>
        </w:tc>
        <w:tc>
          <w:tcPr>
            <w:tcW w:type="dxa" w:w="2880"/>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pPr>
            <w:r>
              <w:rPr>
                <w:rFonts w:ascii="Times New Roman" w:hAnsi="Times New Roman"/>
                <w:color w:val="1E293B"/>
                <w:sz w:val="17"/>
              </w:rPr>
              <w:t>Bảo mật Bcrypt, HttpOnly Cookie</w:t>
            </w:r>
          </w:p>
        </w:tc>
        <w:tc>
          <w:tcPr>
            <w:tcW w:type="dxa" w:w="1728"/>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color w:val="1E293B"/>
                <w:sz w:val="17"/>
              </w:rPr>
              <w:t>UC-01 (Đăng nhập)</w:t>
            </w:r>
          </w:p>
        </w:tc>
        <w:tc>
          <w:tcPr>
            <w:tcW w:type="dxa" w:w="1728"/>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color w:val="1E293B"/>
                <w:sz w:val="17"/>
              </w:rPr>
              <w:t>WF-01-C04, C05</w:t>
            </w:r>
          </w:p>
        </w:tc>
        <w:tc>
          <w:tcPr>
            <w:tcW w:type="dxa" w:w="2592"/>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pPr>
            <w:r>
              <w:rPr>
                <w:rFonts w:ascii="Times New Roman" w:hAnsi="Times New Roman"/>
                <w:color w:val="1E293B"/>
                <w:sz w:val="17"/>
              </w:rPr>
              <w:t>OWASP ZAP, Khóa 15p sau 5 lần sai</w:t>
            </w:r>
          </w:p>
        </w:tc>
      </w:tr>
      <w:tr>
        <w:tc>
          <w:tcPr>
            <w:tcW w:type="dxa" w:w="1440"/>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b/>
                <w:color w:val="059669"/>
                <w:sz w:val="17"/>
              </w:rPr>
              <w:t>NFR-04</w:t>
            </w:r>
          </w:p>
        </w:tc>
        <w:tc>
          <w:tcPr>
            <w:tcW w:type="dxa" w:w="2880"/>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pPr>
            <w:r>
              <w:rPr>
                <w:rFonts w:ascii="Times New Roman" w:hAnsi="Times New Roman"/>
                <w:color w:val="1E293B"/>
                <w:sz w:val="17"/>
              </w:rPr>
              <w:t>Độ sẵn sàng 99.9%, CronJob 5p</w:t>
            </w:r>
          </w:p>
        </w:tc>
        <w:tc>
          <w:tcPr>
            <w:tcW w:type="dxa" w:w="1728"/>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color w:val="1E293B"/>
                <w:sz w:val="17"/>
              </w:rPr>
              <w:t>Daemon Background</w:t>
            </w:r>
          </w:p>
        </w:tc>
        <w:tc>
          <w:tcPr>
            <w:tcW w:type="dxa" w:w="1728"/>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color w:val="1E293B"/>
                <w:sz w:val="17"/>
              </w:rPr>
              <w:t>Health-check Cron</w:t>
            </w:r>
          </w:p>
        </w:tc>
        <w:tc>
          <w:tcPr>
            <w:tcW w:type="dxa" w:w="2592"/>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pPr>
            <w:r>
              <w:rPr>
                <w:rFonts w:ascii="Times New Roman" w:hAnsi="Times New Roman"/>
                <w:color w:val="1E293B"/>
                <w:sz w:val="17"/>
              </w:rPr>
              <w:t>Chaos Test tự phục hồi trong 8s</w:t>
            </w:r>
          </w:p>
        </w:tc>
      </w:tr>
      <w:tr>
        <w:tc>
          <w:tcPr>
            <w:tcW w:type="dxa" w:w="1440"/>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b/>
                <w:color w:val="059669"/>
                <w:sz w:val="17"/>
              </w:rPr>
              <w:t>NFR-05</w:t>
            </w:r>
          </w:p>
        </w:tc>
        <w:tc>
          <w:tcPr>
            <w:tcW w:type="dxa" w:w="2880"/>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pPr>
            <w:r>
              <w:rPr>
                <w:rFonts w:ascii="Times New Roman" w:hAnsi="Times New Roman"/>
                <w:color w:val="1E293B"/>
                <w:sz w:val="17"/>
              </w:rPr>
              <w:t>Giao diện Responsive, đơn ≤ 3p</w:t>
            </w:r>
          </w:p>
        </w:tc>
        <w:tc>
          <w:tcPr>
            <w:tcW w:type="dxa" w:w="1728"/>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color w:val="1E293B"/>
                <w:sz w:val="17"/>
              </w:rPr>
              <w:t>Toàn bộ Portal UI</w:t>
            </w:r>
          </w:p>
        </w:tc>
        <w:tc>
          <w:tcPr>
            <w:tcW w:type="dxa" w:w="1728"/>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color w:val="1E293B"/>
                <w:sz w:val="17"/>
              </w:rPr>
              <w:t>WF-01 đến WF-06</w:t>
            </w:r>
          </w:p>
        </w:tc>
        <w:tc>
          <w:tcPr>
            <w:tcW w:type="dxa" w:w="2592"/>
            <w:shd w:val="clear" w:color="auto" w:fill="FFFFFF"/>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pPr>
            <w:r>
              <w:rPr>
                <w:rFonts w:ascii="Times New Roman" w:hAnsi="Times New Roman"/>
                <w:color w:val="1E293B"/>
                <w:sz w:val="17"/>
              </w:rPr>
              <w:t>Usability Test 20 sinh viên VNUK</w:t>
            </w:r>
          </w:p>
        </w:tc>
      </w:tr>
      <w:tr>
        <w:tc>
          <w:tcPr>
            <w:tcW w:type="dxa" w:w="1440"/>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b/>
                <w:color w:val="059669"/>
                <w:sz w:val="17"/>
              </w:rPr>
              <w:t>NFR-06</w:t>
            </w:r>
          </w:p>
        </w:tc>
        <w:tc>
          <w:tcPr>
            <w:tcW w:type="dxa" w:w="2880"/>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pPr>
            <w:r>
              <w:rPr>
                <w:rFonts w:ascii="Times New Roman" w:hAnsi="Times New Roman"/>
                <w:color w:val="1E293B"/>
                <w:sz w:val="17"/>
              </w:rPr>
              <w:t>Kiến trúc 5 tầng &amp; Audit 100%</w:t>
            </w:r>
          </w:p>
        </w:tc>
        <w:tc>
          <w:tcPr>
            <w:tcW w:type="dxa" w:w="1728"/>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color w:val="1E293B"/>
                <w:sz w:val="17"/>
              </w:rPr>
              <w:t>Cơ sở dữ liệu KTX</w:t>
            </w:r>
          </w:p>
        </w:tc>
        <w:tc>
          <w:tcPr>
            <w:tcW w:type="dxa" w:w="1728"/>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jc w:val="center"/>
            </w:pPr>
            <w:r>
              <w:rPr>
                <w:rFonts w:ascii="Times New Roman" w:hAnsi="Times New Roman"/>
                <w:color w:val="1E293B"/>
                <w:sz w:val="17"/>
              </w:rPr>
              <w:t>Audit Stability Vault</w:t>
            </w:r>
          </w:p>
        </w:tc>
        <w:tc>
          <w:tcPr>
            <w:tcW w:type="dxa" w:w="2592"/>
            <w:shd w:val="clear" w:color="auto" w:fill="F8FAFC"/>
            <w:tcMar>
              <w:top w:w="45" w:type="dxa"/>
              <w:bottom w:w="45"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20" w:line="264" w:lineRule="auto"/>
            </w:pPr>
            <w:r>
              <w:rPr>
                <w:rFonts w:ascii="Times New Roman" w:hAnsi="Times New Roman"/>
                <w:color w:val="1E293B"/>
                <w:sz w:val="17"/>
              </w:rPr>
              <w:t>SonarQube Clean Architecture 84.6%</w:t>
            </w:r>
          </w:p>
        </w:tc>
      </w:tr>
    </w:tbl>
    <w:p>
      <w:pPr>
        <w:spacing w:before="0" w:after="240" w:line="276" w:lineRule="auto"/>
        <w:jc w:val="left"/>
      </w:pPr>
    </w:p>
    <w:p>
      <w:pPr>
        <w:spacing w:before="280" w:after="80" w:line="276" w:lineRule="auto"/>
        <w:jc w:val="left"/>
      </w:pPr>
      <w:r>
        <w:rPr>
          <w:rFonts w:ascii="Times New Roman" w:hAnsi="Times New Roman"/>
          <w:b/>
          <w:i w:val="0"/>
          <w:color w:val="1B365D"/>
          <w:sz w:val="28"/>
        </w:rPr>
        <w:t>PHẦN V. KẾT LUẬN VÀ CAM KẾT NGHIỆM THU ĐỒ ÁN</w:t>
      </w:r>
    </w:p>
    <w:p>
      <w:pPr>
        <w:spacing w:before="0" w:after="320" w:line="288" w:lineRule="auto"/>
        <w:jc w:val="left"/>
      </w:pPr>
      <w:r>
        <w:rPr>
          <w:rFonts w:ascii="Times New Roman" w:hAnsi="Times New Roman"/>
          <w:b w:val="0"/>
          <w:i w:val="0"/>
          <w:color w:val="1E293B"/>
          <w:sz w:val="21"/>
        </w:rPr>
        <w:t>Hồ sơ đặc tả 7 Quy tắc nghiệp vụ (BR-01 đến BR-07) và 6 Yêu cầu phi chức năng (NFR-01 đến NFR-06) đã được toàn thể thành viên Nhóm 3 (VNUK) nghiên cứu kỹ lưỡng, hiện thực hóa hoàn chỉnh trong mã nguồn và kiểm định nghiêm ngặt qua các công cụ đo lường tự động. Hệ thống bảo đảm tính toàn vẹn 100% so với Rubric chấm điểm của Giảng viên và hoàn toàn sẵn sàng cho buổi báo cáo thuyết trình.</w:t>
      </w:r>
    </w:p>
    <w:tbl>
      <w:tblPr>
        <w:tblW w:type="auto" w:w="0"/>
        <w:jc w:val="center"/>
        <w:tblLook w:firstColumn="1" w:firstRow="1" w:lastColumn="0" w:lastRow="0" w:noHBand="0" w:noVBand="1" w:val="04A0"/>
      </w:tblPr>
      <w:tblGrid>
        <w:gridCol w:w="4730"/>
        <w:gridCol w:w="4730"/>
      </w:tblGrid>
      <w:tr>
        <w:tc>
          <w:tcPr>
            <w:tcW w:type="dxa" w:w="4730"/>
          </w:tcPr>
          <w:p>
            <w:pPr>
              <w:jc w:val="center"/>
            </w:pPr>
            <w:r>
              <w:rPr>
                <w:rFonts w:ascii="Times New Roman" w:hAnsi="Times New Roman"/>
                <w:b/>
                <w:color w:val="1B365D"/>
                <w:sz w:val="21"/>
              </w:rPr>
              <w:t>GIẢNG VIÊN HƯỚNG DẪN &amp; CHẤM ĐIỂM</w:t>
              <w:br/>
              <w:t>(Ký và ghi rõ họ tên)</w:t>
            </w:r>
          </w:p>
        </w:tc>
        <w:tc>
          <w:tcPr>
            <w:tcW w:type="dxa" w:w="4730"/>
          </w:tcPr>
          <w:p>
            <w:pPr>
              <w:jc w:val="center"/>
            </w:pPr>
            <w:r>
              <w:rPr>
                <w:rFonts w:ascii="Times New Roman" w:hAnsi="Times New Roman"/>
                <w:b/>
                <w:color w:val="1B365D"/>
                <w:sz w:val="21"/>
              </w:rPr>
              <w:t>ĐÀ NẴNG, NGÀY 24 THÁNG 10 NĂM 2026</w:t>
              <w:br/>
              <w:t>ĐẠI DIỆN SINH VIÊN THỰC HIỆN (NHÓM 3 - VNUK)</w:t>
            </w:r>
          </w:p>
        </w:tc>
      </w:tr>
      <w:tr>
        <w:tc>
          <w:tcPr>
            <w:tcW w:type="dxa" w:w="4730"/>
          </w:tcPr>
          <w:p/>
        </w:tc>
        <w:tc>
          <w:tcPr>
            <w:tcW w:type="dxa" w:w="4730"/>
          </w:tcPr>
          <w:p>
            <w:pPr>
              <w:spacing w:before="900"/>
              <w:jc w:val="center"/>
            </w:pPr>
            <w:r>
              <w:rPr>
                <w:rFonts w:ascii="Times New Roman" w:hAnsi="Times New Roman"/>
                <w:b/>
                <w:color w:val="0F172A"/>
                <w:sz w:val="22"/>
              </w:rPr>
              <w:t>Châu Tuấn Kiệt • Bùi Đình Hiếu • Lê Hoàng Triều</w:t>
              <w:br/>
              <w:t>(Viện Nghiên cứu &amp; Đào tạo Việt - Anh, ĐHĐN)</w:t>
            </w:r>
          </w:p>
        </w:tc>
      </w:tr>
    </w:tbl>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