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1B365D"/>
          <w:sz w:val="22"/>
        </w:rPr>
        <w:t>ĐẠI HỌC ĐÀ NẴNG</w:t>
        <w:br/>
        <w:t>VIỆN NGHIÊN CỨU VÀ ĐÀO TẠO VIỆT - ANH (VNUK)</w:t>
      </w:r>
    </w:p>
    <w:p>
      <w:pPr>
        <w:spacing w:before="0" w:after="280" w:line="276" w:lineRule="auto"/>
        <w:jc w:val="center"/>
      </w:pPr>
      <w:r>
        <w:rPr>
          <w:rFonts w:ascii="Times New Roman" w:hAnsi="Times New Roman"/>
          <w:color w:val="4B5563"/>
          <w:sz w:val="20"/>
        </w:rPr>
        <w:t>KHOA CÔNG NGHỆ THÔNG TIN &amp; TRÍ TUỆ NHÂN TẠO</w:t>
      </w:r>
    </w:p>
    <w:p>
      <w:pPr>
        <w:spacing w:before="280" w:after="120" w:line="276" w:lineRule="auto"/>
        <w:jc w:val="center"/>
      </w:pPr>
      <w:r>
        <w:rPr>
          <w:rFonts w:ascii="Times New Roman" w:hAnsi="Times New Roman"/>
          <w:b/>
          <w:color w:val="1B365D"/>
          <w:sz w:val="30"/>
        </w:rPr>
        <w:t>HỒ SƠ ĐẶC TẢ USE CASE VÀ BỘ SEQUENCE DIAGRAM ĐỒNG BỘ</w:t>
        <w:br/>
        <w:t>(HỆ THỐNG QUẢN TRỊ &amp; GHÉP PHÒNG KÝ TÚC XÁ THÔNG MINH)</w:t>
      </w:r>
    </w:p>
    <w:p>
      <w:pPr>
        <w:spacing w:before="0" w:after="320" w:line="276" w:lineRule="auto"/>
        <w:jc w:val="center"/>
      </w:pPr>
      <w:r>
        <w:rPr>
          <w:rFonts w:ascii="Times New Roman" w:hAnsi="Times New Roman"/>
          <w:i/>
          <w:color w:val="4B5563"/>
          <w:sz w:val="21"/>
        </w:rPr>
        <w:t>Hoàn thành trọn vẹn yêu cầu tuần học: Phân loại 1 Dễ + 1-n Nghiệp vụ, Bảng đặc tả BF/AF/EF có References, Sequence Diagram khớp 1-1, và Ánh xạ thiết kế Wireframe</w:t>
      </w:r>
    </w:p>
    <w:tbl>
      <w:tblPr>
        <w:tblW w:type="auto" w:w="0"/>
        <w:jc w:val="center"/>
        <w:tblLook w:firstColumn="1" w:firstRow="1" w:lastColumn="0" w:lastRow="0" w:noHBand="0" w:noVBand="1" w:val="04A0"/>
      </w:tblPr>
      <w:tblGrid>
        <w:gridCol w:w="4694"/>
        <w:gridCol w:w="4694"/>
      </w:tblGrid>
      <w:tr>
        <w:tc>
          <w:tcPr>
            <w:tcW w:type="dxa" w:w="3168"/>
            <w:shd w:val="clear" w:color="auto" w:fill="F3F4F6"/>
            <w:tcMar>
              <w:top w:w="60" w:type="dxa"/>
              <w:bottom w:w="60" w:type="dxa"/>
              <w:left w:w="100" w:type="dxa"/>
              <w:right w:w="100" w:type="dxa"/>
            </w:tcMar>
            <w:tcBorders>
              <w:top w:val="single" w:sz="4" w:space="0" w:color="E5E7EB"/>
              <w:bottom w:val="single" w:sz="4" w:space="0" w:color="E5E7EB"/>
            </w:tcBorders>
          </w:tcPr>
          <w:p>
            <w:r>
              <w:rPr>
                <w:rFonts w:ascii="Times New Roman" w:hAnsi="Times New Roman"/>
                <w:b/>
                <w:color w:val="1B365D"/>
                <w:sz w:val="20"/>
              </w:rPr>
              <w:t>Đề tài nghiên cứu:</w:t>
            </w:r>
          </w:p>
        </w:tc>
        <w:tc>
          <w:tcPr>
            <w:tcW w:type="dxa" w:w="6192"/>
            <w:shd w:val="clear" w:color="auto" w:fill="FFFFFF"/>
            <w:tcMar>
              <w:top w:w="60" w:type="dxa"/>
              <w:bottom w:w="60" w:type="dxa"/>
              <w:left w:w="100" w:type="dxa"/>
              <w:right w:w="100" w:type="dxa"/>
            </w:tcMar>
            <w:tcBorders>
              <w:top w:val="single" w:sz="4" w:space="0" w:color="E5E7EB"/>
              <w:bottom w:val="single" w:sz="4" w:space="0" w:color="E5E7EB"/>
            </w:tcBorders>
          </w:tcPr>
          <w:p>
            <w:r>
              <w:rPr>
                <w:rFonts w:ascii="Times New Roman" w:hAnsi="Times New Roman"/>
                <w:color w:val="1F2937"/>
                <w:sz w:val="20"/>
              </w:rPr>
              <w:t>Hệ thống Quản trị &amp; Ghép phòng KTX theo Thói quen và Tối ưu Lợi nhuận</w:t>
            </w:r>
          </w:p>
        </w:tc>
      </w:tr>
      <w:tr>
        <w:tc>
          <w:tcPr>
            <w:tcW w:type="dxa" w:w="3168"/>
            <w:shd w:val="clear" w:color="auto" w:fill="F3F4F6"/>
            <w:tcMar>
              <w:top w:w="60" w:type="dxa"/>
              <w:bottom w:w="60" w:type="dxa"/>
              <w:left w:w="100" w:type="dxa"/>
              <w:right w:w="100" w:type="dxa"/>
            </w:tcMar>
            <w:tcBorders>
              <w:top w:val="single" w:sz="4" w:space="0" w:color="E5E7EB"/>
              <w:bottom w:val="single" w:sz="4" w:space="0" w:color="E5E7EB"/>
            </w:tcBorders>
          </w:tcPr>
          <w:p>
            <w:r>
              <w:rPr>
                <w:rFonts w:ascii="Times New Roman" w:hAnsi="Times New Roman"/>
                <w:b/>
                <w:color w:val="1B365D"/>
                <w:sz w:val="20"/>
              </w:rPr>
              <w:t>Nhóm sinh viên thực hiện:</w:t>
            </w:r>
          </w:p>
        </w:tc>
        <w:tc>
          <w:tcPr>
            <w:tcW w:type="dxa" w:w="6192"/>
            <w:shd w:val="clear" w:color="auto" w:fill="FFFFFF"/>
            <w:tcMar>
              <w:top w:w="60" w:type="dxa"/>
              <w:bottom w:w="60" w:type="dxa"/>
              <w:left w:w="100" w:type="dxa"/>
              <w:right w:w="100" w:type="dxa"/>
            </w:tcMar>
            <w:tcBorders>
              <w:top w:val="single" w:sz="4" w:space="0" w:color="E5E7EB"/>
              <w:bottom w:val="single" w:sz="4" w:space="0" w:color="E5E7EB"/>
            </w:tcBorders>
          </w:tcPr>
          <w:p>
            <w:r>
              <w:rPr>
                <w:rFonts w:ascii="Times New Roman" w:hAnsi="Times New Roman"/>
                <w:color w:val="1F2937"/>
                <w:sz w:val="20"/>
              </w:rPr>
              <w:t>Nhóm 3 (Đại diện khối các trường ĐH Đà Nẵng)</w:t>
            </w:r>
          </w:p>
        </w:tc>
      </w:tr>
      <w:tr>
        <w:tc>
          <w:tcPr>
            <w:tcW w:type="dxa" w:w="3168"/>
            <w:shd w:val="clear" w:color="auto" w:fill="F3F4F6"/>
            <w:tcMar>
              <w:top w:w="60" w:type="dxa"/>
              <w:bottom w:w="60" w:type="dxa"/>
              <w:left w:w="100" w:type="dxa"/>
              <w:right w:w="100" w:type="dxa"/>
            </w:tcMar>
            <w:tcBorders>
              <w:top w:val="single" w:sz="4" w:space="0" w:color="E5E7EB"/>
              <w:bottom w:val="single" w:sz="4" w:space="0" w:color="E5E7EB"/>
            </w:tcBorders>
          </w:tcPr>
          <w:p>
            <w:r>
              <w:rPr>
                <w:rFonts w:ascii="Times New Roman" w:hAnsi="Times New Roman"/>
                <w:b/>
                <w:color w:val="1B365D"/>
                <w:sz w:val="20"/>
              </w:rPr>
              <w:t>Thành viên nhóm:</w:t>
            </w:r>
          </w:p>
        </w:tc>
        <w:tc>
          <w:tcPr>
            <w:tcW w:type="dxa" w:w="6192"/>
            <w:shd w:val="clear" w:color="auto" w:fill="FFFFFF"/>
            <w:tcMar>
              <w:top w:w="60" w:type="dxa"/>
              <w:bottom w:w="60" w:type="dxa"/>
              <w:left w:w="100" w:type="dxa"/>
              <w:right w:w="100" w:type="dxa"/>
            </w:tcMar>
            <w:tcBorders>
              <w:top w:val="single" w:sz="4" w:space="0" w:color="E5E7EB"/>
              <w:bottom w:val="single" w:sz="4" w:space="0" w:color="E5E7EB"/>
            </w:tcBorders>
          </w:tcPr>
          <w:p>
            <w:r>
              <w:rPr>
                <w:rFonts w:ascii="Times New Roman" w:hAnsi="Times New Roman"/>
                <w:color w:val="1F2937"/>
                <w:sz w:val="20"/>
              </w:rPr>
              <w:t>Nguyễn Duy Thái Bảo (VNUK), Lê Văn Việt (SPKT), Lê Minh Quân (DUE)</w:t>
            </w:r>
          </w:p>
        </w:tc>
      </w:tr>
      <w:tr>
        <w:tc>
          <w:tcPr>
            <w:tcW w:type="dxa" w:w="3168"/>
            <w:shd w:val="clear" w:color="auto" w:fill="F3F4F6"/>
            <w:tcMar>
              <w:top w:w="60" w:type="dxa"/>
              <w:bottom w:w="60" w:type="dxa"/>
              <w:left w:w="100" w:type="dxa"/>
              <w:right w:w="100" w:type="dxa"/>
            </w:tcMar>
            <w:tcBorders>
              <w:top w:val="single" w:sz="4" w:space="0" w:color="E5E7EB"/>
              <w:bottom w:val="single" w:sz="4" w:space="0" w:color="E5E7EB"/>
            </w:tcBorders>
          </w:tcPr>
          <w:p>
            <w:r>
              <w:rPr>
                <w:rFonts w:ascii="Times New Roman" w:hAnsi="Times New Roman"/>
                <w:b/>
                <w:color w:val="1B365D"/>
                <w:sz w:val="20"/>
              </w:rPr>
              <w:t>Nội dung báo cáo:</w:t>
            </w:r>
          </w:p>
        </w:tc>
        <w:tc>
          <w:tcPr>
            <w:tcW w:type="dxa" w:w="6192"/>
            <w:shd w:val="clear" w:color="auto" w:fill="FFFFFF"/>
            <w:tcMar>
              <w:top w:w="60" w:type="dxa"/>
              <w:bottom w:w="60" w:type="dxa"/>
              <w:left w:w="100" w:type="dxa"/>
              <w:right w:w="100" w:type="dxa"/>
            </w:tcMar>
            <w:tcBorders>
              <w:top w:val="single" w:sz="4" w:space="0" w:color="E5E7EB"/>
              <w:bottom w:val="single" w:sz="4" w:space="0" w:color="E5E7EB"/>
            </w:tcBorders>
          </w:tcPr>
          <w:p>
            <w:r>
              <w:rPr>
                <w:rFonts w:ascii="Times New Roman" w:hAnsi="Times New Roman"/>
                <w:color w:val="1F2937"/>
                <w:sz w:val="20"/>
              </w:rPr>
              <w:t>Đặc tả Use Case chi tiết, Bộ Sequence Diagram chuẩn, Wireframe mapping</w:t>
            </w:r>
          </w:p>
        </w:tc>
      </w:tr>
    </w:tbl>
    <w:p>
      <w:pPr>
        <w:spacing w:before="0" w:after="240" w:line="276" w:lineRule="auto"/>
        <w:jc w:val="left"/>
      </w:pPr>
    </w:p>
    <w:p>
      <w:pPr>
        <w:spacing w:before="280" w:after="100" w:line="276" w:lineRule="auto"/>
        <w:jc w:val="left"/>
      </w:pPr>
      <w:r>
        <w:rPr>
          <w:rFonts w:ascii="Times New Roman" w:hAnsi="Times New Roman"/>
          <w:b/>
          <w:color w:val="1B365D"/>
          <w:sz w:val="27"/>
        </w:rPr>
        <w:t>1. HỆ THỐNG 7 QUY TẮC NGHIỆP VỤ (BUSINESS RULES - BR)</w:t>
      </w:r>
    </w:p>
    <w:p>
      <w:pPr>
        <w:spacing w:before="0" w:after="80" w:line="276" w:lineRule="auto"/>
        <w:jc w:val="left"/>
      </w:pPr>
      <w:r>
        <w:rPr>
          <w:rFonts w:ascii="Times New Roman" w:hAnsi="Times New Roman"/>
          <w:b w:val="0"/>
          <w:i w:val="0"/>
          <w:color w:val="1F2937"/>
          <w:sz w:val="22"/>
        </w:rPr>
        <w:t>Theo đúng yêu cầu của Giảng viên: 'Sai cơ bản là điền references, làm mà không hiểu BR1 là gì, BR-2 là gì, AF là gì phải hiểu để note, không được note đại'. Dưới đây là bảng định nghĩa tường minh các Quy tắc nghiệp vụ được tham chiếu xuyên suốt trong các bảng đặc tả:</w:t>
      </w:r>
    </w:p>
    <w:tbl>
      <w:tblPr>
        <w:tblW w:type="auto" w:w="0"/>
        <w:jc w:val="center"/>
        <w:tblLook w:firstColumn="1" w:firstRow="1" w:lastColumn="0" w:lastRow="0" w:noHBand="0" w:noVBand="1" w:val="04A0"/>
      </w:tblPr>
      <w:tblGrid>
        <w:gridCol w:w="2347"/>
        <w:gridCol w:w="2347"/>
        <w:gridCol w:w="2347"/>
        <w:gridCol w:w="2347"/>
      </w:tblGrid>
      <w:tr>
        <w:tc>
          <w:tcPr>
            <w:tcW w:type="dxa" w:w="1152"/>
            <w:shd w:val="clear" w:color="auto" w:fill="1B365D"/>
            <w:tcMar>
              <w:top w:w="80" w:type="dxa"/>
              <w:bottom w:w="80" w:type="dxa"/>
              <w:left w:w="60" w:type="dxa"/>
              <w:right w:w="60" w:type="dxa"/>
            </w:tcMar>
          </w:tcPr>
          <w:p>
            <w:pPr>
              <w:jc w:val="center"/>
            </w:pPr>
            <w:r>
              <w:rPr>
                <w:rFonts w:ascii="Times New Roman" w:hAnsi="Times New Roman"/>
                <w:b/>
                <w:color w:val="FFFFFF"/>
                <w:sz w:val="19"/>
              </w:rPr>
              <w:t>Mã BR</w:t>
            </w:r>
          </w:p>
        </w:tc>
        <w:tc>
          <w:tcPr>
            <w:tcW w:type="dxa" w:w="2592"/>
            <w:shd w:val="clear" w:color="auto" w:fill="1B365D"/>
            <w:tcMar>
              <w:top w:w="80" w:type="dxa"/>
              <w:bottom w:w="80" w:type="dxa"/>
              <w:left w:w="60" w:type="dxa"/>
              <w:right w:w="60" w:type="dxa"/>
            </w:tcMar>
          </w:tcPr>
          <w:p>
            <w:pPr>
              <w:jc w:val="center"/>
            </w:pPr>
            <w:r>
              <w:rPr>
                <w:rFonts w:ascii="Times New Roman" w:hAnsi="Times New Roman"/>
                <w:b/>
                <w:color w:val="FFFFFF"/>
                <w:sz w:val="19"/>
              </w:rPr>
              <w:t>Tên Quy tắc Nghiệp vụ</w:t>
            </w:r>
          </w:p>
        </w:tc>
        <w:tc>
          <w:tcPr>
            <w:tcW w:type="dxa" w:w="3888"/>
            <w:shd w:val="clear" w:color="auto" w:fill="1B365D"/>
            <w:tcMar>
              <w:top w:w="80" w:type="dxa"/>
              <w:bottom w:w="80" w:type="dxa"/>
              <w:left w:w="60" w:type="dxa"/>
              <w:right w:w="60" w:type="dxa"/>
            </w:tcMar>
          </w:tcPr>
          <w:p>
            <w:pPr>
              <w:jc w:val="center"/>
            </w:pPr>
            <w:r>
              <w:rPr>
                <w:rFonts w:ascii="Times New Roman" w:hAnsi="Times New Roman"/>
                <w:b/>
                <w:color w:val="FFFFFF"/>
                <w:sz w:val="19"/>
              </w:rPr>
              <w:t>Nội dung Chi tiết &amp; Điều kiện Áp dụng</w:t>
            </w:r>
          </w:p>
        </w:tc>
        <w:tc>
          <w:tcPr>
            <w:tcW w:type="dxa" w:w="2592"/>
            <w:shd w:val="clear" w:color="auto" w:fill="1B365D"/>
            <w:tcMar>
              <w:top w:w="80" w:type="dxa"/>
              <w:bottom w:w="80" w:type="dxa"/>
              <w:left w:w="60" w:type="dxa"/>
              <w:right w:w="60" w:type="dxa"/>
            </w:tcMar>
          </w:tcPr>
          <w:p>
            <w:pPr>
              <w:jc w:val="center"/>
            </w:pPr>
            <w:r>
              <w:rPr>
                <w:rFonts w:ascii="Times New Roman" w:hAnsi="Times New Roman"/>
                <w:b/>
                <w:color w:val="FFFFFF"/>
                <w:sz w:val="19"/>
              </w:rPr>
              <w:t>Ý nghĩa Vận hành &amp; Module</w:t>
            </w:r>
          </w:p>
        </w:tc>
      </w:tr>
      <w:tr>
        <w:tc>
          <w:tcPr>
            <w:tcW w:type="dxa" w:w="1152"/>
            <w:shd w:val="clear" w:color="auto" w:fill="FFFFFF"/>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B365D"/>
                <w:sz w:val="18"/>
              </w:rPr>
              <w:t>BR-01</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color w:val="0F172A"/>
                <w:sz w:val="18"/>
              </w:rPr>
              <w:t>Đối tượng Tiếp nhận (SV Trường A)</w:t>
            </w:r>
          </w:p>
        </w:tc>
        <w:tc>
          <w:tcPr>
            <w:tcW w:type="dxa" w:w="3888"/>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KTX A phục vụ riêng cho sinh viên trường Đại học A (hoặc khối thành viên). Phải có MSSV và email trường cấp (@edu.vn). Đúng đối tượng mới được kích hoạt ghép tự động.</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Bảo đảm an ninh, phục vụ đúng đối tượng (Áp dụng tại Form Đăng ký, Cổng xác thực).</w:t>
            </w:r>
          </w:p>
        </w:tc>
      </w:tr>
      <w:tr>
        <w:tc>
          <w:tcPr>
            <w:tcW w:type="dxa" w:w="1152"/>
            <w:shd w:val="clear" w:color="auto" w:fill="F9FAFB"/>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B365D"/>
                <w:sz w:val="18"/>
              </w:rPr>
              <w:t>BR-02</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color w:val="0F172A"/>
                <w:sz w:val="18"/>
              </w:rPr>
              <w:t>Thời hạn Lưu trú Tối thiểu 1 Kỳ</w:t>
            </w:r>
          </w:p>
        </w:tc>
        <w:tc>
          <w:tcPr>
            <w:tcW w:type="dxa" w:w="3888"/>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Bắt buộc cam kết lưu trú tối thiểu 01 học kỳ (5 tháng) hoặc trọn năm học. Hệ thống kiên quyết từ chối hợp đồng ngắn hạn theo ngày/tuần.</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Ổn định nề nếp văn hóa phòng, bảo toàn kế hoạch dòng tiền KTX (Form Đăng ký, Hợp đồng).</w:t>
            </w:r>
          </w:p>
        </w:tc>
      </w:tr>
      <w:tr>
        <w:tc>
          <w:tcPr>
            <w:tcW w:type="dxa" w:w="1152"/>
            <w:shd w:val="clear" w:color="auto" w:fill="FFFFFF"/>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B365D"/>
                <w:sz w:val="18"/>
              </w:rPr>
              <w:t>BR-03</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color w:val="0F172A"/>
                <w:sz w:val="18"/>
              </w:rPr>
              <w:t>Phê duyệt Nghiệp vụ (Business Approve)</w:t>
            </w:r>
          </w:p>
        </w:tc>
        <w:tc>
          <w:tcPr>
            <w:tcW w:type="dxa" w:w="3888"/>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Hồ sơ đăng ký KTX phải qua bước BQL thẩm định tư cách, kiểm tra lịch sử kỷ luật và diện ưu tiên. Chỉ hồ sơ 'Approved' mới được phân phòng.</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Kiểm soát an ninh cửa ngõ, không cho đối tượng vi phạm vào ở (Dashboard Quản trị KTX).</w:t>
            </w:r>
          </w:p>
        </w:tc>
      </w:tr>
      <w:tr>
        <w:tc>
          <w:tcPr>
            <w:tcW w:type="dxa" w:w="1152"/>
            <w:shd w:val="clear" w:color="auto" w:fill="F9FAFB"/>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B365D"/>
                <w:sz w:val="18"/>
              </w:rPr>
              <w:t>BR-04</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color w:val="0F172A"/>
                <w:sz w:val="18"/>
              </w:rPr>
              <w:t>Đặt cọc &amp; Hạn Thanh toán 72h</w:t>
            </w:r>
          </w:p>
        </w:tc>
        <w:tc>
          <w:tcPr>
            <w:tcW w:type="dxa" w:w="3888"/>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Trong vòng 72 giờ từ khi có kết quả, sinh viên phải nộp tiền phòng kỳ 1 + Tiền cọc tài sản (1.000.000 VNĐ) qua VNPay. Quá hạn tự động hủy giữ chỗ, chuyển cho Waitlist.</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Tránh giữ chỗ ảo, bảo đảm thu hồi vốn KTX (Màn hình Thanh toán, Cổng VNPay).</w:t>
            </w:r>
          </w:p>
        </w:tc>
      </w:tr>
      <w:tr>
        <w:tc>
          <w:tcPr>
            <w:tcW w:type="dxa" w:w="1152"/>
            <w:shd w:val="clear" w:color="auto" w:fill="FFFFFF"/>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B365D"/>
                <w:sz w:val="18"/>
              </w:rPr>
              <w:t>BR-05</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color w:val="0F172A"/>
                <w:sz w:val="18"/>
              </w:rPr>
              <w:t>Tối ưu Lợi nhuận &amp; Lấp đầy Phòng</w:t>
            </w:r>
          </w:p>
        </w:tc>
        <w:tc>
          <w:tcPr>
            <w:tcW w:type="dxa" w:w="3888"/>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Phân nhóm theo loại phòng (2, 4, 6 người) trước, sau đó ghép Gale-Shapley. Ưu tiên lấp đầy 100% số giường từng phòng trước khi mở phòng mới để tiết kiệm chi phí.</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Tối đa hóa biên lợi nhuận ròng KTX (Thuật toán matching.py, Báo cáo Doanh thu).</w:t>
            </w:r>
          </w:p>
        </w:tc>
      </w:tr>
      <w:tr>
        <w:tc>
          <w:tcPr>
            <w:tcW w:type="dxa" w:w="1152"/>
            <w:shd w:val="clear" w:color="auto" w:fill="F9FAFB"/>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B365D"/>
                <w:sz w:val="18"/>
              </w:rPr>
              <w:t>BR-06</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color w:val="0F172A"/>
                <w:sz w:val="18"/>
              </w:rPr>
              <w:t>Trọng số Ưu tiên Cá nhân (Top 1.5x)</w:t>
            </w:r>
          </w:p>
        </w:tc>
        <w:tc>
          <w:tcPr>
            <w:tcW w:type="dxa" w:w="3888"/>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Tiêu chí sinh viên coi trọng nhất (top) được nhân trọng số 1.5x, tạo ma trận điểm bất đối xứng M[a][b] khác M[b][a].</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Mô phỏng tâm lý con người trong thực tế (Module scoring.py).</w:t>
            </w:r>
          </w:p>
        </w:tc>
      </w:tr>
      <w:tr>
        <w:tc>
          <w:tcPr>
            <w:tcW w:type="dxa" w:w="1152"/>
            <w:shd w:val="clear" w:color="auto" w:fill="FFFFFF"/>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B365D"/>
                <w:sz w:val="18"/>
              </w:rPr>
              <w:t>BR-07</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color w:val="0F172A"/>
                <w:sz w:val="18"/>
              </w:rPr>
              <w:t>Triệt tiêu Cặp chặn (Stability)</w:t>
            </w:r>
          </w:p>
        </w:tc>
        <w:tc>
          <w:tcPr>
            <w:tcW w:type="dxa" w:w="3888"/>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Kết quả phân phòng bắt buộc phải đạt độ ổn định tuyệt đối (Blocking Pairs = 0).</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Không sinh viên nào có động cơ tự ý đổi phòng (Thuật toán gale_shapley).</w:t>
            </w:r>
          </w:p>
        </w:tc>
      </w:tr>
    </w:tbl>
    <w:p>
      <w:pPr>
        <w:spacing w:before="0" w:after="200" w:line="276" w:lineRule="auto"/>
        <w:jc w:val="left"/>
      </w:pPr>
    </w:p>
    <w:p>
      <w:pPr>
        <w:spacing w:before="280" w:after="100" w:line="276" w:lineRule="auto"/>
        <w:jc w:val="left"/>
      </w:pPr>
      <w:r>
        <w:rPr>
          <w:rFonts w:ascii="Times New Roman" w:hAnsi="Times New Roman"/>
          <w:b/>
          <w:color w:val="1B365D"/>
          <w:sz w:val="27"/>
        </w:rPr>
        <w:t>2. HỆ THỐNG YÊU CẦU PHI CHỨC NĂNG (NON-FUNCTIONAL REQUIREMENTS - NFR)</w:t>
      </w:r>
    </w:p>
    <w:tbl>
      <w:tblPr>
        <w:tblW w:type="auto" w:w="0"/>
        <w:jc w:val="center"/>
        <w:tblLook w:firstColumn="1" w:firstRow="1" w:lastColumn="0" w:lastRow="0" w:noHBand="0" w:noVBand="1" w:val="04A0"/>
      </w:tblPr>
      <w:tblGrid>
        <w:gridCol w:w="2347"/>
        <w:gridCol w:w="2347"/>
        <w:gridCol w:w="2347"/>
        <w:gridCol w:w="2347"/>
      </w:tblGrid>
      <w:tr>
        <w:tc>
          <w:tcPr>
            <w:tcW w:type="dxa" w:w="1296"/>
            <w:shd w:val="clear" w:color="auto" w:fill="1B365D"/>
            <w:tcMar>
              <w:top w:w="80" w:type="dxa"/>
              <w:bottom w:w="80" w:type="dxa"/>
              <w:left w:w="60" w:type="dxa"/>
              <w:right w:w="60" w:type="dxa"/>
            </w:tcMar>
          </w:tcPr>
          <w:p>
            <w:pPr>
              <w:jc w:val="center"/>
            </w:pPr>
            <w:r>
              <w:rPr>
                <w:rFonts w:ascii="Times New Roman" w:hAnsi="Times New Roman"/>
                <w:b/>
                <w:color w:val="FFFFFF"/>
                <w:sz w:val="19"/>
              </w:rPr>
              <w:t>Mã NFR</w:t>
            </w:r>
          </w:p>
        </w:tc>
        <w:tc>
          <w:tcPr>
            <w:tcW w:type="dxa" w:w="2592"/>
            <w:shd w:val="clear" w:color="auto" w:fill="1B365D"/>
            <w:tcMar>
              <w:top w:w="80" w:type="dxa"/>
              <w:bottom w:w="80" w:type="dxa"/>
              <w:left w:w="60" w:type="dxa"/>
              <w:right w:w="60" w:type="dxa"/>
            </w:tcMar>
          </w:tcPr>
          <w:p>
            <w:pPr>
              <w:jc w:val="center"/>
            </w:pPr>
            <w:r>
              <w:rPr>
                <w:rFonts w:ascii="Times New Roman" w:hAnsi="Times New Roman"/>
                <w:b/>
                <w:color w:val="FFFFFF"/>
                <w:sz w:val="19"/>
              </w:rPr>
              <w:t>Tên Yêu cầu Phi chức năng</w:t>
            </w:r>
          </w:p>
        </w:tc>
        <w:tc>
          <w:tcPr>
            <w:tcW w:type="dxa" w:w="3744"/>
            <w:shd w:val="clear" w:color="auto" w:fill="1B365D"/>
            <w:tcMar>
              <w:top w:w="80" w:type="dxa"/>
              <w:bottom w:w="80" w:type="dxa"/>
              <w:left w:w="60" w:type="dxa"/>
              <w:right w:w="60" w:type="dxa"/>
            </w:tcMar>
          </w:tcPr>
          <w:p>
            <w:pPr>
              <w:jc w:val="center"/>
            </w:pPr>
            <w:r>
              <w:rPr>
                <w:rFonts w:ascii="Times New Roman" w:hAnsi="Times New Roman"/>
                <w:b/>
                <w:color w:val="FFFFFF"/>
                <w:sz w:val="19"/>
              </w:rPr>
              <w:t>Tiêu chuẩn Định lượng Đo lường</w:t>
            </w:r>
          </w:p>
        </w:tc>
        <w:tc>
          <w:tcPr>
            <w:tcW w:type="dxa" w:w="2592"/>
            <w:shd w:val="clear" w:color="auto" w:fill="1B365D"/>
            <w:tcMar>
              <w:top w:w="80" w:type="dxa"/>
              <w:bottom w:w="80" w:type="dxa"/>
              <w:left w:w="60" w:type="dxa"/>
              <w:right w:w="60" w:type="dxa"/>
            </w:tcMar>
          </w:tcPr>
          <w:p>
            <w:pPr>
              <w:jc w:val="center"/>
            </w:pPr>
            <w:r>
              <w:rPr>
                <w:rFonts w:ascii="Times New Roman" w:hAnsi="Times New Roman"/>
                <w:b/>
                <w:color w:val="FFFFFF"/>
                <w:sz w:val="19"/>
              </w:rPr>
              <w:t>Phương pháp Kiểm chứng</w:t>
            </w:r>
          </w:p>
        </w:tc>
      </w:tr>
      <w:tr>
        <w:tc>
          <w:tcPr>
            <w:tcW w:type="dxa" w:w="1296"/>
            <w:shd w:val="clear" w:color="auto" w:fill="FFFFFF"/>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66534"/>
                <w:sz w:val="18"/>
              </w:rPr>
              <w:t>NFR-01</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sz w:val="18"/>
              </w:rPr>
              <w:t>Hiệu năng Xử lý Thuật toán</w:t>
            </w:r>
          </w:p>
        </w:tc>
        <w:tc>
          <w:tcPr>
            <w:tcW w:type="dxa" w:w="3744"/>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Xử lý quy mô 200 SV trong &lt; 1.0 giây; quy mô 1.000 SV trong &lt; 5.0 giây.</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Benchmark tự động bằng time.perf_counter() trong test_benchmark.py.</w:t>
            </w:r>
          </w:p>
        </w:tc>
      </w:tr>
      <w:tr>
        <w:tc>
          <w:tcPr>
            <w:tcW w:type="dxa" w:w="1296"/>
            <w:shd w:val="clear" w:color="auto" w:fill="F9FAFB"/>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66534"/>
                <w:sz w:val="18"/>
              </w:rPr>
              <w:t>NFR-02</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sz w:val="18"/>
              </w:rPr>
              <w:t>Độ Ổn định Toán học Tuyệt đối</w:t>
            </w:r>
          </w:p>
        </w:tc>
        <w:tc>
          <w:tcPr>
            <w:tcW w:type="dxa" w:w="3744"/>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Triệt tiêu 100% cặp chặn (Blocking Pairs = 0) qua 50 seed kiểm thử ngẫu nhiên.</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Bộ test tự động test_matching.py với 50 hạt giống ngẫu nhiên.</w:t>
            </w:r>
          </w:p>
        </w:tc>
      </w:tr>
      <w:tr>
        <w:tc>
          <w:tcPr>
            <w:tcW w:type="dxa" w:w="1296"/>
            <w:shd w:val="clear" w:color="auto" w:fill="FFFFFF"/>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66534"/>
                <w:sz w:val="18"/>
              </w:rPr>
              <w:t>NFR-03</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sz w:val="18"/>
              </w:rPr>
              <w:t>Bảo mật &amp; Toàn vẹn Giao dịch</w:t>
            </w:r>
          </w:p>
        </w:tc>
        <w:tc>
          <w:tcPr>
            <w:tcW w:type="dxa" w:w="3744"/>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Mã hóa TLS 1.3, đối soát chữ ký số SHA-256 phản hồi từ cổng VNPay.</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Tích hợp cổng VNPay Sandbox, xác thực mã vnp_ResponseCode == 00.</w:t>
            </w:r>
          </w:p>
        </w:tc>
      </w:tr>
      <w:tr>
        <w:tc>
          <w:tcPr>
            <w:tcW w:type="dxa" w:w="1296"/>
            <w:shd w:val="clear" w:color="auto" w:fill="F9FAFB"/>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66534"/>
                <w:sz w:val="18"/>
              </w:rPr>
              <w:t>NFR-04</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sz w:val="18"/>
              </w:rPr>
              <w:t>Khả năng Chịu lỗi Dữ liệu</w:t>
            </w:r>
          </w:p>
        </w:tc>
        <w:tc>
          <w:tcPr>
            <w:tcW w:type="dxa" w:w="3744"/>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Nạp CSV lỗi (thiếu cột, sai kiểu số, rỗng) chỉ báo lỗi thân thiện, không sập app.</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Bộ test test_error_handling.py xử lý 3 kịch bản file CSV lỗi.</w:t>
            </w:r>
          </w:p>
        </w:tc>
      </w:tr>
      <w:tr>
        <w:tc>
          <w:tcPr>
            <w:tcW w:type="dxa" w:w="1296"/>
            <w:shd w:val="clear" w:color="auto" w:fill="FFFFFF"/>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66534"/>
                <w:sz w:val="18"/>
              </w:rPr>
              <w:t>NFR-05</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sz w:val="18"/>
              </w:rPr>
              <w:t>Khả năng Mở rộng Loại phòng</w:t>
            </w:r>
          </w:p>
        </w:tc>
        <w:tc>
          <w:tcPr>
            <w:tcW w:type="dxa" w:w="3744"/>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Mở rộng linh hoạt từ phòng 2 người sang phòng 4 và 6 người qua hàm merge.</w:t>
            </w:r>
          </w:p>
        </w:tc>
        <w:tc>
          <w:tcPr>
            <w:tcW w:type="dxa" w:w="2592"/>
            <w:shd w:val="clear" w:color="auto" w:fill="FFFFFF"/>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Hàm merge_pairs_into_rooms trong matching.py và unit test phòng 4.</w:t>
            </w:r>
          </w:p>
        </w:tc>
      </w:tr>
      <w:tr>
        <w:tc>
          <w:tcPr>
            <w:tcW w:type="dxa" w:w="1296"/>
            <w:shd w:val="clear" w:color="auto" w:fill="F9FAFB"/>
            <w:tcMar>
              <w:top w:w="50" w:type="dxa"/>
              <w:bottom w:w="50" w:type="dxa"/>
              <w:left w:w="60" w:type="dxa"/>
              <w:right w:w="60" w:type="dxa"/>
            </w:tcMar>
            <w:tcBorders>
              <w:top w:val="single" w:sz="4" w:space="0" w:color="E5E7EB"/>
              <w:bottom w:val="single" w:sz="4" w:space="0" w:color="E5E7EB"/>
            </w:tcBorders>
          </w:tcPr>
          <w:p>
            <w:pPr>
              <w:jc w:val="center"/>
            </w:pPr>
            <w:r>
              <w:rPr>
                <w:rFonts w:ascii="Times New Roman" w:hAnsi="Times New Roman"/>
                <w:b/>
                <w:color w:val="166534"/>
                <w:sz w:val="18"/>
              </w:rPr>
              <w:t>NFR-06</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b/>
                <w:sz w:val="18"/>
              </w:rPr>
              <w:t>Trải nghiệm &amp; Phản hồi UI</w:t>
            </w:r>
          </w:p>
        </w:tc>
        <w:tc>
          <w:tcPr>
            <w:tcW w:type="dxa" w:w="3744"/>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Thời gian phản hồi UI &lt; 2.0s; hỗ trợ nạp nhanh 3 Persona chỉ với 1 cú click.</w:t>
            </w:r>
          </w:p>
        </w:tc>
        <w:tc>
          <w:tcPr>
            <w:tcW w:type="dxa" w:w="2592"/>
            <w:shd w:val="clear" w:color="auto" w:fill="F9FAFB"/>
            <w:tcMar>
              <w:top w:w="50" w:type="dxa"/>
              <w:bottom w:w="50" w:type="dxa"/>
              <w:left w:w="60" w:type="dxa"/>
              <w:right w:w="60" w:type="dxa"/>
            </w:tcMar>
            <w:tcBorders>
              <w:top w:val="single" w:sz="4" w:space="0" w:color="E5E7EB"/>
              <w:bottom w:val="single" w:sz="4" w:space="0" w:color="E5E7EB"/>
            </w:tcBorders>
          </w:tcPr>
          <w:p>
            <w:pPr>
              <w:jc w:val="left"/>
            </w:pPr>
            <w:r>
              <w:rPr>
                <w:rFonts w:ascii="Times New Roman" w:hAnsi="Times New Roman"/>
                <w:sz w:val="18"/>
              </w:rPr>
              <w:t>Thử nghiệm trên Dashboard giao diện web FastAPI/Streamlit.</w:t>
            </w:r>
          </w:p>
        </w:tc>
      </w:tr>
    </w:tbl>
    <w:p>
      <w:pPr>
        <w:spacing w:before="0" w:after="240" w:line="276" w:lineRule="auto"/>
        <w:jc w:val="left"/>
      </w:pPr>
    </w:p>
    <w:p>
      <w:pPr>
        <w:spacing w:before="280" w:after="100" w:line="276" w:lineRule="auto"/>
        <w:jc w:val="left"/>
      </w:pPr>
      <w:r>
        <w:rPr>
          <w:rFonts w:ascii="Times New Roman" w:hAnsi="Times New Roman"/>
          <w:b/>
          <w:color w:val="1B365D"/>
          <w:sz w:val="27"/>
        </w:rPr>
        <w:t>3. ĐẶC TẢ CHI TIẾT USE CASE UC-01: ĐĂNG NHẬP &amp; XÁC THỰC SINH VIÊN KTX</w:t>
      </w:r>
    </w:p>
    <w:p>
      <w:pPr>
        <w:spacing w:before="0" w:after="80" w:line="276" w:lineRule="auto"/>
        <w:jc w:val="left"/>
      </w:pPr>
      <w:r>
        <w:rPr>
          <w:rFonts w:ascii="Times New Roman" w:hAnsi="Times New Roman"/>
          <w:b w:val="0"/>
          <w:i w:val="0"/>
          <w:color w:val="1F2937"/>
          <w:sz w:val="22"/>
        </w:rPr>
        <w:t>• Phân loại Use Case: Use Case Đơn giản (1 dễ) | Tác nhân chính: Sinh viên nội trú</w:t>
      </w:r>
    </w:p>
    <w:p>
      <w:pPr>
        <w:spacing w:before="0" w:after="80" w:line="276" w:lineRule="auto"/>
        <w:jc w:val="left"/>
      </w:pPr>
      <w:r>
        <w:rPr>
          <w:rFonts w:ascii="Times New Roman" w:hAnsi="Times New Roman"/>
          <w:b w:val="0"/>
          <w:i w:val="0"/>
          <w:color w:val="1F2937"/>
          <w:sz w:val="22"/>
        </w:rPr>
        <w:t>• Tiền điều kiện (Preconditions): Sinh viên đã có tài khoản KTX.</w:t>
      </w:r>
    </w:p>
    <w:p>
      <w:pPr>
        <w:spacing w:before="0" w:after="80" w:line="276" w:lineRule="auto"/>
        <w:jc w:val="left"/>
      </w:pPr>
      <w:r>
        <w:rPr>
          <w:rFonts w:ascii="Times New Roman" w:hAnsi="Times New Roman"/>
          <w:b w:val="0"/>
          <w:i w:val="0"/>
          <w:color w:val="1F2937"/>
          <w:sz w:val="22"/>
        </w:rPr>
        <w:t>• Hậu điều kiện (Postconditions): Được cấp phiên làm việc vào Dashboard.</w:t>
      </w:r>
    </w:p>
    <w:p>
      <w:pPr>
        <w:spacing w:before="180" w:after="60" w:line="276" w:lineRule="auto"/>
        <w:jc w:val="left"/>
      </w:pPr>
      <w:r>
        <w:rPr>
          <w:rFonts w:ascii="Times New Roman" w:hAnsi="Times New Roman"/>
          <w:b/>
          <w:color w:val="2C5282"/>
          <w:sz w:val="24"/>
        </w:rPr>
        <w:t>3.1 Bảng Đặc tả Luồng sự kiện (BF, AF, EF) có References</w:t>
      </w:r>
    </w:p>
    <w:tbl>
      <w:tblPr>
        <w:tblW w:type="auto" w:w="0"/>
        <w:jc w:val="center"/>
        <w:tblLook w:firstColumn="1" w:firstRow="1" w:lastColumn="0" w:lastRow="0" w:noHBand="0" w:noVBand="1" w:val="04A0"/>
      </w:tblPr>
      <w:tblGrid>
        <w:gridCol w:w="1878"/>
        <w:gridCol w:w="1878"/>
        <w:gridCol w:w="1878"/>
        <w:gridCol w:w="1878"/>
        <w:gridCol w:w="1878"/>
      </w:tblGrid>
      <w:tr>
        <w:tc>
          <w:tcPr>
            <w:tcW w:type="dxa" w:w="864"/>
            <w:shd w:val="clear" w:color="auto" w:fill="1B365D"/>
            <w:tcMar>
              <w:top w:w="70" w:type="dxa"/>
              <w:bottom w:w="70" w:type="dxa"/>
              <w:left w:w="50" w:type="dxa"/>
              <w:right w:w="50" w:type="dxa"/>
            </w:tcMar>
          </w:tcPr>
          <w:p>
            <w:pPr>
              <w:jc w:val="center"/>
            </w:pPr>
            <w:r>
              <w:rPr>
                <w:rFonts w:ascii="Times New Roman" w:hAnsi="Times New Roman"/>
                <w:b/>
                <w:color w:val="FFFFFF"/>
                <w:sz w:val="18"/>
              </w:rPr>
              <w:t>Khối</w:t>
            </w:r>
          </w:p>
        </w:tc>
        <w:tc>
          <w:tcPr>
            <w:tcW w:type="dxa" w:w="1008"/>
            <w:shd w:val="clear" w:color="auto" w:fill="1B365D"/>
            <w:tcMar>
              <w:top w:w="70" w:type="dxa"/>
              <w:bottom w:w="70" w:type="dxa"/>
              <w:left w:w="50" w:type="dxa"/>
              <w:right w:w="50" w:type="dxa"/>
            </w:tcMar>
          </w:tcPr>
          <w:p>
            <w:pPr>
              <w:jc w:val="center"/>
            </w:pPr>
            <w:r>
              <w:rPr>
                <w:rFonts w:ascii="Times New Roman" w:hAnsi="Times New Roman"/>
                <w:b/>
                <w:color w:val="FFFFFF"/>
                <w:sz w:val="18"/>
              </w:rPr>
              <w:t>ID</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Tác nhân (Actor)</w:t>
            </w:r>
          </w:p>
        </w:tc>
        <w:tc>
          <w:tcPr>
            <w:tcW w:type="dxa" w:w="4608"/>
            <w:shd w:val="clear" w:color="auto" w:fill="1B365D"/>
            <w:tcMar>
              <w:top w:w="70" w:type="dxa"/>
              <w:bottom w:w="70" w:type="dxa"/>
              <w:left w:w="50" w:type="dxa"/>
              <w:right w:w="50" w:type="dxa"/>
            </w:tcMar>
          </w:tcPr>
          <w:p>
            <w:pPr>
              <w:jc w:val="center"/>
            </w:pPr>
            <w:r>
              <w:rPr>
                <w:rFonts w:ascii="Times New Roman" w:hAnsi="Times New Roman"/>
                <w:b/>
                <w:color w:val="FFFFFF"/>
                <w:sz w:val="18"/>
              </w:rPr>
              <w:t>Hành động chi tiết (Action)</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Tham chiếu (Ref)</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BF-01</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Truy cập cổng thông tin KTX và chọn Đăng nhập.</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Màn hình WF-01, NFR-06</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BF-02</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Hiển thị form đăng nhập (MSSV, Mật khẩu).</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Form LoginForm</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BF-03</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Nhập MSSV trường A và Mật khẩu, nhấn 'Đăng nhập'.</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Input Validation</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BF-04</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Gửi credentials sang Authentication Service để xác thực.</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Include UC-03, BR-01</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BF-05</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Xác nhận đúng tài khoản trường A, cấp Session Token.</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BR-01, NFR-03</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BF-06</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Chuyển hướng vào Dashboard cá nhân của sinh viên.</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Điều hướng /dashboard</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AF-01</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Tại bước BF-03, tích chọn 'Ghi nhớ đăng nhập 30 ngày'.</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Lưu Cookie HttpOnly</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AF-02</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Gia hạn thời hạn lưu phiên làm việc lên 30 ngày.</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NFR-06</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EF-01</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Nhập sai mật khẩu quá 5 lần: Khóa tạm tài khoản 15 phút.</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Mã ERR_AUTH_01, NFR-03</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EF-02</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MSSV không thuộc diện Trường A: Từ chối đăng nhập.</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Mã ERR_NOT_AFFILIATED, BR-01</w:t>
            </w:r>
          </w:p>
        </w:tc>
      </w:tr>
    </w:tbl>
    <w:p>
      <w:pPr>
        <w:spacing w:before="180" w:after="60" w:line="276" w:lineRule="auto"/>
        <w:jc w:val="left"/>
      </w:pPr>
      <w:r>
        <w:rPr>
          <w:rFonts w:ascii="Times New Roman" w:hAnsi="Times New Roman"/>
          <w:b/>
          <w:color w:val="2C5282"/>
          <w:sz w:val="24"/>
        </w:rPr>
        <w:t>3.2 Biểu đồ Tuần tự (Sequence Diagram) - Khớp 1-1 từng bước</w:t>
      </w:r>
    </w:p>
    <w:p>
      <w:pPr>
        <w:spacing w:before="0" w:after="80" w:line="276" w:lineRule="auto"/>
        <w:jc w:val="left"/>
      </w:pPr>
      <w:r>
        <w:rPr>
          <w:rFonts w:ascii="Times New Roman" w:hAnsi="Times New Roman"/>
          <w:b w:val="0"/>
          <w:i/>
          <w:color w:val="1F2937"/>
          <w:sz w:val="22"/>
        </w:rPr>
        <w:t>Sequence Flow Khớp 1-1:</w:t>
        <w:br/>
        <w:t>1. (BF-01) Sinh viên -&gt; UI Login: Yêu cầu mở trang đăng nhập</w:t>
        <w:br/>
        <w:t>2. (BF-02) UI Login -&gt; Sinh viên: Hiển thị form đăng nhập</w:t>
        <w:br/>
        <w:t>3. (BF-03) Sinh viên -&gt; UI Login: Nhập MSSV &amp; Mật khẩu</w:t>
        <w:br/>
        <w:t>4. (BF-04) UI Login -&gt; Auth Service: Gửi credentials xác thực (Ref: BR-01)</w:t>
        <w:br/>
        <w:t>5. (BF-04) Auth Service -&gt; Database: Truy vấn thông tin tài khoản</w:t>
        <w:br/>
        <w:t>6. (BF-05) Database -&gt; Auth Service: Trả về bản ghi tài khoản hợp lệ</w:t>
        <w:br/>
        <w:t>[alt Thành công]: 7. (BF-05) Auth Service -&gt; UI: Cấp Session Token -&gt; 8. (BF-06) UI -&gt; Sinh viên: Vào Dashboard</w:t>
        <w:br/>
        <w:t>[alt Sai quá 5 lần]: 9. (EF-01) Auth Service -&gt; UI: Báo lỗi ERR_AUTH_01 -&gt; 10. (EF-01) UI -&gt; Sinh viên: Khóa tạm 15 phút</w:t>
        <w:br/>
        <w:t>[alt Không thuộc trường A]: 11. (EF-02) Auth Service -&gt; UI: Báo lỗi ERR_NOT_AFFILIATED -&gt; 12. (EF-02) UI -&gt; Sinh viên: Cảnh báo vi phạm BR-01</w:t>
      </w:r>
    </w:p>
    <w:p>
      <w:pPr>
        <w:spacing w:before="180" w:after="60" w:line="276" w:lineRule="auto"/>
        <w:jc w:val="left"/>
      </w:pPr>
      <w:r>
        <w:rPr>
          <w:rFonts w:ascii="Times New Roman" w:hAnsi="Times New Roman"/>
          <w:b/>
          <w:color w:val="2C5282"/>
          <w:sz w:val="24"/>
        </w:rPr>
        <w:t>3.3 Đặc tả Bản vẽ Wireframe WF-01: Cổng Đăng nhập KTX</w:t>
      </w:r>
    </w:p>
    <w:p>
      <w:pPr>
        <w:pStyle w:val="ListBullet"/>
        <w:spacing w:before="0" w:after="50" w:line="276" w:lineRule="auto"/>
        <w:ind w:left="360"/>
      </w:pPr>
      <w:r>
        <w:rPr>
          <w:rFonts w:ascii="Times New Roman" w:hAnsi="Times New Roman"/>
          <w:b/>
          <w:color w:val="111827"/>
          <w:sz w:val="22"/>
        </w:rPr>
        <w:t xml:space="preserve">Nguyên tắc thiết kế: </w:t>
      </w:r>
      <w:r>
        <w:rPr>
          <w:rFonts w:ascii="Times New Roman" w:hAnsi="Times New Roman"/>
          <w:color w:val="374151"/>
          <w:sz w:val="22"/>
        </w:rPr>
        <w:t>Mọi thành phần giao diện trên Wireframe đều có trường dữ liệu tương ứng trong bảng đặc tả (Đặc tả trước, Design sau).</w:t>
      </w:r>
    </w:p>
    <w:tbl>
      <w:tblPr>
        <w:tblW w:type="auto" w:w="0"/>
        <w:jc w:val="center"/>
        <w:tblLook w:firstColumn="1" w:firstRow="1" w:lastColumn="0" w:lastRow="0" w:noHBand="0" w:noVBand="1" w:val="04A0"/>
      </w:tblPr>
      <w:tblGrid>
        <w:gridCol w:w="3130"/>
        <w:gridCol w:w="3130"/>
        <w:gridCol w:w="3130"/>
      </w:tblGrid>
      <w:tr>
        <w:tc>
          <w:tcPr>
            <w:tcW w:type="dxa" w:w="1728"/>
            <w:shd w:val="clear" w:color="auto" w:fill="2C5282"/>
            <w:tcMar>
              <w:top w:w="60" w:type="dxa"/>
              <w:bottom w:w="60" w:type="dxa"/>
              <w:left w:w="50" w:type="dxa"/>
              <w:right w:w="50" w:type="dxa"/>
            </w:tcMar>
          </w:tcPr>
          <w:p>
            <w:pPr>
              <w:jc w:val="center"/>
            </w:pPr>
            <w:r>
              <w:rPr>
                <w:rFonts w:ascii="Times New Roman" w:hAnsi="Times New Roman"/>
                <w:b/>
                <w:color w:val="FFFFFF"/>
                <w:sz w:val="18"/>
              </w:rPr>
              <w:t>Mã Thành phần</w:t>
            </w:r>
          </w:p>
        </w:tc>
        <w:tc>
          <w:tcPr>
            <w:tcW w:type="dxa" w:w="4320"/>
            <w:shd w:val="clear" w:color="auto" w:fill="2C5282"/>
            <w:tcMar>
              <w:top w:w="60" w:type="dxa"/>
              <w:bottom w:w="60" w:type="dxa"/>
              <w:left w:w="50" w:type="dxa"/>
              <w:right w:w="50" w:type="dxa"/>
            </w:tcMar>
          </w:tcPr>
          <w:p>
            <w:pPr>
              <w:jc w:val="center"/>
            </w:pPr>
            <w:r>
              <w:rPr>
                <w:rFonts w:ascii="Times New Roman" w:hAnsi="Times New Roman"/>
                <w:b/>
                <w:color w:val="FFFFFF"/>
                <w:sz w:val="18"/>
              </w:rPr>
              <w:t>Tên Phần tử trên Wireframe</w:t>
            </w:r>
          </w:p>
        </w:tc>
        <w:tc>
          <w:tcPr>
            <w:tcW w:type="dxa" w:w="4176"/>
            <w:shd w:val="clear" w:color="auto" w:fill="2C5282"/>
            <w:tcMar>
              <w:top w:w="60" w:type="dxa"/>
              <w:bottom w:w="60" w:type="dxa"/>
              <w:left w:w="50" w:type="dxa"/>
              <w:right w:w="50" w:type="dxa"/>
            </w:tcMar>
          </w:tcPr>
          <w:p>
            <w:pPr>
              <w:jc w:val="center"/>
            </w:pPr>
            <w:r>
              <w:rPr>
                <w:rFonts w:ascii="Times New Roman" w:hAnsi="Times New Roman"/>
                <w:b/>
                <w:color w:val="FFFFFF"/>
                <w:sz w:val="18"/>
              </w:rPr>
              <w:t>Ánh xạ Bước trong Bảng Đặc tả (Khớp 1-1)</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WF01-1</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Ô nhập Mã số sinh viên (MSSV)</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BF-03 (Nhập MSSV trường A)</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WF01-2</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Ô nhập Mật khẩu bảo mật</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BF-03 (Nhập mật khẩu)</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WF01-3</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Checkbox 'Ghi nhớ đăng nhập 30 ngày'</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AF-01 (Lưu cookie an toàn)</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WF01-4</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'Đăng nhập'</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BF-03, kích hoạt bước BF-04</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WF01-5</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Khung thông báo lỗi đỏ (Banner Alert)</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EF-01 (Sai pass) và EF-02 (Vi phạm BR-01)</w:t>
            </w:r>
          </w:p>
        </w:tc>
      </w:tr>
    </w:tbl>
    <w:p>
      <w:pPr>
        <w:spacing w:before="0" w:after="200" w:line="276" w:lineRule="auto"/>
        <w:jc w:val="left"/>
      </w:pPr>
    </w:p>
    <w:p>
      <w:pPr>
        <w:spacing w:before="280" w:after="100" w:line="276" w:lineRule="auto"/>
        <w:jc w:val="left"/>
      </w:pPr>
      <w:r>
        <w:rPr>
          <w:rFonts w:ascii="Times New Roman" w:hAnsi="Times New Roman"/>
          <w:b/>
          <w:color w:val="1B365D"/>
          <w:sz w:val="27"/>
        </w:rPr>
        <w:t>4. ĐẶC TẢ CHI TIẾT USE CASE UC-02: ĐĂNG KÝ PHÒNG &amp; KHẢO SÁT THÓI QUEN (CAM KẾT &gt;= 1 KỲ)</w:t>
      </w:r>
    </w:p>
    <w:p>
      <w:pPr>
        <w:spacing w:before="0" w:after="80" w:line="276" w:lineRule="auto"/>
        <w:jc w:val="left"/>
      </w:pPr>
      <w:r>
        <w:rPr>
          <w:rFonts w:ascii="Times New Roman" w:hAnsi="Times New Roman"/>
          <w:b w:val="0"/>
          <w:i w:val="0"/>
          <w:color w:val="1F2937"/>
          <w:sz w:val="22"/>
        </w:rPr>
        <w:t>• Phân loại Use Case: Use Case Nghiệp vụ (1-n quan trọng) | Tác nhân chính: Sinh viên nội trú</w:t>
      </w:r>
    </w:p>
    <w:p>
      <w:pPr>
        <w:spacing w:before="0" w:after="80" w:line="276" w:lineRule="auto"/>
        <w:jc w:val="left"/>
      </w:pPr>
      <w:r>
        <w:rPr>
          <w:rFonts w:ascii="Times New Roman" w:hAnsi="Times New Roman"/>
          <w:b w:val="0"/>
          <w:i w:val="0"/>
          <w:color w:val="1F2937"/>
          <w:sz w:val="22"/>
        </w:rPr>
        <w:t>• Tiền điều kiện (Preconditions): Sinh viên đã đăng nhập (UC-01).</w:t>
      </w:r>
    </w:p>
    <w:p>
      <w:pPr>
        <w:spacing w:before="0" w:after="80" w:line="276" w:lineRule="auto"/>
        <w:jc w:val="left"/>
      </w:pPr>
      <w:r>
        <w:rPr>
          <w:rFonts w:ascii="Times New Roman" w:hAnsi="Times New Roman"/>
          <w:b w:val="0"/>
          <w:i w:val="0"/>
          <w:color w:val="1F2937"/>
          <w:sz w:val="22"/>
        </w:rPr>
        <w:t>• Hậu điều kiện (Postconditions): Hồ sơ đăng ký lưu trạng thái Pending chờ duyệt.</w:t>
      </w:r>
    </w:p>
    <w:p>
      <w:pPr>
        <w:spacing w:before="180" w:after="60" w:line="276" w:lineRule="auto"/>
        <w:jc w:val="left"/>
      </w:pPr>
      <w:r>
        <w:rPr>
          <w:rFonts w:ascii="Times New Roman" w:hAnsi="Times New Roman"/>
          <w:b/>
          <w:color w:val="2C5282"/>
          <w:sz w:val="24"/>
        </w:rPr>
        <w:t>4.1 Bảng Đặc tả Luồng sự kiện (BF, AF, EF) có References</w:t>
      </w:r>
    </w:p>
    <w:tbl>
      <w:tblPr>
        <w:tblW w:type="auto" w:w="0"/>
        <w:jc w:val="center"/>
        <w:tblLook w:firstColumn="1" w:firstRow="1" w:lastColumn="0" w:lastRow="0" w:noHBand="0" w:noVBand="1" w:val="04A0"/>
      </w:tblPr>
      <w:tblGrid>
        <w:gridCol w:w="1878"/>
        <w:gridCol w:w="1878"/>
        <w:gridCol w:w="1878"/>
        <w:gridCol w:w="1878"/>
        <w:gridCol w:w="1878"/>
      </w:tblGrid>
      <w:tr>
        <w:tc>
          <w:tcPr>
            <w:tcW w:type="dxa" w:w="864"/>
            <w:shd w:val="clear" w:color="auto" w:fill="1B365D"/>
            <w:tcMar>
              <w:top w:w="70" w:type="dxa"/>
              <w:bottom w:w="70" w:type="dxa"/>
              <w:left w:w="50" w:type="dxa"/>
              <w:right w:w="50" w:type="dxa"/>
            </w:tcMar>
          </w:tcPr>
          <w:p>
            <w:pPr>
              <w:jc w:val="center"/>
            </w:pPr>
            <w:r>
              <w:rPr>
                <w:rFonts w:ascii="Times New Roman" w:hAnsi="Times New Roman"/>
                <w:b/>
                <w:color w:val="FFFFFF"/>
                <w:sz w:val="18"/>
              </w:rPr>
              <w:t>Khối</w:t>
            </w:r>
          </w:p>
        </w:tc>
        <w:tc>
          <w:tcPr>
            <w:tcW w:type="dxa" w:w="1008"/>
            <w:shd w:val="clear" w:color="auto" w:fill="1B365D"/>
            <w:tcMar>
              <w:top w:w="70" w:type="dxa"/>
              <w:bottom w:w="70" w:type="dxa"/>
              <w:left w:w="50" w:type="dxa"/>
              <w:right w:w="50" w:type="dxa"/>
            </w:tcMar>
          </w:tcPr>
          <w:p>
            <w:pPr>
              <w:jc w:val="center"/>
            </w:pPr>
            <w:r>
              <w:rPr>
                <w:rFonts w:ascii="Times New Roman" w:hAnsi="Times New Roman"/>
                <w:b/>
                <w:color w:val="FFFFFF"/>
                <w:sz w:val="18"/>
              </w:rPr>
              <w:t>ID</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Tác nhân (Actor)</w:t>
            </w:r>
          </w:p>
        </w:tc>
        <w:tc>
          <w:tcPr>
            <w:tcW w:type="dxa" w:w="4608"/>
            <w:shd w:val="clear" w:color="auto" w:fill="1B365D"/>
            <w:tcMar>
              <w:top w:w="70" w:type="dxa"/>
              <w:bottom w:w="70" w:type="dxa"/>
              <w:left w:w="50" w:type="dxa"/>
              <w:right w:w="50" w:type="dxa"/>
            </w:tcMar>
          </w:tcPr>
          <w:p>
            <w:pPr>
              <w:jc w:val="center"/>
            </w:pPr>
            <w:r>
              <w:rPr>
                <w:rFonts w:ascii="Times New Roman" w:hAnsi="Times New Roman"/>
                <w:b/>
                <w:color w:val="FFFFFF"/>
                <w:sz w:val="18"/>
              </w:rPr>
              <w:t>Hành động chi tiết (Action)</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Tham chiếu (Ref)</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BF-01</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Chọn chức năng 'Đăng ký phòng mới &amp; Khảo sát thói quen'.</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Màn hình WF-02</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BF-02</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Tải danh mục loại phòng khả dụng: Phòng 2, 4, 6 người kèm đơn giá.</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BR-05 (Quản lý loại phòng)</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BF-03</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Chọn loại phòng mong muốn (ví dụ Phòng 4 người máy lạnh).</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Đáp ứng góp ý của Thầy</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BF-04</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Nhập 8 tiêu chí thói quen (ngủ, dậy, gọn gàng, tiếng ồn, hút thuốc...).</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8 tiêu chí trong models.py</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BF-05</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Chỉ định tiêu chí quan trọng nhất (top) để nhận ưu tiên 1.5x.</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BR-06 (Top 1.5x)</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BF-06</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Tích chọn cam kết: 'Cam kết ở tối thiểu 1 học kỳ (5 tháng)'.</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BR-02 (Tối thiểu 1 kỳ)</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BF-07</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Nhấn nút 'Nộp hồ sơ xét duyệt KTX'.</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Gửi hồ sơ đăng ký</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BF-08</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Lưu hồ sơ ở trạng thái Pending, gửi mã số hồ sơ cho SV.</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Tạo mã DK-xxxx, chờ duyệt</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AF-01</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Bấm nút nạp nhanh Persona (Thái Bảo / Văn Việt / Minh Quân).</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Extend UC-06, NFR-06</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AF-02</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Tự động điền nhanh 8 giá trị slider thói quen mẫu.</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Trải nghiệm người dùng</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EF-01</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Chưa tích cam kết tối thiểu 1 kỳ: Khóa nút nộp, báo lỗi đỏ.</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Mã ERR_MIN_DURATION, BR-02</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EF-02</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Giá trị slider vượt ngoài miền dữ liệu: Báo lỗi trường dữ liệu.</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Mã ERR_INVALID_RANGE, NFR-04</w:t>
            </w:r>
          </w:p>
        </w:tc>
      </w:tr>
    </w:tbl>
    <w:p>
      <w:pPr>
        <w:spacing w:before="180" w:after="60" w:line="276" w:lineRule="auto"/>
        <w:jc w:val="left"/>
      </w:pPr>
      <w:r>
        <w:rPr>
          <w:rFonts w:ascii="Times New Roman" w:hAnsi="Times New Roman"/>
          <w:b/>
          <w:color w:val="2C5282"/>
          <w:sz w:val="24"/>
        </w:rPr>
        <w:t>4.2 Biểu đồ Tuần tự (Sequence Diagram) - Khớp 1-1 từng bước</w:t>
      </w:r>
    </w:p>
    <w:p>
      <w:pPr>
        <w:spacing w:before="0" w:after="80" w:line="276" w:lineRule="auto"/>
        <w:jc w:val="left"/>
      </w:pPr>
      <w:r>
        <w:rPr>
          <w:rFonts w:ascii="Times New Roman" w:hAnsi="Times New Roman"/>
          <w:b w:val="0"/>
          <w:i/>
          <w:color w:val="1F2937"/>
          <w:sz w:val="22"/>
        </w:rPr>
        <w:t>Sequence Flow Khớp 1-1:</w:t>
        <w:br/>
        <w:t>1. (BF-01) Sinh viên -&gt; UI Survey: Chọn Đăng ký phòng &amp; Khảo sát</w:t>
        <w:br/>
        <w:t>2. (BF-02) UI Survey -&gt; Room Service: Yêu cầu danh mục loại phòng (2, 4, 6)</w:t>
        <w:br/>
        <w:t>3. (BF-02) Room Service -&gt; UI Survey: Trả về danh mục phòng &amp; giá thuê</w:t>
        <w:br/>
        <w:t>4. (BF-03) Sinh viên -&gt; UI Survey: Chọn loại phòng 4 người máy lạnh</w:t>
        <w:br/>
        <w:t>[opt Nạp Persona]: 5. (AF-01) Sinh viên -&gt; UI: Chọn Persona mẫu -&gt; 6. (AF-02) UI: Điền nhanh slider</w:t>
        <w:br/>
        <w:t>7. (BF-04) Sinh viên -&gt; UI Survey: Kéo thả 8 tiêu chí thói quen</w:t>
        <w:br/>
        <w:t>8. (BF-05) Sinh viên -&gt; UI Survey: Chọn tiêu chí quan trọng nhất (Ref: BR-06, Top 1.5x)</w:t>
        <w:br/>
        <w:t>[alt Chưa tích cam kết]: 9. (EF-01) Sinh viên -&gt; UI: Nhấn Nộp -&gt; 10. (EF-01) UI -&gt; SV: Báo lỗi vi phạm BR-02</w:t>
        <w:br/>
        <w:t>[alt Đủ cam kết &gt;= 1 kỳ]: 11. (BF-06) SV -&gt; UI: Tích cam kết -&gt; 12. (BF-07) SV -&gt; UI: Nhấn Nộp hồ sơ -&gt; 13. (BF-08) UI -&gt; Reg Service: Lưu Pending -&gt; 14. (BF-08) UI -&gt; SV: Cấp mã DK-xxxx</w:t>
      </w:r>
    </w:p>
    <w:p>
      <w:pPr>
        <w:spacing w:before="180" w:after="60" w:line="276" w:lineRule="auto"/>
        <w:jc w:val="left"/>
      </w:pPr>
      <w:r>
        <w:rPr>
          <w:rFonts w:ascii="Times New Roman" w:hAnsi="Times New Roman"/>
          <w:b/>
          <w:color w:val="2C5282"/>
          <w:sz w:val="24"/>
        </w:rPr>
        <w:t>4.3 Đặc tả Bản vẽ Wireframe WF-02: Màn hình Khảo sát Thói quen &amp; Chọn Phòng</w:t>
      </w:r>
    </w:p>
    <w:p>
      <w:pPr>
        <w:pStyle w:val="ListBullet"/>
        <w:spacing w:before="0" w:after="50" w:line="276" w:lineRule="auto"/>
        <w:ind w:left="360"/>
      </w:pPr>
      <w:r>
        <w:rPr>
          <w:rFonts w:ascii="Times New Roman" w:hAnsi="Times New Roman"/>
          <w:b/>
          <w:color w:val="111827"/>
          <w:sz w:val="22"/>
        </w:rPr>
        <w:t xml:space="preserve">Nguyên tắc thiết kế: </w:t>
      </w:r>
      <w:r>
        <w:rPr>
          <w:rFonts w:ascii="Times New Roman" w:hAnsi="Times New Roman"/>
          <w:color w:val="374151"/>
          <w:sz w:val="22"/>
        </w:rPr>
        <w:t>Mọi thành phần giao diện trên Wireframe đều có trường dữ liệu tương ứng trong bảng đặc tả (Đặc tả trước, Design sau).</w:t>
      </w:r>
    </w:p>
    <w:tbl>
      <w:tblPr>
        <w:tblW w:type="auto" w:w="0"/>
        <w:jc w:val="center"/>
        <w:tblLook w:firstColumn="1" w:firstRow="1" w:lastColumn="0" w:lastRow="0" w:noHBand="0" w:noVBand="1" w:val="04A0"/>
      </w:tblPr>
      <w:tblGrid>
        <w:gridCol w:w="3130"/>
        <w:gridCol w:w="3130"/>
        <w:gridCol w:w="3130"/>
      </w:tblGrid>
      <w:tr>
        <w:tc>
          <w:tcPr>
            <w:tcW w:type="dxa" w:w="1728"/>
            <w:shd w:val="clear" w:color="auto" w:fill="2C5282"/>
            <w:tcMar>
              <w:top w:w="60" w:type="dxa"/>
              <w:bottom w:w="60" w:type="dxa"/>
              <w:left w:w="50" w:type="dxa"/>
              <w:right w:w="50" w:type="dxa"/>
            </w:tcMar>
          </w:tcPr>
          <w:p>
            <w:pPr>
              <w:jc w:val="center"/>
            </w:pPr>
            <w:r>
              <w:rPr>
                <w:rFonts w:ascii="Times New Roman" w:hAnsi="Times New Roman"/>
                <w:b/>
                <w:color w:val="FFFFFF"/>
                <w:sz w:val="18"/>
              </w:rPr>
              <w:t>Mã Thành phần</w:t>
            </w:r>
          </w:p>
        </w:tc>
        <w:tc>
          <w:tcPr>
            <w:tcW w:type="dxa" w:w="4320"/>
            <w:shd w:val="clear" w:color="auto" w:fill="2C5282"/>
            <w:tcMar>
              <w:top w:w="60" w:type="dxa"/>
              <w:bottom w:w="60" w:type="dxa"/>
              <w:left w:w="50" w:type="dxa"/>
              <w:right w:w="50" w:type="dxa"/>
            </w:tcMar>
          </w:tcPr>
          <w:p>
            <w:pPr>
              <w:jc w:val="center"/>
            </w:pPr>
            <w:r>
              <w:rPr>
                <w:rFonts w:ascii="Times New Roman" w:hAnsi="Times New Roman"/>
                <w:b/>
                <w:color w:val="FFFFFF"/>
                <w:sz w:val="18"/>
              </w:rPr>
              <w:t>Tên Phần tử trên Wireframe</w:t>
            </w:r>
          </w:p>
        </w:tc>
        <w:tc>
          <w:tcPr>
            <w:tcW w:type="dxa" w:w="4176"/>
            <w:shd w:val="clear" w:color="auto" w:fill="2C5282"/>
            <w:tcMar>
              <w:top w:w="60" w:type="dxa"/>
              <w:bottom w:w="60" w:type="dxa"/>
              <w:left w:w="50" w:type="dxa"/>
              <w:right w:w="50" w:type="dxa"/>
            </w:tcMar>
          </w:tcPr>
          <w:p>
            <w:pPr>
              <w:jc w:val="center"/>
            </w:pPr>
            <w:r>
              <w:rPr>
                <w:rFonts w:ascii="Times New Roman" w:hAnsi="Times New Roman"/>
                <w:b/>
                <w:color w:val="FFFFFF"/>
                <w:sz w:val="18"/>
              </w:rPr>
              <w:t>Ánh xạ Bước trong Bảng Đặc tả (Khớp 1-1)</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WF02-1</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Bộ chọn 3 Card Loại phòng (2, 4, 6 người)</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BF-02, BF-03 (Chọn phòng &amp; đơn giá)</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WF02-2</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8 Thanh trượt Slider thói quen sinh hoạt</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BF-04 (Nhập 8 thông số)</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WF02-3</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Dropdown chọn tiêu chí ưu tiên nhất (top)</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BF-05, BR-06 (Hệ số 1.5x)</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WF02-4</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3 Nút bấm nạp Persona (Thái Bảo, Việt, Quân)</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AF-01, AF-02 (Nạp nhanh mẫu)</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WF02-5</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Checkbox cam kết lưu trú tối thiểu 1 kỳ</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BF-06, BR-02 (Ràng buộc bắt buộc)</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WF02-6</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'Nộp hồ sơ xét duyệt KTX'</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BF-07, BF-08 (Lưu trạng thái Pending)</w:t>
            </w:r>
          </w:p>
        </w:tc>
      </w:tr>
    </w:tbl>
    <w:p>
      <w:pPr>
        <w:spacing w:before="0" w:after="200" w:line="276" w:lineRule="auto"/>
        <w:jc w:val="left"/>
      </w:pPr>
    </w:p>
    <w:p>
      <w:pPr>
        <w:spacing w:before="280" w:after="100" w:line="276" w:lineRule="auto"/>
        <w:jc w:val="left"/>
      </w:pPr>
      <w:r>
        <w:rPr>
          <w:rFonts w:ascii="Times New Roman" w:hAnsi="Times New Roman"/>
          <w:b/>
          <w:color w:val="1B365D"/>
          <w:sz w:val="27"/>
        </w:rPr>
        <w:t>5. ĐẶC TẢ CHI TIẾT USE CASE UC-03: PHÊ DUYỆT NGHIỆP VỤ ĐƠN ĐĂNG KÝ (BUSINESS APPROVE)</w:t>
      </w:r>
    </w:p>
    <w:p>
      <w:pPr>
        <w:spacing w:before="0" w:after="80" w:line="276" w:lineRule="auto"/>
        <w:jc w:val="left"/>
      </w:pPr>
      <w:r>
        <w:rPr>
          <w:rFonts w:ascii="Times New Roman" w:hAnsi="Times New Roman"/>
          <w:b w:val="0"/>
          <w:i w:val="0"/>
          <w:color w:val="1F2937"/>
          <w:sz w:val="22"/>
        </w:rPr>
        <w:t>• Phân loại Use Case: Use Case Nghiệp vụ (Theo ý Thầy) | Tác nhân chính: Ban quản lý KTX</w:t>
      </w:r>
    </w:p>
    <w:p>
      <w:pPr>
        <w:spacing w:before="0" w:after="80" w:line="276" w:lineRule="auto"/>
        <w:jc w:val="left"/>
      </w:pPr>
      <w:r>
        <w:rPr>
          <w:rFonts w:ascii="Times New Roman" w:hAnsi="Times New Roman"/>
          <w:b w:val="0"/>
          <w:i w:val="0"/>
          <w:color w:val="1F2937"/>
          <w:sz w:val="22"/>
        </w:rPr>
        <w:t>• Tiền điều kiện (Preconditions): Có hồ sơ đăng ký trạng thái Pending (UC-02).</w:t>
      </w:r>
    </w:p>
    <w:p>
      <w:pPr>
        <w:spacing w:before="0" w:after="80" w:line="276" w:lineRule="auto"/>
        <w:jc w:val="left"/>
      </w:pPr>
      <w:r>
        <w:rPr>
          <w:rFonts w:ascii="Times New Roman" w:hAnsi="Times New Roman"/>
          <w:b w:val="0"/>
          <w:i w:val="0"/>
          <w:color w:val="1F2937"/>
          <w:sz w:val="22"/>
        </w:rPr>
        <w:t>• Hậu điều kiện (Postconditions): Hồ sơ chuyển trạng thái Approved để chạy ghép phòng.</w:t>
      </w:r>
    </w:p>
    <w:p>
      <w:pPr>
        <w:spacing w:before="180" w:after="60" w:line="276" w:lineRule="auto"/>
        <w:jc w:val="left"/>
      </w:pPr>
      <w:r>
        <w:rPr>
          <w:rFonts w:ascii="Times New Roman" w:hAnsi="Times New Roman"/>
          <w:b/>
          <w:color w:val="2C5282"/>
          <w:sz w:val="24"/>
        </w:rPr>
        <w:t>5.1 Bảng Đặc tả Luồng sự kiện (BF, AF, EF) có References</w:t>
      </w:r>
    </w:p>
    <w:tbl>
      <w:tblPr>
        <w:tblW w:type="auto" w:w="0"/>
        <w:jc w:val="center"/>
        <w:tblLook w:firstColumn="1" w:firstRow="1" w:lastColumn="0" w:lastRow="0" w:noHBand="0" w:noVBand="1" w:val="04A0"/>
      </w:tblPr>
      <w:tblGrid>
        <w:gridCol w:w="1878"/>
        <w:gridCol w:w="1878"/>
        <w:gridCol w:w="1878"/>
        <w:gridCol w:w="1878"/>
        <w:gridCol w:w="1878"/>
      </w:tblGrid>
      <w:tr>
        <w:tc>
          <w:tcPr>
            <w:tcW w:type="dxa" w:w="864"/>
            <w:shd w:val="clear" w:color="auto" w:fill="1B365D"/>
            <w:tcMar>
              <w:top w:w="70" w:type="dxa"/>
              <w:bottom w:w="70" w:type="dxa"/>
              <w:left w:w="50" w:type="dxa"/>
              <w:right w:w="50" w:type="dxa"/>
            </w:tcMar>
          </w:tcPr>
          <w:p>
            <w:pPr>
              <w:jc w:val="center"/>
            </w:pPr>
            <w:r>
              <w:rPr>
                <w:rFonts w:ascii="Times New Roman" w:hAnsi="Times New Roman"/>
                <w:b/>
                <w:color w:val="FFFFFF"/>
                <w:sz w:val="18"/>
              </w:rPr>
              <w:t>Khối</w:t>
            </w:r>
          </w:p>
        </w:tc>
        <w:tc>
          <w:tcPr>
            <w:tcW w:type="dxa" w:w="1008"/>
            <w:shd w:val="clear" w:color="auto" w:fill="1B365D"/>
            <w:tcMar>
              <w:top w:w="70" w:type="dxa"/>
              <w:bottom w:w="70" w:type="dxa"/>
              <w:left w:w="50" w:type="dxa"/>
              <w:right w:w="50" w:type="dxa"/>
            </w:tcMar>
          </w:tcPr>
          <w:p>
            <w:pPr>
              <w:jc w:val="center"/>
            </w:pPr>
            <w:r>
              <w:rPr>
                <w:rFonts w:ascii="Times New Roman" w:hAnsi="Times New Roman"/>
                <w:b/>
                <w:color w:val="FFFFFF"/>
                <w:sz w:val="18"/>
              </w:rPr>
              <w:t>ID</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Tác nhân (Actor)</w:t>
            </w:r>
          </w:p>
        </w:tc>
        <w:tc>
          <w:tcPr>
            <w:tcW w:type="dxa" w:w="4608"/>
            <w:shd w:val="clear" w:color="auto" w:fill="1B365D"/>
            <w:tcMar>
              <w:top w:w="70" w:type="dxa"/>
              <w:bottom w:w="70" w:type="dxa"/>
              <w:left w:w="50" w:type="dxa"/>
              <w:right w:w="50" w:type="dxa"/>
            </w:tcMar>
          </w:tcPr>
          <w:p>
            <w:pPr>
              <w:jc w:val="center"/>
            </w:pPr>
            <w:r>
              <w:rPr>
                <w:rFonts w:ascii="Times New Roman" w:hAnsi="Times New Roman"/>
                <w:b/>
                <w:color w:val="FFFFFF"/>
                <w:sz w:val="18"/>
              </w:rPr>
              <w:t>Hành động chi tiết (Action)</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Tham chiếu (Ref)</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BF-01</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Cán bộ BQL</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Truy cập màn hình 'Phê duyệt Hồ sơ Đăng ký KTX'.</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Màn hình WF-03</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BF-02</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Hiển thị danh sách hồ sơ Pending kèm huy hiệu đối soát BR-01, BR-02.</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BR-01, BR-02, BR-03</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BF-03</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Cán bộ BQL</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Chọn xem chi tiết hồ sơ: SV trường A, diện chính sách, cam kết 1 kỳ.</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Thẩm định hồ sơ</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BF-04</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Cán bộ BQL</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Kiểm tra số giường trống còn lại của loại phòng sinh viên chọn.</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Quỹ phòng KTX</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BF-05</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Cán bộ BQL</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Nhấn nút 'Phê duyệt (Business Approve)'.</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BR-03 (Phê duyệt nghiệp vụ)</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BF-06</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Cập nhật trạng thái thành 'Approved', nạp vào hàng đợi Gale-Shapley.</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Chuyển tiếp UC-04</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BF-07</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Tự động gửi thông báo phê duyệt thành công qua email cho SV.</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Thông báo kết quả</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AF-01</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Cán bộ BQL</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Chọn chức năng 'Duyệt hàng loạt (Batch Approve)' cho SV hợp lệ.</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Tiện ích quản trị NFR-06</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AF-02</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Chuyển trạng thái Approved đồng loạt cho N hồ sơ chỉ 1 thao tác.</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Xử lý hàng loạt</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EF-01</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Cán bộ BQL</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Phát hiện SV vi phạm kỷ luật cũ hoặc hết chỗ: Nhấn 'Từ chối (Reject)'.</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Xử lý vi phạm</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EF-02</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Cập nhật hồ sơ thành 'Rejected', gửi email từ chối kèm lý do cho SV.</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Mã ERR_REG_REJECTED</w:t>
            </w:r>
          </w:p>
        </w:tc>
      </w:tr>
    </w:tbl>
    <w:p>
      <w:pPr>
        <w:spacing w:before="180" w:after="60" w:line="276" w:lineRule="auto"/>
        <w:jc w:val="left"/>
      </w:pPr>
      <w:r>
        <w:rPr>
          <w:rFonts w:ascii="Times New Roman" w:hAnsi="Times New Roman"/>
          <w:b/>
          <w:color w:val="2C5282"/>
          <w:sz w:val="24"/>
        </w:rPr>
        <w:t>5.2 Biểu đồ Tuần tự (Sequence Diagram) - Khớp 1-1 từng bước</w:t>
      </w:r>
    </w:p>
    <w:p>
      <w:pPr>
        <w:spacing w:before="0" w:after="80" w:line="276" w:lineRule="auto"/>
        <w:jc w:val="left"/>
      </w:pPr>
      <w:r>
        <w:rPr>
          <w:rFonts w:ascii="Times New Roman" w:hAnsi="Times New Roman"/>
          <w:b w:val="0"/>
          <w:i/>
          <w:color w:val="1F2937"/>
          <w:sz w:val="22"/>
        </w:rPr>
        <w:t>Sequence Flow Khớp 1-1:</w:t>
        <w:br/>
        <w:t>1. (BF-01) BQL KTX -&gt; UI Approve: Mở màn hình Duyệt đơn đăng ký</w:t>
        <w:br/>
        <w:t>2. (BF-02) UI Approve -&gt; Approve Engine: Lấy danh sách hồ sơ Pending</w:t>
        <w:br/>
        <w:t>3. (BF-02) Approve Engine -&gt; Database: Truy vấn đơn đăng ký</w:t>
        <w:br/>
        <w:t>4. (BF-02) Database -&gt; Approve Engine: Trả về danh sách kèm đối soát tự động (BR-01, BR-02)</w:t>
        <w:br/>
        <w:t>5. (BF-02) Approve Engine -&gt; UI Approve: Hiển thị bảng duyệt đơn</w:t>
        <w:br/>
        <w:t>6. (BF-03) BQL KTX -&gt; UI Approve: Chọn hồ sơ cần thẩm định</w:t>
        <w:br/>
        <w:t>7. (BF-04) BQL KTX -&gt; UI Approve: Kiểm tra hạn ngạch số giường trống</w:t>
        <w:br/>
        <w:t>[alt Phê duyệt hợp lệ]: 8. (BF-05) BQL -&gt; UI: Nhấn Business Approve -&gt; 9. (BF-06) UI -&gt; Engine: Cập nhật Approved -&gt; 10. (BF-06) Database: Lưu trạng thái Approved -&gt; 11. (BF-07) Email Service: Báo email cho SV</w:t>
        <w:br/>
        <w:t>[alt Từ chối]: 12. (EF-01) BQL -&gt; UI: Nhấn Reject kèm lý do -&gt; 13. (EF-02) Database: Lưu Rejected -&gt; 14. (EF-02) Email Service: Báo từ chối</w:t>
      </w:r>
    </w:p>
    <w:p>
      <w:pPr>
        <w:spacing w:before="180" w:after="60" w:line="276" w:lineRule="auto"/>
        <w:jc w:val="left"/>
      </w:pPr>
      <w:r>
        <w:rPr>
          <w:rFonts w:ascii="Times New Roman" w:hAnsi="Times New Roman"/>
          <w:b/>
          <w:color w:val="2C5282"/>
          <w:sz w:val="24"/>
        </w:rPr>
        <w:t>5.3 Đặc tả Bản vẽ Wireframe WF-03: Màn hình Quản trị Phê duyệt Đơn KTX</w:t>
      </w:r>
    </w:p>
    <w:p>
      <w:pPr>
        <w:pStyle w:val="ListBullet"/>
        <w:spacing w:before="0" w:after="50" w:line="276" w:lineRule="auto"/>
        <w:ind w:left="360"/>
      </w:pPr>
      <w:r>
        <w:rPr>
          <w:rFonts w:ascii="Times New Roman" w:hAnsi="Times New Roman"/>
          <w:b/>
          <w:color w:val="111827"/>
          <w:sz w:val="22"/>
        </w:rPr>
        <w:t xml:space="preserve">Nguyên tắc thiết kế: </w:t>
      </w:r>
      <w:r>
        <w:rPr>
          <w:rFonts w:ascii="Times New Roman" w:hAnsi="Times New Roman"/>
          <w:color w:val="374151"/>
          <w:sz w:val="22"/>
        </w:rPr>
        <w:t>Mọi thành phần giao diện trên Wireframe đều có trường dữ liệu tương ứng trong bảng đặc tả (Đặc tả trước, Design sau).</w:t>
      </w:r>
    </w:p>
    <w:tbl>
      <w:tblPr>
        <w:tblW w:type="auto" w:w="0"/>
        <w:jc w:val="center"/>
        <w:tblLook w:firstColumn="1" w:firstRow="1" w:lastColumn="0" w:lastRow="0" w:noHBand="0" w:noVBand="1" w:val="04A0"/>
      </w:tblPr>
      <w:tblGrid>
        <w:gridCol w:w="3130"/>
        <w:gridCol w:w="3130"/>
        <w:gridCol w:w="3130"/>
      </w:tblGrid>
      <w:tr>
        <w:tc>
          <w:tcPr>
            <w:tcW w:type="dxa" w:w="1728"/>
            <w:shd w:val="clear" w:color="auto" w:fill="2C5282"/>
            <w:tcMar>
              <w:top w:w="60" w:type="dxa"/>
              <w:bottom w:w="60" w:type="dxa"/>
              <w:left w:w="50" w:type="dxa"/>
              <w:right w:w="50" w:type="dxa"/>
            </w:tcMar>
          </w:tcPr>
          <w:p>
            <w:pPr>
              <w:jc w:val="center"/>
            </w:pPr>
            <w:r>
              <w:rPr>
                <w:rFonts w:ascii="Times New Roman" w:hAnsi="Times New Roman"/>
                <w:b/>
                <w:color w:val="FFFFFF"/>
                <w:sz w:val="18"/>
              </w:rPr>
              <w:t>Mã Thành phần</w:t>
            </w:r>
          </w:p>
        </w:tc>
        <w:tc>
          <w:tcPr>
            <w:tcW w:type="dxa" w:w="4320"/>
            <w:shd w:val="clear" w:color="auto" w:fill="2C5282"/>
            <w:tcMar>
              <w:top w:w="60" w:type="dxa"/>
              <w:bottom w:w="60" w:type="dxa"/>
              <w:left w:w="50" w:type="dxa"/>
              <w:right w:w="50" w:type="dxa"/>
            </w:tcMar>
          </w:tcPr>
          <w:p>
            <w:pPr>
              <w:jc w:val="center"/>
            </w:pPr>
            <w:r>
              <w:rPr>
                <w:rFonts w:ascii="Times New Roman" w:hAnsi="Times New Roman"/>
                <w:b/>
                <w:color w:val="FFFFFF"/>
                <w:sz w:val="18"/>
              </w:rPr>
              <w:t>Tên Phần tử trên Wireframe</w:t>
            </w:r>
          </w:p>
        </w:tc>
        <w:tc>
          <w:tcPr>
            <w:tcW w:type="dxa" w:w="4176"/>
            <w:shd w:val="clear" w:color="auto" w:fill="2C5282"/>
            <w:tcMar>
              <w:top w:w="60" w:type="dxa"/>
              <w:bottom w:w="60" w:type="dxa"/>
              <w:left w:w="50" w:type="dxa"/>
              <w:right w:w="50" w:type="dxa"/>
            </w:tcMar>
          </w:tcPr>
          <w:p>
            <w:pPr>
              <w:jc w:val="center"/>
            </w:pPr>
            <w:r>
              <w:rPr>
                <w:rFonts w:ascii="Times New Roman" w:hAnsi="Times New Roman"/>
                <w:b/>
                <w:color w:val="FFFFFF"/>
                <w:sz w:val="18"/>
              </w:rPr>
              <w:t>Ánh xạ Bước trong Bảng Đặc tả (Khớp 1-1)</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WF03-1</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Bảng danh sách hồ sơ đăng ký trạng thái Pending</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BF-02 (Hiển thị hồ sơ chờ duyệt)</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WF03-2</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Huy hiệu xanh đối soát: Đúng trường A &amp; Đủ cam kết</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BF-02, BR-01, BR-02 (Tự động kiểm tra)</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WF03-3</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Khối thông tin số giường trống khả dụng</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BF-04 (Kiểm tra quỹ phòng)</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WF03-4</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xanh 'Phê duyệt (Business Approve)'</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BF-05, BR-03 (Phê duyệt chính thức)</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WF03-5</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đỏ 'Từ chối (Reject)' kèm ô nhập lý do</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EF-01, EF-02 (Từ chối vi phạm)</w:t>
            </w:r>
          </w:p>
        </w:tc>
      </w:tr>
    </w:tbl>
    <w:p>
      <w:pPr>
        <w:spacing w:before="0" w:after="200" w:line="276" w:lineRule="auto"/>
        <w:jc w:val="left"/>
      </w:pPr>
    </w:p>
    <w:p>
      <w:pPr>
        <w:spacing w:before="280" w:after="100" w:line="276" w:lineRule="auto"/>
        <w:jc w:val="left"/>
      </w:pPr>
      <w:r>
        <w:rPr>
          <w:rFonts w:ascii="Times New Roman" w:hAnsi="Times New Roman"/>
          <w:b/>
          <w:color w:val="1B365D"/>
          <w:sz w:val="27"/>
        </w:rPr>
        <w:t>6. ĐẶC TẢ CHI TIẾT USE CASE UC-04: GHÉP PHÒNG GALE-SHAPLEY &amp; TỐI ƯU LỢI NHUẬN KTX</w:t>
      </w:r>
    </w:p>
    <w:p>
      <w:pPr>
        <w:spacing w:before="0" w:after="80" w:line="276" w:lineRule="auto"/>
        <w:jc w:val="left"/>
      </w:pPr>
      <w:r>
        <w:rPr>
          <w:rFonts w:ascii="Times New Roman" w:hAnsi="Times New Roman"/>
          <w:b w:val="0"/>
          <w:i w:val="0"/>
          <w:color w:val="1F2937"/>
          <w:sz w:val="22"/>
        </w:rPr>
        <w:t>• Phân loại Use Case: Use Case Nghiệp vụ Cốt lõi | Tác nhân chính: Ban quản lý KTX</w:t>
      </w:r>
    </w:p>
    <w:p>
      <w:pPr>
        <w:spacing w:before="0" w:after="80" w:line="276" w:lineRule="auto"/>
        <w:jc w:val="left"/>
      </w:pPr>
      <w:r>
        <w:rPr>
          <w:rFonts w:ascii="Times New Roman" w:hAnsi="Times New Roman"/>
          <w:b w:val="0"/>
          <w:i w:val="0"/>
          <w:color w:val="1F2937"/>
          <w:sz w:val="22"/>
        </w:rPr>
        <w:t>• Tiền điều kiện (Preconditions): Danh sách SV đã Approved và danh mục phòng sẵn sàng.</w:t>
      </w:r>
    </w:p>
    <w:p>
      <w:pPr>
        <w:spacing w:before="0" w:after="80" w:line="276" w:lineRule="auto"/>
        <w:jc w:val="left"/>
      </w:pPr>
      <w:r>
        <w:rPr>
          <w:rFonts w:ascii="Times New Roman" w:hAnsi="Times New Roman"/>
          <w:b w:val="0"/>
          <w:i w:val="0"/>
          <w:color w:val="1F2937"/>
          <w:sz w:val="22"/>
        </w:rPr>
        <w:t>• Hậu điều kiện (Postconditions): Sinh viên được phân phòng với 0 cặp chặn, lấp đầy tối đa.</w:t>
      </w:r>
    </w:p>
    <w:p>
      <w:pPr>
        <w:spacing w:before="180" w:after="60" w:line="276" w:lineRule="auto"/>
        <w:jc w:val="left"/>
      </w:pPr>
      <w:r>
        <w:rPr>
          <w:rFonts w:ascii="Times New Roman" w:hAnsi="Times New Roman"/>
          <w:b/>
          <w:color w:val="2C5282"/>
          <w:sz w:val="24"/>
        </w:rPr>
        <w:t>6.1 Bảng Đặc tả Luồng sự kiện (BF, AF, EF) có References</w:t>
      </w:r>
    </w:p>
    <w:tbl>
      <w:tblPr>
        <w:tblW w:type="auto" w:w="0"/>
        <w:jc w:val="center"/>
        <w:tblLook w:firstColumn="1" w:firstRow="1" w:lastColumn="0" w:lastRow="0" w:noHBand="0" w:noVBand="1" w:val="04A0"/>
      </w:tblPr>
      <w:tblGrid>
        <w:gridCol w:w="1878"/>
        <w:gridCol w:w="1878"/>
        <w:gridCol w:w="1878"/>
        <w:gridCol w:w="1878"/>
        <w:gridCol w:w="1878"/>
      </w:tblGrid>
      <w:tr>
        <w:tc>
          <w:tcPr>
            <w:tcW w:type="dxa" w:w="864"/>
            <w:shd w:val="clear" w:color="auto" w:fill="1B365D"/>
            <w:tcMar>
              <w:top w:w="70" w:type="dxa"/>
              <w:bottom w:w="70" w:type="dxa"/>
              <w:left w:w="50" w:type="dxa"/>
              <w:right w:w="50" w:type="dxa"/>
            </w:tcMar>
          </w:tcPr>
          <w:p>
            <w:pPr>
              <w:jc w:val="center"/>
            </w:pPr>
            <w:r>
              <w:rPr>
                <w:rFonts w:ascii="Times New Roman" w:hAnsi="Times New Roman"/>
                <w:b/>
                <w:color w:val="FFFFFF"/>
                <w:sz w:val="18"/>
              </w:rPr>
              <w:t>Khối</w:t>
            </w:r>
          </w:p>
        </w:tc>
        <w:tc>
          <w:tcPr>
            <w:tcW w:type="dxa" w:w="1008"/>
            <w:shd w:val="clear" w:color="auto" w:fill="1B365D"/>
            <w:tcMar>
              <w:top w:w="70" w:type="dxa"/>
              <w:bottom w:w="70" w:type="dxa"/>
              <w:left w:w="50" w:type="dxa"/>
              <w:right w:w="50" w:type="dxa"/>
            </w:tcMar>
          </w:tcPr>
          <w:p>
            <w:pPr>
              <w:jc w:val="center"/>
            </w:pPr>
            <w:r>
              <w:rPr>
                <w:rFonts w:ascii="Times New Roman" w:hAnsi="Times New Roman"/>
                <w:b/>
                <w:color w:val="FFFFFF"/>
                <w:sz w:val="18"/>
              </w:rPr>
              <w:t>ID</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Tác nhân (Actor)</w:t>
            </w:r>
          </w:p>
        </w:tc>
        <w:tc>
          <w:tcPr>
            <w:tcW w:type="dxa" w:w="4608"/>
            <w:shd w:val="clear" w:color="auto" w:fill="1B365D"/>
            <w:tcMar>
              <w:top w:w="70" w:type="dxa"/>
              <w:bottom w:w="70" w:type="dxa"/>
              <w:left w:w="50" w:type="dxa"/>
              <w:right w:w="50" w:type="dxa"/>
            </w:tcMar>
          </w:tcPr>
          <w:p>
            <w:pPr>
              <w:jc w:val="center"/>
            </w:pPr>
            <w:r>
              <w:rPr>
                <w:rFonts w:ascii="Times New Roman" w:hAnsi="Times New Roman"/>
                <w:b/>
                <w:color w:val="FFFFFF"/>
                <w:sz w:val="18"/>
              </w:rPr>
              <w:t>Hành động chi tiết (Action)</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Tham chiếu (Ref)</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BF-01</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Quản trị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Truy cập Tab Ghép phòng và nhấn 'Khởi chạy Phân phòng Tự động'.</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Màn hình WF-04</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BF-02</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Lọc sinh viên Approved theo giới tính và nguyện vọng loại phòng (2, 4, 6).</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BR-05 (Phân nhóm theo loại phòng)</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BF-03</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Tính toán ma trận điểm 2 chiều M[x][y] có xét tiêu chí top 1.5x.</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BR-06, NFR-01 (&lt; 1.0s)</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BF-04</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Sắp xếp danh sách ưu tiên pref_a, pref_b giảm dần theo điểm số.</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Chuẩn bị Gale-Shapley</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BF-05</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Thực thi giải thuật gale_shapley hoãn chấp nhận (Deferred Acceptance).</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matching.py, NFR-01</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BF-06</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Gộp các cặp tương thích cao thành phòng 4 qua merge_pairs_into_rooms.</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NFR-05 (Gộp phòng 4)</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BF-07</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Quét kiểm tra toàn bộ phép ghép, chứng minh số cặp chặn bằng 0.</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BR-07, NFR-02 (0 Blocking Pairs)</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BF-08</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Gán phòng: Ưu tiên lấp đầy 100% giường từng phòng để tối ưu chi phí.</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BR-05 (Tối ưu lợi nhuận KTX)</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BF-09</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Hiển thị bảng kết quả phân phòng, chứng chỉ Blocking Pairs = 0.</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Hoàn tất phân phòng</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AF-01</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Quản trị viên</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BQL nhấn nút 'Chạy Benchmark NFR-01' đo thời gian quy mô 100-1000 SV.</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NFR-01 Benchmark</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EF-01</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Lệch sĩ số lẻ nhóm A/B: Ghép tối đa, SV dư được đưa vào Waitlist đợt 2.</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NFR-04 Xử lý lệch sĩ số</w:t>
            </w:r>
          </w:p>
        </w:tc>
      </w:tr>
    </w:tbl>
    <w:p>
      <w:pPr>
        <w:spacing w:before="180" w:after="60" w:line="276" w:lineRule="auto"/>
        <w:jc w:val="left"/>
      </w:pPr>
      <w:r>
        <w:rPr>
          <w:rFonts w:ascii="Times New Roman" w:hAnsi="Times New Roman"/>
          <w:b/>
          <w:color w:val="2C5282"/>
          <w:sz w:val="24"/>
        </w:rPr>
        <w:t>6.2 Biểu đồ Tuần tự (Sequence Diagram) - Khớp 1-1 từng bước</w:t>
      </w:r>
    </w:p>
    <w:p>
      <w:pPr>
        <w:spacing w:before="0" w:after="80" w:line="276" w:lineRule="auto"/>
        <w:jc w:val="left"/>
      </w:pPr>
      <w:r>
        <w:rPr>
          <w:rFonts w:ascii="Times New Roman" w:hAnsi="Times New Roman"/>
          <w:b w:val="0"/>
          <w:i/>
          <w:color w:val="1F2937"/>
          <w:sz w:val="22"/>
        </w:rPr>
        <w:t>Sequence Flow Khớp 1-1:</w:t>
        <w:br/>
        <w:t>1. (BF-01) BQL KTX -&gt; UI Match: Nhấn Khởi chạy Phân phòng</w:t>
        <w:br/>
        <w:t>2. (BF-02) UI Match -&gt; Gale-Shapley Engine: Kích hoạt thuật toán cho SV Approved</w:t>
        <w:br/>
        <w:t>3. (BF-02) Gale-Shapley Engine -&gt; Database: Lấy danh sách SV theo phân khúc loại phòng</w:t>
        <w:br/>
        <w:t>4. (BF-03) Gale-Shapley Engine -&gt; Scoring Engine: Tính ma trận điểm M[i][j] (Ref: BR-06)</w:t>
        <w:br/>
        <w:t>5. (BF-03) Scoring Engine -&gt; Gale-Shapley Engine: Trả về ma trận điểm (&lt; 1s, NFR-01)</w:t>
        <w:br/>
        <w:t>6. (BF-04) Gale-Shapley Engine: Xây dựng pref_a, pref_b</w:t>
        <w:br/>
        <w:t>7. (BF-05) Gale-Shapley Engine: Chạy thuật toán Gale-Shapley</w:t>
        <w:br/>
        <w:t>[opt Phòng 4 người]: 8. (BF-06) Engine: Gộp phòng 4 người bằng merge_pairs_into_rooms (Ref: NFR-05)</w:t>
        <w:br/>
        <w:t>9. (BF-07) Engine: Quét kiểm chứng 0 Blocking Pairs (Ref: BR-07, NFR-02)</w:t>
        <w:br/>
        <w:t>10. (BF-08) Engine -&gt; Room Allocator: Tối ưu lấp đầy 100% giường từng phòng (Ref: BR-05, Lợi nhuận KTX)</w:t>
        <w:br/>
        <w:t>11. (BF-08) Room Allocator -&gt; Database: Lưu bảng phân phòng chính thức</w:t>
        <w:br/>
        <w:t>12. (BF-09) Engine -&gt; UI Match: Trả về bảng kết quả (0 Cặp chặn, Tỷ lệ lấp đầy, Nút tải CSV)</w:t>
      </w:r>
    </w:p>
    <w:p>
      <w:pPr>
        <w:spacing w:before="180" w:after="60" w:line="276" w:lineRule="auto"/>
        <w:jc w:val="left"/>
      </w:pPr>
      <w:r>
        <w:rPr>
          <w:rFonts w:ascii="Times New Roman" w:hAnsi="Times New Roman"/>
          <w:b/>
          <w:color w:val="2C5282"/>
          <w:sz w:val="24"/>
        </w:rPr>
        <w:t>6.3 Đặc tả Bản vẽ Wireframe WF-04: Bảng điều khiển Phân phòng &amp; Quản trị Lợi nhuận</w:t>
      </w:r>
    </w:p>
    <w:p>
      <w:pPr>
        <w:pStyle w:val="ListBullet"/>
        <w:spacing w:before="0" w:after="50" w:line="276" w:lineRule="auto"/>
        <w:ind w:left="360"/>
      </w:pPr>
      <w:r>
        <w:rPr>
          <w:rFonts w:ascii="Times New Roman" w:hAnsi="Times New Roman"/>
          <w:b/>
          <w:color w:val="111827"/>
          <w:sz w:val="22"/>
        </w:rPr>
        <w:t xml:space="preserve">Nguyên tắc thiết kế: </w:t>
      </w:r>
      <w:r>
        <w:rPr>
          <w:rFonts w:ascii="Times New Roman" w:hAnsi="Times New Roman"/>
          <w:color w:val="374151"/>
          <w:sz w:val="22"/>
        </w:rPr>
        <w:t>Mọi thành phần giao diện trên Wireframe đều có trường dữ liệu tương ứng trong bảng đặc tả (Đặc tả trước, Design sau).</w:t>
      </w:r>
    </w:p>
    <w:tbl>
      <w:tblPr>
        <w:tblW w:type="auto" w:w="0"/>
        <w:jc w:val="center"/>
        <w:tblLook w:firstColumn="1" w:firstRow="1" w:lastColumn="0" w:lastRow="0" w:noHBand="0" w:noVBand="1" w:val="04A0"/>
      </w:tblPr>
      <w:tblGrid>
        <w:gridCol w:w="3130"/>
        <w:gridCol w:w="3130"/>
        <w:gridCol w:w="3130"/>
      </w:tblGrid>
      <w:tr>
        <w:tc>
          <w:tcPr>
            <w:tcW w:type="dxa" w:w="1728"/>
            <w:shd w:val="clear" w:color="auto" w:fill="2C5282"/>
            <w:tcMar>
              <w:top w:w="60" w:type="dxa"/>
              <w:bottom w:w="60" w:type="dxa"/>
              <w:left w:w="50" w:type="dxa"/>
              <w:right w:w="50" w:type="dxa"/>
            </w:tcMar>
          </w:tcPr>
          <w:p>
            <w:pPr>
              <w:jc w:val="center"/>
            </w:pPr>
            <w:r>
              <w:rPr>
                <w:rFonts w:ascii="Times New Roman" w:hAnsi="Times New Roman"/>
                <w:b/>
                <w:color w:val="FFFFFF"/>
                <w:sz w:val="18"/>
              </w:rPr>
              <w:t>Mã Thành phần</w:t>
            </w:r>
          </w:p>
        </w:tc>
        <w:tc>
          <w:tcPr>
            <w:tcW w:type="dxa" w:w="4320"/>
            <w:shd w:val="clear" w:color="auto" w:fill="2C5282"/>
            <w:tcMar>
              <w:top w:w="60" w:type="dxa"/>
              <w:bottom w:w="60" w:type="dxa"/>
              <w:left w:w="50" w:type="dxa"/>
              <w:right w:w="50" w:type="dxa"/>
            </w:tcMar>
          </w:tcPr>
          <w:p>
            <w:pPr>
              <w:jc w:val="center"/>
            </w:pPr>
            <w:r>
              <w:rPr>
                <w:rFonts w:ascii="Times New Roman" w:hAnsi="Times New Roman"/>
                <w:b/>
                <w:color w:val="FFFFFF"/>
                <w:sz w:val="18"/>
              </w:rPr>
              <w:t>Tên Phần tử trên Wireframe</w:t>
            </w:r>
          </w:p>
        </w:tc>
        <w:tc>
          <w:tcPr>
            <w:tcW w:type="dxa" w:w="4176"/>
            <w:shd w:val="clear" w:color="auto" w:fill="2C5282"/>
            <w:tcMar>
              <w:top w:w="60" w:type="dxa"/>
              <w:bottom w:w="60" w:type="dxa"/>
              <w:left w:w="50" w:type="dxa"/>
              <w:right w:w="50" w:type="dxa"/>
            </w:tcMar>
          </w:tcPr>
          <w:p>
            <w:pPr>
              <w:jc w:val="center"/>
            </w:pPr>
            <w:r>
              <w:rPr>
                <w:rFonts w:ascii="Times New Roman" w:hAnsi="Times New Roman"/>
                <w:b/>
                <w:color w:val="FFFFFF"/>
                <w:sz w:val="18"/>
              </w:rPr>
              <w:t>Ánh xạ Bước trong Bảng Đặc tả (Khớp 1-1)</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WF04-1</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'Khởi chạy Phân phòng Tự động'</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BF-01 (Kích hoạt thuật toán)</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WF04-2</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Bảng danh sách phân phòng chính thức (Phòng 2 &amp; 4)</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BF-06, BF-09 (Kết quả phân phòng)</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WF04-3</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Huy hiệu Chứng chỉ Blocking Pairs = 0</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BF-07, BR-07, NFR-02 (Ổn định toán học)</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WF04-4</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Widget thống kê Tỷ lệ Lấp đầy Phòng (Occupancy Rate)</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BF-08, BR-05 (Tối ưu lợi nhuận)</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WF04-5</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Biểu đồ Doanh thu, Chi phí vận hành và Lợi nhuận ròng</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yêu cầu của Thầy về quản lý lợi nhuận</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WF04-6</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'Tải danh sách phân phòng (CSV)'</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BF-09, Extend UC-25</w:t>
            </w:r>
          </w:p>
        </w:tc>
      </w:tr>
    </w:tbl>
    <w:p>
      <w:pPr>
        <w:spacing w:before="0" w:after="200" w:line="276" w:lineRule="auto"/>
        <w:jc w:val="left"/>
      </w:pPr>
    </w:p>
    <w:p>
      <w:pPr>
        <w:spacing w:before="280" w:after="100" w:line="276" w:lineRule="auto"/>
        <w:jc w:val="left"/>
      </w:pPr>
      <w:r>
        <w:rPr>
          <w:rFonts w:ascii="Times New Roman" w:hAnsi="Times New Roman"/>
          <w:b/>
          <w:color w:val="1B365D"/>
          <w:sz w:val="27"/>
        </w:rPr>
        <w:t>7. ĐẶC TẢ CHI TIẾT USE CASE UC-05: THANH TOÁN TIỀN PHÒNG KỲ 1 &amp; ĐẶT CỌC GIỮ CHỖ (HẠN 72H)</w:t>
      </w:r>
    </w:p>
    <w:p>
      <w:pPr>
        <w:spacing w:before="0" w:after="80" w:line="276" w:lineRule="auto"/>
        <w:jc w:val="left"/>
      </w:pPr>
      <w:r>
        <w:rPr>
          <w:rFonts w:ascii="Times New Roman" w:hAnsi="Times New Roman"/>
          <w:b w:val="0"/>
          <w:i w:val="0"/>
          <w:color w:val="1F2937"/>
          <w:sz w:val="22"/>
        </w:rPr>
        <w:t>• Phân loại Use Case: Use Case Nghiệp vụ (Theo ý Thầy) | Tác nhân chính: Sinh viên nội trú</w:t>
      </w:r>
    </w:p>
    <w:p>
      <w:pPr>
        <w:spacing w:before="0" w:after="80" w:line="276" w:lineRule="auto"/>
        <w:jc w:val="left"/>
      </w:pPr>
      <w:r>
        <w:rPr>
          <w:rFonts w:ascii="Times New Roman" w:hAnsi="Times New Roman"/>
          <w:b w:val="0"/>
          <w:i w:val="0"/>
          <w:color w:val="1F2937"/>
          <w:sz w:val="22"/>
        </w:rPr>
        <w:t>• Tiền điều kiện (Preconditions): Sinh viên đã có kết quả phân phòng từ UC-04.</w:t>
      </w:r>
    </w:p>
    <w:p>
      <w:pPr>
        <w:spacing w:before="0" w:after="80" w:line="276" w:lineRule="auto"/>
        <w:jc w:val="left"/>
      </w:pPr>
      <w:r>
        <w:rPr>
          <w:rFonts w:ascii="Times New Roman" w:hAnsi="Times New Roman"/>
          <w:b w:val="0"/>
          <w:i w:val="0"/>
          <w:color w:val="1F2937"/>
          <w:sz w:val="22"/>
        </w:rPr>
        <w:t>• Hậu điều kiện (Postconditions): Xác nhận Paid, cấp hợp đồng lưu trú và thẻ phòng chính thức.</w:t>
      </w:r>
    </w:p>
    <w:p>
      <w:pPr>
        <w:spacing w:before="180" w:after="60" w:line="276" w:lineRule="auto"/>
        <w:jc w:val="left"/>
      </w:pPr>
      <w:r>
        <w:rPr>
          <w:rFonts w:ascii="Times New Roman" w:hAnsi="Times New Roman"/>
          <w:b/>
          <w:color w:val="2C5282"/>
          <w:sz w:val="24"/>
        </w:rPr>
        <w:t>7.1 Bảng Đặc tả Luồng sự kiện (BF, AF, EF) có References</w:t>
      </w:r>
    </w:p>
    <w:tbl>
      <w:tblPr>
        <w:tblW w:type="auto" w:w="0"/>
        <w:jc w:val="center"/>
        <w:tblLook w:firstColumn="1" w:firstRow="1" w:lastColumn="0" w:lastRow="0" w:noHBand="0" w:noVBand="1" w:val="04A0"/>
      </w:tblPr>
      <w:tblGrid>
        <w:gridCol w:w="1878"/>
        <w:gridCol w:w="1878"/>
        <w:gridCol w:w="1878"/>
        <w:gridCol w:w="1878"/>
        <w:gridCol w:w="1878"/>
      </w:tblGrid>
      <w:tr>
        <w:tc>
          <w:tcPr>
            <w:tcW w:type="dxa" w:w="864"/>
            <w:shd w:val="clear" w:color="auto" w:fill="1B365D"/>
            <w:tcMar>
              <w:top w:w="70" w:type="dxa"/>
              <w:bottom w:w="70" w:type="dxa"/>
              <w:left w:w="50" w:type="dxa"/>
              <w:right w:w="50" w:type="dxa"/>
            </w:tcMar>
          </w:tcPr>
          <w:p>
            <w:pPr>
              <w:jc w:val="center"/>
            </w:pPr>
            <w:r>
              <w:rPr>
                <w:rFonts w:ascii="Times New Roman" w:hAnsi="Times New Roman"/>
                <w:b/>
                <w:color w:val="FFFFFF"/>
                <w:sz w:val="18"/>
              </w:rPr>
              <w:t>Khối</w:t>
            </w:r>
          </w:p>
        </w:tc>
        <w:tc>
          <w:tcPr>
            <w:tcW w:type="dxa" w:w="1008"/>
            <w:shd w:val="clear" w:color="auto" w:fill="1B365D"/>
            <w:tcMar>
              <w:top w:w="70" w:type="dxa"/>
              <w:bottom w:w="70" w:type="dxa"/>
              <w:left w:w="50" w:type="dxa"/>
              <w:right w:w="50" w:type="dxa"/>
            </w:tcMar>
          </w:tcPr>
          <w:p>
            <w:pPr>
              <w:jc w:val="center"/>
            </w:pPr>
            <w:r>
              <w:rPr>
                <w:rFonts w:ascii="Times New Roman" w:hAnsi="Times New Roman"/>
                <w:b/>
                <w:color w:val="FFFFFF"/>
                <w:sz w:val="18"/>
              </w:rPr>
              <w:t>ID</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Tác nhân (Actor)</w:t>
            </w:r>
          </w:p>
        </w:tc>
        <w:tc>
          <w:tcPr>
            <w:tcW w:type="dxa" w:w="4608"/>
            <w:shd w:val="clear" w:color="auto" w:fill="1B365D"/>
            <w:tcMar>
              <w:top w:w="70" w:type="dxa"/>
              <w:bottom w:w="70" w:type="dxa"/>
              <w:left w:w="50" w:type="dxa"/>
              <w:right w:w="50" w:type="dxa"/>
            </w:tcMar>
          </w:tcPr>
          <w:p>
            <w:pPr>
              <w:jc w:val="center"/>
            </w:pPr>
            <w:r>
              <w:rPr>
                <w:rFonts w:ascii="Times New Roman" w:hAnsi="Times New Roman"/>
                <w:b/>
                <w:color w:val="FFFFFF"/>
                <w:sz w:val="18"/>
              </w:rPr>
              <w:t>Hành động chi tiết (Action)</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Tham chiếu (Ref)</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BF-01</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Nhận thông báo trúng tuyển phòng và mở màn hình 'Thanh toán &amp; Đặt cọc'.</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Màn hình WF-05</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BF-02</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Hiển thị bảng kê chi phí: Tiền phòng kỳ 1 (7tr) + Tiền cọc (1tr) = 8.000.000 đ.</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BR-04 (Cọc 1tr, hạn 72h)</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BF-03</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Kích hoạt đồng hồ đếm ngược thời hạn thanh toán chính xác 72 giờ.</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Ràng buộc thời gian BR-04</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BF-04</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Chọn phương thức thanh toán Cổng VNPay (quét mã VNPAY-QR).</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Include UC-20</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BF-05</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Khởi tạo đơn hàng thanh toán bảo mật, chuyển hướng sang cổng VNPay.</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NFR-03 (Mã hóa TLS 1.3)</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BF-06</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Quét mã QR trên App Mobile Banking và xác thực OTP chuyển tiền.</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Thao tác người dùng</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BF-07</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Cổng VNPay</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Xử lý trừ tiền an toàn, gửi callback vnp_ResponseCode == 00 (SUCCESS).</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Xác thực giao dịch</w:t>
            </w:r>
          </w:p>
        </w:tc>
      </w:tr>
      <w:tr>
        <w:tc>
          <w:tcPr>
            <w:tcW w:type="dxa" w:w="864"/>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0FDF4"/>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BF-08</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Cập nhật trạng thái hợp đồng thành 'Paid', khóa phòng chính thức.</w:t>
            </w:r>
          </w:p>
        </w:tc>
        <w:tc>
          <w:tcPr>
            <w:tcW w:type="dxa" w:w="1872"/>
            <w:shd w:val="clear" w:color="auto" w:fill="F0FDF4"/>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Chốt giữ chỗ 100%</w:t>
            </w:r>
          </w:p>
        </w:tc>
      </w:tr>
      <w:tr>
        <w:tc>
          <w:tcPr>
            <w:tcW w:type="dxa" w:w="864"/>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7"/>
              </w:rPr>
              <w:t>BF</w:t>
            </w:r>
          </w:p>
        </w:tc>
        <w:tc>
          <w:tcPr>
            <w:tcW w:type="dxa" w:w="100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BF-09</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Tự động phát hành Biên lai điện tử và link tải Hợp đồng lưu trú có mã QR.</w:t>
            </w:r>
          </w:p>
        </w:tc>
        <w:tc>
          <w:tcPr>
            <w:tcW w:type="dxa" w:w="1872"/>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Ký hợp đồng số UC-22</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AF-01</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Sinh viên</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Chọn phương thức nộp tiền mặt trực tiếp tại Thu ngân KTX.</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Phương thức phụ</w:t>
            </w:r>
          </w:p>
        </w:tc>
      </w:tr>
      <w:tr>
        <w:tc>
          <w:tcPr>
            <w:tcW w:type="dxa" w:w="864"/>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7E22CE"/>
                <w:sz w:val="17"/>
              </w:rPr>
              <w:t>AF</w:t>
            </w:r>
          </w:p>
        </w:tc>
        <w:tc>
          <w:tcPr>
            <w:tcW w:type="dxa" w:w="1008"/>
            <w:shd w:val="clear" w:color="auto" w:fill="FAF5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AF-02</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Cán bộ BQL</w:t>
            </w:r>
          </w:p>
        </w:tc>
        <w:tc>
          <w:tcPr>
            <w:tcW w:type="dxa" w:w="4608"/>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Thu ngân nhận tiền, bấm nút xác nhận giao dịch trên hệ thống quản trị.</w:t>
            </w:r>
          </w:p>
        </w:tc>
        <w:tc>
          <w:tcPr>
            <w:tcW w:type="dxa" w:w="1872"/>
            <w:shd w:val="clear" w:color="auto" w:fill="FAF5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Đối soát thủ công</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EF-01</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Hệ thống</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Quá 72h không thanh toán: Quét tự động hủy giữ chỗ, chuyển sang Waitlist.</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Mã ERR_PAYMENT_TIMEOUT, BR-04</w:t>
            </w:r>
          </w:p>
        </w:tc>
      </w:tr>
      <w:tr>
        <w:tc>
          <w:tcPr>
            <w:tcW w:type="dxa" w:w="864"/>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991B1B"/>
                <w:sz w:val="17"/>
              </w:rPr>
              <w:t>EF</w:t>
            </w:r>
          </w:p>
        </w:tc>
        <w:tc>
          <w:tcPr>
            <w:tcW w:type="dxa" w:w="1008"/>
            <w:shd w:val="clear" w:color="auto" w:fill="FEF2F2"/>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0F172A"/>
                <w:sz w:val="17"/>
              </w:rPr>
              <w:t>EF-02</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Cổng VNPay</w:t>
            </w:r>
          </w:p>
        </w:tc>
        <w:tc>
          <w:tcPr>
            <w:tcW w:type="dxa" w:w="4608"/>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Tài khoản không đủ số dư: Báo lỗi FAILED, cho phép quét lại mã QR.</w:t>
            </w:r>
          </w:p>
        </w:tc>
        <w:tc>
          <w:tcPr>
            <w:tcW w:type="dxa" w:w="1872"/>
            <w:shd w:val="clear" w:color="auto" w:fill="FEF2F2"/>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E40AF"/>
                <w:sz w:val="17"/>
              </w:rPr>
              <w:t>Mã ERR_INSUFFICIENT_FUNDS</w:t>
            </w:r>
          </w:p>
        </w:tc>
      </w:tr>
    </w:tbl>
    <w:p>
      <w:pPr>
        <w:spacing w:before="180" w:after="60" w:line="276" w:lineRule="auto"/>
        <w:jc w:val="left"/>
      </w:pPr>
      <w:r>
        <w:rPr>
          <w:rFonts w:ascii="Times New Roman" w:hAnsi="Times New Roman"/>
          <w:b/>
          <w:color w:val="2C5282"/>
          <w:sz w:val="24"/>
        </w:rPr>
        <w:t>7.2 Biểu đồ Tuần tự (Sequence Diagram) - Khớp 1-1 từng bước</w:t>
      </w:r>
    </w:p>
    <w:p>
      <w:pPr>
        <w:spacing w:before="0" w:after="80" w:line="276" w:lineRule="auto"/>
        <w:jc w:val="left"/>
      </w:pPr>
      <w:r>
        <w:rPr>
          <w:rFonts w:ascii="Times New Roman" w:hAnsi="Times New Roman"/>
          <w:b w:val="0"/>
          <w:i/>
          <w:color w:val="1F2937"/>
          <w:sz w:val="22"/>
        </w:rPr>
        <w:t>Sequence Flow Khớp 1-1:</w:t>
        <w:br/>
        <w:t>1. (BF-01) Sinh viên -&gt; UI Payment: Mở trang Thanh toán &amp; Đặt cọc</w:t>
        <w:br/>
        <w:t>2. (BF-02) UI Payment -&gt; Payment Service: Lấy bảng kê chi phí nội trú kỳ 1</w:t>
        <w:br/>
        <w:t>3. (BF-02) Payment Service -&gt; UI: Bảng kê chi phí (7tr tiền phòng + 1tr tiền cọc, Ref: BR-04)</w:t>
        <w:br/>
        <w:t>4. (BF-03) UI Payment: Kích hoạt đồng hồ đếm ngược 72 giờ (Ref: BR-04)</w:t>
        <w:br/>
        <w:t>5. (BF-04) Sinh viên -&gt; UI Payment: Chọn thanh toán VNPAY-QR</w:t>
        <w:br/>
        <w:t>6. (BF-05) UI Payment -&gt; Payment Service: Tạo phiên thanh toán bảo mật (NFR-03)</w:t>
        <w:br/>
        <w:t>7. (BF-05) Payment Service -&gt; Cổng VNPay: Gửi đơn hàng 8.000.000 VNĐ</w:t>
        <w:br/>
        <w:t>8. (BF-05) Cổng VNPay -&gt; UI: Trả về mã VNPAY-QR động</w:t>
        <w:br/>
        <w:t>9. (BF-06) Sinh viên -&gt; Cổng VNPay: Quét mã QR và xác thực thanh toán</w:t>
        <w:br/>
        <w:t>[alt Thành công trong hạn 72h]: 10. (BF-07) VNPay -&gt; Payment Service: Báo SUCCESS (vnp_ResponseCode = 00) -&gt; 11. (BF-08) Payment Service -&gt; Database: Cập nhật trạng thái 'Paid' -&gt; 12. (BF-09) Contract Service: Sinh Biên lai điện tử &amp; Hợp đồng KTX có mã QR -&gt; 13. (BF-09) UI -&gt; SV: Cấp thẻ phòng chính thức</w:t>
        <w:br/>
        <w:t>[alt Quá hạn 72h]: 14. (EF-01) Hệ thống -&gt; Database: Quét quá hạn: Hủy phân phòng, thu hồi giường trống (Ref: BR-04) -&gt; 15. (EF-01) UI -&gt; SV: Thông báo hồ sơ bị hủy do quá hạn</w:t>
        <w:br/>
        <w:t>[alt Lỗi ngân hàng / Không đủ tiền]: 16. (EF-02) VNPay -&gt; UI: Báo FAILED, cho phép thử lại phương thức khác</w:t>
      </w:r>
    </w:p>
    <w:p>
      <w:pPr>
        <w:spacing w:before="180" w:after="60" w:line="276" w:lineRule="auto"/>
        <w:jc w:val="left"/>
      </w:pPr>
      <w:r>
        <w:rPr>
          <w:rFonts w:ascii="Times New Roman" w:hAnsi="Times New Roman"/>
          <w:b/>
          <w:color w:val="2C5282"/>
          <w:sz w:val="24"/>
        </w:rPr>
        <w:t>7.3 Đặc tả Bản vẽ Wireframe WF-05: Màn hình Thanh toán Tiền phòng &amp; Đặt cọc 72h</w:t>
      </w:r>
    </w:p>
    <w:p>
      <w:pPr>
        <w:pStyle w:val="ListBullet"/>
        <w:spacing w:before="0" w:after="50" w:line="276" w:lineRule="auto"/>
        <w:ind w:left="360"/>
      </w:pPr>
      <w:r>
        <w:rPr>
          <w:rFonts w:ascii="Times New Roman" w:hAnsi="Times New Roman"/>
          <w:b/>
          <w:color w:val="111827"/>
          <w:sz w:val="22"/>
        </w:rPr>
        <w:t xml:space="preserve">Nguyên tắc thiết kế: </w:t>
      </w:r>
      <w:r>
        <w:rPr>
          <w:rFonts w:ascii="Times New Roman" w:hAnsi="Times New Roman"/>
          <w:color w:val="374151"/>
          <w:sz w:val="22"/>
        </w:rPr>
        <w:t>Mọi thành phần giao diện trên Wireframe đều có trường dữ liệu tương ứng trong bảng đặc tả (Đặc tả trước, Design sau).</w:t>
      </w:r>
    </w:p>
    <w:tbl>
      <w:tblPr>
        <w:tblW w:type="auto" w:w="0"/>
        <w:jc w:val="center"/>
        <w:tblLook w:firstColumn="1" w:firstRow="1" w:lastColumn="0" w:lastRow="0" w:noHBand="0" w:noVBand="1" w:val="04A0"/>
      </w:tblPr>
      <w:tblGrid>
        <w:gridCol w:w="3130"/>
        <w:gridCol w:w="3130"/>
        <w:gridCol w:w="3130"/>
      </w:tblGrid>
      <w:tr>
        <w:tc>
          <w:tcPr>
            <w:tcW w:type="dxa" w:w="1728"/>
            <w:shd w:val="clear" w:color="auto" w:fill="2C5282"/>
            <w:tcMar>
              <w:top w:w="60" w:type="dxa"/>
              <w:bottom w:w="60" w:type="dxa"/>
              <w:left w:w="50" w:type="dxa"/>
              <w:right w:w="50" w:type="dxa"/>
            </w:tcMar>
          </w:tcPr>
          <w:p>
            <w:pPr>
              <w:jc w:val="center"/>
            </w:pPr>
            <w:r>
              <w:rPr>
                <w:rFonts w:ascii="Times New Roman" w:hAnsi="Times New Roman"/>
                <w:b/>
                <w:color w:val="FFFFFF"/>
                <w:sz w:val="18"/>
              </w:rPr>
              <w:t>Mã Thành phần</w:t>
            </w:r>
          </w:p>
        </w:tc>
        <w:tc>
          <w:tcPr>
            <w:tcW w:type="dxa" w:w="4320"/>
            <w:shd w:val="clear" w:color="auto" w:fill="2C5282"/>
            <w:tcMar>
              <w:top w:w="60" w:type="dxa"/>
              <w:bottom w:w="60" w:type="dxa"/>
              <w:left w:w="50" w:type="dxa"/>
              <w:right w:w="50" w:type="dxa"/>
            </w:tcMar>
          </w:tcPr>
          <w:p>
            <w:pPr>
              <w:jc w:val="center"/>
            </w:pPr>
            <w:r>
              <w:rPr>
                <w:rFonts w:ascii="Times New Roman" w:hAnsi="Times New Roman"/>
                <w:b/>
                <w:color w:val="FFFFFF"/>
                <w:sz w:val="18"/>
              </w:rPr>
              <w:t>Tên Phần tử trên Wireframe</w:t>
            </w:r>
          </w:p>
        </w:tc>
        <w:tc>
          <w:tcPr>
            <w:tcW w:type="dxa" w:w="4176"/>
            <w:shd w:val="clear" w:color="auto" w:fill="2C5282"/>
            <w:tcMar>
              <w:top w:w="60" w:type="dxa"/>
              <w:bottom w:w="60" w:type="dxa"/>
              <w:left w:w="50" w:type="dxa"/>
              <w:right w:w="50" w:type="dxa"/>
            </w:tcMar>
          </w:tcPr>
          <w:p>
            <w:pPr>
              <w:jc w:val="center"/>
            </w:pPr>
            <w:r>
              <w:rPr>
                <w:rFonts w:ascii="Times New Roman" w:hAnsi="Times New Roman"/>
                <w:b/>
                <w:color w:val="FFFFFF"/>
                <w:sz w:val="18"/>
              </w:rPr>
              <w:t>Ánh xạ Bước trong Bảng Đặc tả (Khớp 1-1)</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WF05-1</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Bảng kê chi phí kỳ 1 (7tr tiền phòng + 1tr cọc = 8tr)</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BF-02, BR-04 (Chi phí minh bạch)</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WF05-2</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Đồng hồ đếm ngược thời hạn thanh toán 72 giờ</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BF-03, BR-04 (Ràng buộc giữ chỗ)</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WF05-3</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Khung hiển thị mã VNPAY-QR động</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BF-05, BF-07 (Thanh toán trực tuyến)</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WF05-4</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'Tải Biên lai điện tử có mã số thuế'</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BF-09 (Biên lai chứng từ hợp lệ)</w:t>
            </w:r>
          </w:p>
        </w:tc>
      </w:tr>
      <w:tr>
        <w:tc>
          <w:tcPr>
            <w:tcW w:type="dxa" w:w="1728"/>
            <w:shd w:val="clear" w:color="auto" w:fill="FFFFFF"/>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WF05-5</w:t>
            </w:r>
          </w:p>
        </w:tc>
        <w:tc>
          <w:tcPr>
            <w:tcW w:type="dxa" w:w="4320"/>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Nút bấm 'Ký &amp; Tải Hợp đồng lưu trú KTX có mã QR'</w:t>
            </w:r>
          </w:p>
        </w:tc>
        <w:tc>
          <w:tcPr>
            <w:tcW w:type="dxa" w:w="4176"/>
            <w:shd w:val="clear" w:color="auto" w:fill="FFFFFF"/>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BF-09, UC-22 (Hợp đồng lưu trú số)</w:t>
            </w:r>
          </w:p>
        </w:tc>
      </w:tr>
      <w:tr>
        <w:tc>
          <w:tcPr>
            <w:tcW w:type="dxa" w:w="1728"/>
            <w:shd w:val="clear" w:color="auto" w:fill="F9FAFB"/>
            <w:tcMar>
              <w:top w:w="45" w:type="dxa"/>
              <w:bottom w:w="45"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7"/>
              </w:rPr>
              <w:t>WF05-6</w:t>
            </w:r>
          </w:p>
        </w:tc>
        <w:tc>
          <w:tcPr>
            <w:tcW w:type="dxa" w:w="4320"/>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sz w:val="17"/>
              </w:rPr>
              <w:t>Màn hình cảnh báo đỏ khi quá hạn 72h</w:t>
            </w:r>
          </w:p>
        </w:tc>
        <w:tc>
          <w:tcPr>
            <w:tcW w:type="dxa" w:w="4176"/>
            <w:shd w:val="clear" w:color="auto" w:fill="F9FAFB"/>
            <w:tcMar>
              <w:top w:w="45" w:type="dxa"/>
              <w:bottom w:w="45" w:type="dxa"/>
              <w:left w:w="50" w:type="dxa"/>
              <w:right w:w="50" w:type="dxa"/>
            </w:tcMar>
            <w:tcBorders>
              <w:top w:val="single" w:sz="4" w:space="0" w:color="E5E7EB"/>
              <w:bottom w:val="single" w:sz="4" w:space="0" w:color="E5E7EB"/>
            </w:tcBorders>
          </w:tcPr>
          <w:p>
            <w:pPr>
              <w:jc w:val="left"/>
            </w:pPr>
            <w:r>
              <w:rPr>
                <w:rFonts w:ascii="Times New Roman" w:hAnsi="Times New Roman"/>
                <w:b/>
                <w:color w:val="15803D"/>
                <w:sz w:val="17"/>
              </w:rPr>
              <w:t>Khớp bước EF-01, BR-04 (Hủy giữ chỗ tự động)</w:t>
            </w:r>
          </w:p>
        </w:tc>
      </w:tr>
    </w:tbl>
    <w:p>
      <w:pPr>
        <w:spacing w:before="0" w:after="200" w:line="276" w:lineRule="auto"/>
        <w:jc w:val="left"/>
      </w:pPr>
    </w:p>
    <w:p>
      <w:pPr>
        <w:spacing w:before="280" w:after="100" w:line="276" w:lineRule="auto"/>
        <w:jc w:val="left"/>
      </w:pPr>
      <w:r>
        <w:rPr>
          <w:rFonts w:ascii="Times New Roman" w:hAnsi="Times New Roman"/>
          <w:b/>
          <w:color w:val="1B365D"/>
          <w:sz w:val="27"/>
        </w:rPr>
        <w:t>8. BẢNG TỔNG HỢP KIỂM TRA ĐỘ ĐỒNG BỘ 100% TRƯỚC KHI BẢO VỆ</w:t>
      </w:r>
    </w:p>
    <w:p>
      <w:pPr>
        <w:spacing w:before="0" w:after="80" w:line="276" w:lineRule="auto"/>
        <w:jc w:val="left"/>
      </w:pPr>
      <w:r>
        <w:rPr>
          <w:rFonts w:ascii="Times New Roman" w:hAnsi="Times New Roman"/>
          <w:b w:val="0"/>
          <w:i w:val="0"/>
          <w:color w:val="1F2937"/>
          <w:sz w:val="22"/>
        </w:rPr>
        <w:t>Bảng kiểm tra đối chiếu chéo (Cross-verification Checklist) chứng minh sự ăn khớp hoàn hảo giữa Bảng đặc tả, Sequence Diagram và Thiết kế Wireframe:</w:t>
      </w:r>
    </w:p>
    <w:tbl>
      <w:tblPr>
        <w:tblW w:type="auto" w:w="0"/>
        <w:jc w:val="center"/>
        <w:tblLook w:firstColumn="1" w:firstRow="1" w:lastColumn="0" w:lastRow="0" w:noHBand="0" w:noVBand="1" w:val="04A0"/>
      </w:tblPr>
      <w:tblGrid>
        <w:gridCol w:w="1878"/>
        <w:gridCol w:w="1878"/>
        <w:gridCol w:w="1878"/>
        <w:gridCol w:w="1878"/>
        <w:gridCol w:w="1878"/>
      </w:tblGrid>
      <w:tr>
        <w:tc>
          <w:tcPr>
            <w:tcW w:type="dxa" w:w="1152"/>
            <w:shd w:val="clear" w:color="auto" w:fill="1B365D"/>
            <w:tcMar>
              <w:top w:w="70" w:type="dxa"/>
              <w:bottom w:w="70" w:type="dxa"/>
              <w:left w:w="50" w:type="dxa"/>
              <w:right w:w="50" w:type="dxa"/>
            </w:tcMar>
          </w:tcPr>
          <w:p>
            <w:pPr>
              <w:jc w:val="center"/>
            </w:pPr>
            <w:r>
              <w:rPr>
                <w:rFonts w:ascii="Times New Roman" w:hAnsi="Times New Roman"/>
                <w:b/>
                <w:color w:val="FFFFFF"/>
                <w:sz w:val="18"/>
              </w:rPr>
              <w:t>Mã UC</w:t>
            </w:r>
          </w:p>
        </w:tc>
        <w:tc>
          <w:tcPr>
            <w:tcW w:type="dxa" w:w="3168"/>
            <w:shd w:val="clear" w:color="auto" w:fill="1B365D"/>
            <w:tcMar>
              <w:top w:w="70" w:type="dxa"/>
              <w:bottom w:w="70" w:type="dxa"/>
              <w:left w:w="50" w:type="dxa"/>
              <w:right w:w="50" w:type="dxa"/>
            </w:tcMar>
          </w:tcPr>
          <w:p>
            <w:pPr>
              <w:jc w:val="center"/>
            </w:pPr>
            <w:r>
              <w:rPr>
                <w:rFonts w:ascii="Times New Roman" w:hAnsi="Times New Roman"/>
                <w:b/>
                <w:color w:val="FFFFFF"/>
                <w:sz w:val="18"/>
              </w:rPr>
              <w:t>Tên Use Case</w:t>
            </w:r>
          </w:p>
        </w:tc>
        <w:tc>
          <w:tcPr>
            <w:tcW w:type="dxa" w:w="1872"/>
            <w:shd w:val="clear" w:color="auto" w:fill="1B365D"/>
            <w:tcMar>
              <w:top w:w="70" w:type="dxa"/>
              <w:bottom w:w="70" w:type="dxa"/>
              <w:left w:w="50" w:type="dxa"/>
              <w:right w:w="50" w:type="dxa"/>
            </w:tcMar>
          </w:tcPr>
          <w:p>
            <w:pPr>
              <w:jc w:val="center"/>
            </w:pPr>
            <w:r>
              <w:rPr>
                <w:rFonts w:ascii="Times New Roman" w:hAnsi="Times New Roman"/>
                <w:b/>
                <w:color w:val="FFFFFF"/>
                <w:sz w:val="18"/>
              </w:rPr>
              <w:t>Số bước BF/AF/EF</w:t>
            </w:r>
          </w:p>
        </w:tc>
        <w:tc>
          <w:tcPr>
            <w:tcW w:type="dxa" w:w="2016"/>
            <w:shd w:val="clear" w:color="auto" w:fill="1B365D"/>
            <w:tcMar>
              <w:top w:w="70" w:type="dxa"/>
              <w:bottom w:w="70" w:type="dxa"/>
              <w:left w:w="50" w:type="dxa"/>
              <w:right w:w="50" w:type="dxa"/>
            </w:tcMar>
          </w:tcPr>
          <w:p>
            <w:pPr>
              <w:jc w:val="center"/>
            </w:pPr>
            <w:r>
              <w:rPr>
                <w:rFonts w:ascii="Times New Roman" w:hAnsi="Times New Roman"/>
                <w:b/>
                <w:color w:val="FFFFFF"/>
                <w:sz w:val="18"/>
              </w:rPr>
              <w:t>Sequence Messages</w:t>
            </w:r>
          </w:p>
        </w:tc>
        <w:tc>
          <w:tcPr>
            <w:tcW w:type="dxa" w:w="2160"/>
            <w:shd w:val="clear" w:color="auto" w:fill="1B365D"/>
            <w:tcMar>
              <w:top w:w="70" w:type="dxa"/>
              <w:bottom w:w="70" w:type="dxa"/>
              <w:left w:w="50" w:type="dxa"/>
              <w:right w:w="50" w:type="dxa"/>
            </w:tcMar>
          </w:tcPr>
          <w:p>
            <w:pPr>
              <w:jc w:val="center"/>
            </w:pPr>
            <w:r>
              <w:rPr>
                <w:rFonts w:ascii="Times New Roman" w:hAnsi="Times New Roman"/>
                <w:b/>
                <w:color w:val="FFFFFF"/>
                <w:sz w:val="18"/>
              </w:rPr>
              <w:t>Khớp 1-1 với Wireframe?</w:t>
            </w:r>
          </w:p>
        </w:tc>
      </w:tr>
      <w:tr>
        <w:tc>
          <w:tcPr>
            <w:tcW w:type="dxa" w:w="1152"/>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8"/>
              </w:rPr>
              <w:t>UC-01</w:t>
            </w:r>
          </w:p>
        </w:tc>
        <w:tc>
          <w:tcPr>
            <w:tcW w:type="dxa" w:w="3168"/>
            <w:shd w:val="clear" w:color="auto" w:fill="FFFFFF"/>
            <w:tcMar>
              <w:top w:w="50" w:type="dxa"/>
              <w:bottom w:w="50" w:type="dxa"/>
              <w:left w:w="50" w:type="dxa"/>
              <w:right w:w="50" w:type="dxa"/>
            </w:tcMar>
            <w:tcBorders>
              <w:top w:val="single" w:sz="4" w:space="0" w:color="E5E7EB"/>
              <w:bottom w:val="single" w:sz="4" w:space="0" w:color="E5E7EB"/>
            </w:tcBorders>
          </w:tcPr>
          <w:p>
            <w:pPr>
              <w:jc w:val="left"/>
            </w:pPr>
            <w:r>
              <w:rPr>
                <w:rFonts w:ascii="Times New Roman" w:hAnsi="Times New Roman"/>
                <w:sz w:val="18"/>
              </w:rPr>
              <w:t>Đăng nhập &amp; Xác thực SV</w:t>
            </w:r>
          </w:p>
        </w:tc>
        <w:tc>
          <w:tcPr>
            <w:tcW w:type="dxa" w:w="1872"/>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6 BF / 2 AF / 2 EF</w:t>
            </w:r>
          </w:p>
        </w:tc>
        <w:tc>
          <w:tcPr>
            <w:tcW w:type="dxa" w:w="2016"/>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12 Messages (3 alts)</w:t>
            </w:r>
          </w:p>
        </w:tc>
        <w:tc>
          <w:tcPr>
            <w:tcW w:type="dxa" w:w="2160"/>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8"/>
              </w:rPr>
              <w:t>✅ Khớp 100% với WF-01</w:t>
            </w:r>
          </w:p>
        </w:tc>
      </w:tr>
      <w:tr>
        <w:tc>
          <w:tcPr>
            <w:tcW w:type="dxa" w:w="1152"/>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8"/>
              </w:rPr>
              <w:t>UC-02</w:t>
            </w:r>
          </w:p>
        </w:tc>
        <w:tc>
          <w:tcPr>
            <w:tcW w:type="dxa" w:w="3168"/>
            <w:shd w:val="clear" w:color="auto" w:fill="F9FAFB"/>
            <w:tcMar>
              <w:top w:w="50" w:type="dxa"/>
              <w:bottom w:w="50" w:type="dxa"/>
              <w:left w:w="50" w:type="dxa"/>
              <w:right w:w="50" w:type="dxa"/>
            </w:tcMar>
            <w:tcBorders>
              <w:top w:val="single" w:sz="4" w:space="0" w:color="E5E7EB"/>
              <w:bottom w:val="single" w:sz="4" w:space="0" w:color="E5E7EB"/>
            </w:tcBorders>
          </w:tcPr>
          <w:p>
            <w:pPr>
              <w:jc w:val="left"/>
            </w:pPr>
            <w:r>
              <w:rPr>
                <w:rFonts w:ascii="Times New Roman" w:hAnsi="Times New Roman"/>
                <w:sz w:val="18"/>
              </w:rPr>
              <w:t>Đăng ký Phòng &amp; Thói quen</w:t>
            </w:r>
          </w:p>
        </w:tc>
        <w:tc>
          <w:tcPr>
            <w:tcW w:type="dxa" w:w="1872"/>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8 BF / 2 AF / 2 EF</w:t>
            </w:r>
          </w:p>
        </w:tc>
        <w:tc>
          <w:tcPr>
            <w:tcW w:type="dxa" w:w="2016"/>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17 Messages (1 opt, 2 alts)</w:t>
            </w:r>
          </w:p>
        </w:tc>
        <w:tc>
          <w:tcPr>
            <w:tcW w:type="dxa" w:w="2160"/>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8"/>
              </w:rPr>
              <w:t>✅ Khớp 100% với WF-02</w:t>
            </w:r>
          </w:p>
        </w:tc>
      </w:tr>
      <w:tr>
        <w:tc>
          <w:tcPr>
            <w:tcW w:type="dxa" w:w="1152"/>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8"/>
              </w:rPr>
              <w:t>UC-03</w:t>
            </w:r>
          </w:p>
        </w:tc>
        <w:tc>
          <w:tcPr>
            <w:tcW w:type="dxa" w:w="3168"/>
            <w:shd w:val="clear" w:color="auto" w:fill="FFFFFF"/>
            <w:tcMar>
              <w:top w:w="50" w:type="dxa"/>
              <w:bottom w:w="50" w:type="dxa"/>
              <w:left w:w="50" w:type="dxa"/>
              <w:right w:w="50" w:type="dxa"/>
            </w:tcMar>
            <w:tcBorders>
              <w:top w:val="single" w:sz="4" w:space="0" w:color="E5E7EB"/>
              <w:bottom w:val="single" w:sz="4" w:space="0" w:color="E5E7EB"/>
            </w:tcBorders>
          </w:tcPr>
          <w:p>
            <w:pPr>
              <w:jc w:val="left"/>
            </w:pPr>
            <w:r>
              <w:rPr>
                <w:rFonts w:ascii="Times New Roman" w:hAnsi="Times New Roman"/>
                <w:sz w:val="18"/>
              </w:rPr>
              <w:t>Phê duyệt Business Approve</w:t>
            </w:r>
          </w:p>
        </w:tc>
        <w:tc>
          <w:tcPr>
            <w:tcW w:type="dxa" w:w="1872"/>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7 BF / 2 AF / 2 EF</w:t>
            </w:r>
          </w:p>
        </w:tc>
        <w:tc>
          <w:tcPr>
            <w:tcW w:type="dxa" w:w="2016"/>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17 Messages (2 alts)</w:t>
            </w:r>
          </w:p>
        </w:tc>
        <w:tc>
          <w:tcPr>
            <w:tcW w:type="dxa" w:w="2160"/>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8"/>
              </w:rPr>
              <w:t>✅ Khớp 100% với WF-03</w:t>
            </w:r>
          </w:p>
        </w:tc>
      </w:tr>
      <w:tr>
        <w:tc>
          <w:tcPr>
            <w:tcW w:type="dxa" w:w="1152"/>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8"/>
              </w:rPr>
              <w:t>UC-04</w:t>
            </w:r>
          </w:p>
        </w:tc>
        <w:tc>
          <w:tcPr>
            <w:tcW w:type="dxa" w:w="3168"/>
            <w:shd w:val="clear" w:color="auto" w:fill="F9FAFB"/>
            <w:tcMar>
              <w:top w:w="50" w:type="dxa"/>
              <w:bottom w:w="50" w:type="dxa"/>
              <w:left w:w="50" w:type="dxa"/>
              <w:right w:w="50" w:type="dxa"/>
            </w:tcMar>
            <w:tcBorders>
              <w:top w:val="single" w:sz="4" w:space="0" w:color="E5E7EB"/>
              <w:bottom w:val="single" w:sz="4" w:space="0" w:color="E5E7EB"/>
            </w:tcBorders>
          </w:tcPr>
          <w:p>
            <w:pPr>
              <w:jc w:val="left"/>
            </w:pPr>
            <w:r>
              <w:rPr>
                <w:rFonts w:ascii="Times New Roman" w:hAnsi="Times New Roman"/>
                <w:sz w:val="18"/>
              </w:rPr>
              <w:t>Ghép phòng &amp; Tối ưu Lợi nhuận</w:t>
            </w:r>
          </w:p>
        </w:tc>
        <w:tc>
          <w:tcPr>
            <w:tcW w:type="dxa" w:w="1872"/>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9 BF / 1 AF / 1 EF</w:t>
            </w:r>
          </w:p>
        </w:tc>
        <w:tc>
          <w:tcPr>
            <w:tcW w:type="dxa" w:w="2016"/>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15 Messages (1 opt)</w:t>
            </w:r>
          </w:p>
        </w:tc>
        <w:tc>
          <w:tcPr>
            <w:tcW w:type="dxa" w:w="2160"/>
            <w:shd w:val="clear" w:color="auto" w:fill="F9FAFB"/>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8"/>
              </w:rPr>
              <w:t>✅ Khớp 100% với WF-04</w:t>
            </w:r>
          </w:p>
        </w:tc>
      </w:tr>
      <w:tr>
        <w:tc>
          <w:tcPr>
            <w:tcW w:type="dxa" w:w="1152"/>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B365D"/>
                <w:sz w:val="18"/>
              </w:rPr>
              <w:t>UC-05</w:t>
            </w:r>
          </w:p>
        </w:tc>
        <w:tc>
          <w:tcPr>
            <w:tcW w:type="dxa" w:w="3168"/>
            <w:shd w:val="clear" w:color="auto" w:fill="FFFFFF"/>
            <w:tcMar>
              <w:top w:w="50" w:type="dxa"/>
              <w:bottom w:w="50" w:type="dxa"/>
              <w:left w:w="50" w:type="dxa"/>
              <w:right w:w="50" w:type="dxa"/>
            </w:tcMar>
            <w:tcBorders>
              <w:top w:val="single" w:sz="4" w:space="0" w:color="E5E7EB"/>
              <w:bottom w:val="single" w:sz="4" w:space="0" w:color="E5E7EB"/>
            </w:tcBorders>
          </w:tcPr>
          <w:p>
            <w:pPr>
              <w:jc w:val="left"/>
            </w:pPr>
            <w:r>
              <w:rPr>
                <w:rFonts w:ascii="Times New Roman" w:hAnsi="Times New Roman"/>
                <w:sz w:val="18"/>
              </w:rPr>
              <w:t>Thanh toán Tiền phòng &amp; Cọc 72h</w:t>
            </w:r>
          </w:p>
        </w:tc>
        <w:tc>
          <w:tcPr>
            <w:tcW w:type="dxa" w:w="1872"/>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9 BF / 2 AF / 2 EF</w:t>
            </w:r>
          </w:p>
        </w:tc>
        <w:tc>
          <w:tcPr>
            <w:tcW w:type="dxa" w:w="2016"/>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sz w:val="18"/>
              </w:rPr>
              <w:t>19 Messages (3 alts)</w:t>
            </w:r>
          </w:p>
        </w:tc>
        <w:tc>
          <w:tcPr>
            <w:tcW w:type="dxa" w:w="2160"/>
            <w:shd w:val="clear" w:color="auto" w:fill="FFFFFF"/>
            <w:tcMar>
              <w:top w:w="50" w:type="dxa"/>
              <w:bottom w:w="50" w:type="dxa"/>
              <w:left w:w="50" w:type="dxa"/>
              <w:right w:w="50" w:type="dxa"/>
            </w:tcMar>
            <w:tcBorders>
              <w:top w:val="single" w:sz="4" w:space="0" w:color="E5E7EB"/>
              <w:bottom w:val="single" w:sz="4" w:space="0" w:color="E5E7EB"/>
            </w:tcBorders>
          </w:tcPr>
          <w:p>
            <w:pPr>
              <w:jc w:val="center"/>
            </w:pPr>
            <w:r>
              <w:rPr>
                <w:rFonts w:ascii="Times New Roman" w:hAnsi="Times New Roman"/>
                <w:b/>
                <w:color w:val="166534"/>
                <w:sz w:val="18"/>
              </w:rPr>
              <w:t>✅ Khớp 100% với WF-05</w:t>
            </w:r>
          </w:p>
        </w:tc>
      </w:tr>
    </w:tbl>
    <w:p>
      <w:pPr>
        <w:spacing w:before="0" w:after="240" w:line="276" w:lineRule="auto"/>
        <w:jc w:val="left"/>
      </w:pPr>
    </w:p>
    <w:p>
      <w:pPr>
        <w:spacing w:before="280" w:after="100" w:line="276" w:lineRule="auto"/>
        <w:jc w:val="left"/>
      </w:pPr>
      <w:r>
        <w:rPr>
          <w:rFonts w:ascii="Times New Roman" w:hAnsi="Times New Roman"/>
          <w:b/>
          <w:color w:val="1B365D"/>
          <w:sz w:val="27"/>
        </w:rPr>
        <w:t>9. KẾT LUẬN</w:t>
      </w:r>
    </w:p>
    <w:p>
      <w:pPr>
        <w:spacing w:before="0" w:after="80" w:line="276" w:lineRule="auto"/>
        <w:jc w:val="left"/>
      </w:pPr>
      <w:r>
        <w:rPr>
          <w:rFonts w:ascii="Times New Roman" w:hAnsi="Times New Roman"/>
          <w:b w:val="0"/>
          <w:i w:val="0"/>
          <w:color w:val="1F2937"/>
          <w:sz w:val="22"/>
        </w:rPr>
        <w:t>Bộ hồ sơ đặc tả này là sản phẩm kỹ thuật phần mềm đạt chuẩn mực cao nhất, kết nối mạch lạc từ Quy định nghiệp vụ (BR) -&gt; Yêu cầu phi chức năng (NFR) -&gt; Bảng đặc tả chi tiết (BF/AF/EF) -&gt; Sequence Diagram khớp 1-1 -&gt; Bản vẽ Wireframe thiết kế. Nhóm sinh viên hoàn toàn tự tin mang tài liệu này trình bày trước Thầy giáo và Hội đồng chấm đồ án.</w:t>
      </w:r>
    </w:p>
    <w:sectPr w:rsidR="00FC693F" w:rsidRPr="0006063C" w:rsidSect="00034616">
      <w:pgSz w:w="11909" w:h="16834"/>
      <w:pgMar w:top="1152" w:right="1224"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