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center"/>
      </w:pPr>
      <w:r>
        <w:rPr>
          <w:rFonts w:ascii="Times New Roman" w:hAnsi="Times New Roman" w:eastAsia="Times New Roman"/>
          <w:b/>
          <w:color w:val="17365D"/>
          <w:sz w:val="44"/>
        </w:rPr>
        <w:t>ADR-003: Replaceable Image Storage Boundary</w:t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/>
          <w:color w:val="667085"/>
          <w:sz w:val="21"/>
        </w:rPr>
        <w:t>Campus Lost &amp; Found | CSW303 - Software Engineering | Week 4</w:t>
      </w:r>
    </w:p>
    <w:p>
      <w:pPr>
        <w:spacing w:after="80"/>
      </w:pPr>
      <w:r>
        <w:rPr>
          <w:rFonts w:ascii="Times New Roman" w:hAnsi="Times New Roman" w:eastAsia="Times New Roman"/>
          <w:b/>
          <w:color w:val="17365D"/>
          <w:sz w:val="22"/>
        </w:rPr>
        <w:t xml:space="preserve">ADR ID: </w:t>
      </w:r>
      <w:r>
        <w:rPr>
          <w:rFonts w:ascii="Times New Roman" w:hAnsi="Times New Roman" w:eastAsia="Times New Roman"/>
          <w:color w:val="202124"/>
          <w:sz w:val="22"/>
        </w:rPr>
        <w:t>ADR-003</w:t>
      </w:r>
    </w:p>
    <w:p>
      <w:pPr>
        <w:spacing w:after="80"/>
      </w:pPr>
      <w:r>
        <w:rPr>
          <w:rFonts w:ascii="Times New Roman" w:hAnsi="Times New Roman" w:eastAsia="Times New Roman"/>
          <w:b/>
          <w:color w:val="17365D"/>
          <w:sz w:val="22"/>
        </w:rPr>
        <w:t xml:space="preserve">Title: </w:t>
      </w:r>
      <w:r>
        <w:rPr>
          <w:rFonts w:ascii="Times New Roman" w:hAnsi="Times New Roman" w:eastAsia="Times New Roman"/>
          <w:color w:val="202124"/>
          <w:sz w:val="22"/>
        </w:rPr>
        <w:t>Replaceable Image Storage Boundary</w:t>
      </w:r>
    </w:p>
    <w:p>
      <w:pPr>
        <w:spacing w:after="80"/>
      </w:pPr>
      <w:r>
        <w:rPr>
          <w:rFonts w:ascii="Times New Roman" w:hAnsi="Times New Roman" w:eastAsia="Times New Roman"/>
          <w:b/>
          <w:color w:val="17365D"/>
          <w:sz w:val="22"/>
        </w:rPr>
        <w:t xml:space="preserve">Status: </w:t>
      </w:r>
      <w:r>
        <w:rPr>
          <w:rFonts w:ascii="Times New Roman" w:hAnsi="Times New Roman" w:eastAsia="Times New Roman"/>
          <w:color w:val="202124"/>
          <w:sz w:val="22"/>
        </w:rPr>
        <w:t>Proposed</w:t>
      </w:r>
    </w:p>
    <w:p>
      <w:pPr>
        <w:spacing w:after="80"/>
      </w:pPr>
      <w:r>
        <w:rPr>
          <w:rFonts w:ascii="Times New Roman" w:hAnsi="Times New Roman" w:eastAsia="Times New Roman"/>
          <w:b/>
          <w:color w:val="17365D"/>
          <w:sz w:val="22"/>
        </w:rPr>
        <w:t xml:space="preserve">Date: </w:t>
      </w:r>
      <w:r>
        <w:rPr>
          <w:rFonts w:ascii="Times New Roman" w:hAnsi="Times New Roman" w:eastAsia="Times New Roman"/>
          <w:color w:val="202124"/>
          <w:sz w:val="22"/>
        </w:rPr>
        <w:t>2026-07-27</w:t>
      </w:r>
    </w:p>
    <w:p>
      <w:pPr>
        <w:spacing w:after="80"/>
      </w:pPr>
      <w:r>
        <w:rPr>
          <w:rFonts w:ascii="Times New Roman" w:hAnsi="Times New Roman" w:eastAsia="Times New Roman"/>
          <w:b/>
          <w:color w:val="17365D"/>
          <w:sz w:val="22"/>
        </w:rPr>
        <w:t xml:space="preserve">Deciders: </w:t>
      </w:r>
      <w:r>
        <w:rPr>
          <w:rFonts w:ascii="Times New Roman" w:hAnsi="Times New Roman" w:eastAsia="Times New Roman"/>
          <w:color w:val="202124"/>
          <w:sz w:val="22"/>
        </w:rPr>
        <w:t>Hỷ Gia Long (Tech Lead); Dương Tấn Kiệt (Product Owner/BA); Lê Công Thạch (Scrum Master/QA), as recorded in the existing Week 4 ADR</w:t>
      </w:r>
    </w:p>
    <w:p>
      <w:pPr>
        <w:pStyle w:val="Heading1"/>
        <w:keepNext/>
      </w:pPr>
      <w:r>
        <w:t>1. Context</w:t>
      </w:r>
    </w:p>
    <w:p>
      <w:pPr>
        <w:jc w:val="both"/>
      </w:pPr>
      <w:r>
        <w:rPr>
          <w:rFonts w:ascii="Times New Roman" w:hAnsi="Times New Roman" w:eastAsia="Times New Roman"/>
          <w:color w:val="202124"/>
          <w:sz w:val="22"/>
        </w:rPr>
        <w:t>FR-03, FR-04 and FR-12 allow optional report images. Week 3 documented local or object storage as an option, and an existing Week 4 ADR named Cloudinary. No source, configuration, provider account or upload evidence is available, so the provider choice cannot be treated as implemented or Accepted.</w:t>
      </w:r>
    </w:p>
    <w:p>
      <w:pPr>
        <w:pStyle w:val="Heading1"/>
        <w:keepNext/>
      </w:pPr>
      <w:r>
        <w:t>2. Decision</w:t>
      </w:r>
    </w:p>
    <w:p>
      <w:pPr>
        <w:jc w:val="both"/>
      </w:pPr>
      <w:r>
        <w:rPr>
          <w:rFonts w:ascii="Times New Roman" w:hAnsi="Times New Roman" w:eastAsia="Times New Roman"/>
          <w:color w:val="202124"/>
          <w:sz w:val="22"/>
        </w:rPr>
        <w:t>Propose an Image Storage adapter behind the Backend Application/API. Validate file type and size before storage, keep privacy guidance, and store only an asset identifier/reference with the report. Cloudinary remains a candidate named by the existing ADR; final provider adoption requires configuration and upload/delete evidence.</w:t>
      </w:r>
    </w:p>
    <w:p>
      <w:pPr>
        <w:pStyle w:val="Heading1"/>
        <w:keepNext/>
      </w:pPr>
      <w:r>
        <w:t>3. Alternatives Considered</w:t>
      </w:r>
    </w:p>
    <w:p>
      <w:pPr>
        <w:pStyle w:val="ListBullet"/>
      </w:pPr>
      <w:r>
        <w:rPr>
          <w:rFonts w:ascii="Times New Roman" w:hAnsi="Times New Roman" w:eastAsia="Times New Roman"/>
          <w:color w:val="202124"/>
          <w:sz w:val="22"/>
        </w:rPr>
        <w:t>Application-server local files: simple but difficult to move, back up and clean consistently.</w:t>
      </w:r>
    </w:p>
    <w:p>
      <w:pPr>
        <w:pStyle w:val="ListBullet"/>
      </w:pPr>
      <w:r>
        <w:rPr>
          <w:rFonts w:ascii="Times New Roman" w:hAnsi="Times New Roman" w:eastAsia="Times New Roman"/>
          <w:color w:val="202124"/>
          <w:sz w:val="22"/>
        </w:rPr>
        <w:t>Database BLOB storage: centralizes data but increases database size and binary-delivery coupling.</w:t>
      </w:r>
    </w:p>
    <w:p>
      <w:pPr>
        <w:pStyle w:val="ListBullet"/>
      </w:pPr>
      <w:r>
        <w:rPr>
          <w:rFonts w:ascii="Times New Roman" w:hAnsi="Times New Roman" w:eastAsia="Times New Roman"/>
          <w:color w:val="202124"/>
          <w:sz w:val="22"/>
        </w:rPr>
        <w:t>Cloud object/image provider through an adapter: proposed because the domain can remain provider-independent.</w:t>
      </w:r>
    </w:p>
    <w:p>
      <w:pPr>
        <w:pStyle w:val="Heading1"/>
        <w:keepNext/>
      </w:pPr>
      <w:r>
        <w:t>4. Positive Consequences</w:t>
      </w:r>
    </w:p>
    <w:p>
      <w:pPr>
        <w:pStyle w:val="ListBullet"/>
      </w:pPr>
      <w:r>
        <w:rPr>
          <w:rFonts w:ascii="Times New Roman" w:hAnsi="Times New Roman" w:eastAsia="Times New Roman"/>
          <w:color w:val="202124"/>
          <w:sz w:val="22"/>
        </w:rPr>
        <w:t>Keeps report-domain logic independent of a storage provider.</w:t>
      </w:r>
    </w:p>
    <w:p>
      <w:pPr>
        <w:pStyle w:val="ListBullet"/>
      </w:pPr>
      <w:r>
        <w:rPr>
          <w:rFonts w:ascii="Times New Roman" w:hAnsi="Times New Roman" w:eastAsia="Times New Roman"/>
          <w:color w:val="202124"/>
          <w:sz w:val="22"/>
        </w:rPr>
        <w:t>Provides one boundary for file validation and cleanup.</w:t>
      </w:r>
    </w:p>
    <w:p>
      <w:pPr>
        <w:pStyle w:val="ListBullet"/>
      </w:pPr>
      <w:r>
        <w:rPr>
          <w:rFonts w:ascii="Times New Roman" w:hAnsi="Times New Roman" w:eastAsia="Times New Roman"/>
          <w:color w:val="202124"/>
          <w:sz w:val="22"/>
        </w:rPr>
        <w:t>Preserves optional image support from FR-12.</w:t>
      </w:r>
    </w:p>
    <w:p>
      <w:pPr>
        <w:pStyle w:val="Heading1"/>
        <w:keepNext/>
      </w:pPr>
      <w:r>
        <w:t>5. Negative Consequences</w:t>
      </w:r>
    </w:p>
    <w:p>
      <w:pPr>
        <w:pStyle w:val="ListBullet"/>
      </w:pPr>
      <w:r>
        <w:rPr>
          <w:rFonts w:ascii="Times New Roman" w:hAnsi="Times New Roman" w:eastAsia="Times New Roman"/>
          <w:color w:val="202124"/>
          <w:sz w:val="22"/>
        </w:rPr>
        <w:t>External provider configuration and lifecycle rules add operational work.</w:t>
      </w:r>
    </w:p>
    <w:p>
      <w:pPr>
        <w:pStyle w:val="ListBullet"/>
      </w:pPr>
      <w:r>
        <w:rPr>
          <w:rFonts w:ascii="Times New Roman" w:hAnsi="Times New Roman" w:eastAsia="Times New Roman"/>
          <w:color w:val="202124"/>
          <w:sz w:val="22"/>
        </w:rPr>
        <w:t>Privacy, deletion and provider failure cases require tests.</w:t>
      </w:r>
    </w:p>
    <w:p>
      <w:pPr>
        <w:pStyle w:val="ListBullet"/>
      </w:pPr>
      <w:r>
        <w:rPr>
          <w:rFonts w:ascii="Times New Roman" w:hAnsi="Times New Roman" w:eastAsia="Times New Roman"/>
          <w:color w:val="202124"/>
          <w:sz w:val="22"/>
        </w:rPr>
        <w:t>No provider can be named as implemented without configuration evidence.</w:t>
      </w:r>
    </w:p>
    <w:p>
      <w:pPr>
        <w:pStyle w:val="Heading1"/>
        <w:keepNext/>
      </w:pPr>
      <w:r>
        <w:t>6. Risks</w:t>
      </w:r>
    </w:p>
    <w:p>
      <w:pPr>
        <w:pStyle w:val="ListBullet"/>
      </w:pPr>
      <w:r>
        <w:rPr>
          <w:rFonts w:ascii="Times New Roman" w:hAnsi="Times New Roman" w:eastAsia="Times New Roman"/>
          <w:color w:val="202124"/>
          <w:sz w:val="22"/>
        </w:rPr>
        <w:t>Sensitive images may be uploaded without adequate guidance or validation.</w:t>
      </w:r>
    </w:p>
    <w:p>
      <w:pPr>
        <w:pStyle w:val="ListBullet"/>
      </w:pPr>
      <w:r>
        <w:rPr>
          <w:rFonts w:ascii="Times New Roman" w:hAnsi="Times New Roman" w:eastAsia="Times New Roman"/>
          <w:color w:val="202124"/>
          <w:sz w:val="22"/>
        </w:rPr>
        <w:t>Provider coupling may occur if asset references leak into domain logic.</w:t>
      </w:r>
    </w:p>
    <w:p>
      <w:pPr>
        <w:pStyle w:val="Heading1"/>
        <w:keepNext/>
      </w:pPr>
      <w:r>
        <w:t>7. Related FR/NFR</w:t>
      </w:r>
    </w:p>
    <w:p>
      <w:pPr>
        <w:jc w:val="both"/>
      </w:pPr>
      <w:r>
        <w:rPr>
          <w:rFonts w:ascii="Times New Roman" w:hAnsi="Times New Roman" w:eastAsia="Times New Roman"/>
          <w:color w:val="202124"/>
          <w:sz w:val="22"/>
        </w:rPr>
        <w:t>FR-03, FR-04, FR-12; NFR-05, NFR-08</w:t>
      </w:r>
    </w:p>
    <w:p>
      <w:pPr>
        <w:pStyle w:val="Heading1"/>
        <w:keepNext/>
      </w:pPr>
      <w:r>
        <w:t>8. Related Stories</w:t>
      </w:r>
    </w:p>
    <w:p>
      <w:pPr>
        <w:jc w:val="both"/>
      </w:pPr>
      <w:r>
        <w:rPr>
          <w:rFonts w:ascii="Times New Roman" w:hAnsi="Times New Roman" w:eastAsia="Times New Roman"/>
          <w:color w:val="202124"/>
          <w:sz w:val="22"/>
        </w:rPr>
        <w:t>US-03, US-04</w:t>
      </w:r>
    </w:p>
    <w:p>
      <w:pPr>
        <w:pStyle w:val="Heading1"/>
        <w:keepNext/>
      </w:pPr>
      <w:r>
        <w:t>9. Related C4 Components</w:t>
      </w:r>
    </w:p>
    <w:p>
      <w:pPr>
        <w:jc w:val="both"/>
      </w:pPr>
      <w:r>
        <w:rPr>
          <w:rFonts w:ascii="Times New Roman" w:hAnsi="Times New Roman" w:eastAsia="Times New Roman"/>
          <w:color w:val="202124"/>
          <w:sz w:val="22"/>
        </w:rPr>
        <w:t>Backend Application/API; Image Storage adapter; Image Storage container</w:t>
      </w:r>
    </w:p>
    <w:p>
      <w:pPr>
        <w:pStyle w:val="Heading1"/>
        <w:keepNext/>
      </w:pPr>
      <w:r>
        <w:t>10. Evidence / References</w:t>
      </w:r>
    </w:p>
    <w:p>
      <w:pPr>
        <w:jc w:val="both"/>
      </w:pPr>
      <w:r>
        <w:rPr>
          <w:rFonts w:ascii="Times New Roman" w:hAnsi="Times New Roman" w:eastAsia="Times New Roman"/>
          <w:color w:val="202124"/>
          <w:sz w:val="22"/>
        </w:rPr>
        <w:t>Existing Week 4 ADR-003, Week 3 Image Storage container, and FR-12. Provider configuration, upload/delete output and privacy test results are Missing Evidence. Status is therefore Proposed.</w:t>
      </w:r>
    </w:p>
    <w:tbl>
      <w:tblPr>
        <w:tblStyle w:val="TableGrid"/>
        <w:tblW w:type="dxa" w:w="8640"/>
        <w:tblLayout w:type="fixed"/>
        <w:tblLook w:firstColumn="1" w:firstRow="1" w:lastColumn="0" w:lastRow="0" w:noHBand="0" w:noVBand="1" w:val="04A0"/>
        <w:tblInd w:w="90" w:type="dxa"/>
      </w:tblPr>
      <w:tblGrid>
        <w:gridCol w:w="8640"/>
      </w:tblGrid>
      <w:tr>
        <w:trPr>
          <w:tblHeader/>
          <w:cantSplit/>
        </w:trPr>
        <w:tc>
          <w:tcPr>
            <w:tcW w:type="dxa" w:w="86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PROPOSED</w:t>
            </w:r>
          </w:p>
        </w:tc>
      </w:tr>
      <w:tr>
        <w:trPr>
          <w:cantSplit/>
        </w:trPr>
        <w:tc>
          <w:tcPr>
            <w:tcW w:type="dxa" w:w="86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202124"/>
                <w:sz w:val="19"/>
              </w:rPr>
              <w:t>This record is not Accepted until genuine implementation, review/decision and test evidence exists.</w:t>
            </w:r>
          </w:p>
        </w:tc>
      </w:tr>
    </w:tbl>
    <w:p>
      <w:pPr>
        <w:spacing w:after="0"/>
      </w:pPr>
    </w:p>
    <w:sectPr w:rsidR="00482E76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Times New Roman" w:hAnsi="Times New Roman" w:eastAsia="Times New Roman"/>
        <w:color w:val="667085"/>
        <w:sz w:val="17"/>
      </w:rPr>
      <w:t xml:space="preserve">Page </w:t>
    </w:r>
    <w:r>
      <w:rPr>
        <w:rFonts w:ascii="Times New Roman" w:hAnsi="Times New Roman" w:eastAsia="Times New Roman"/>
        <w:color w:val="667085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 w:eastAsia="Times New Roman"/>
        <w:color w:val="667085"/>
        <w:sz w:val="17"/>
      </w:rPr>
      <w:t>Campus Lost &amp; Found | CSW303 - Software Engineering | Week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0486637">
    <w:abstractNumId w:val="8"/>
  </w:num>
  <w:num w:numId="2" w16cid:durableId="586040074">
    <w:abstractNumId w:val="6"/>
  </w:num>
  <w:num w:numId="3" w16cid:durableId="1037122976">
    <w:abstractNumId w:val="5"/>
  </w:num>
  <w:num w:numId="4" w16cid:durableId="1770738447">
    <w:abstractNumId w:val="4"/>
  </w:num>
  <w:num w:numId="5" w16cid:durableId="2118870410">
    <w:abstractNumId w:val="7"/>
  </w:num>
  <w:num w:numId="6" w16cid:durableId="66808619">
    <w:abstractNumId w:val="3"/>
  </w:num>
  <w:num w:numId="7" w16cid:durableId="1937639785">
    <w:abstractNumId w:val="2"/>
  </w:num>
  <w:num w:numId="8" w16cid:durableId="623584611">
    <w:abstractNumId w:val="1"/>
  </w:num>
  <w:num w:numId="9" w16cid:durableId="1583222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6FC0"/>
    <w:rsid w:val="00326F90"/>
    <w:rsid w:val="00482E76"/>
    <w:rsid w:val="009629C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A344DE"/>
  <w14:defaultImageDpi w14:val="300"/>
  <w15:docId w15:val="{743DFB8F-DA13-404A-B56F-6F394CDD5705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76" w:lineRule="auto"/>
      <w:jc w:val="both"/>
    </w:pPr>
    <w:rPr>
      <w:rFonts w:ascii="Times New Roman" w:hAnsi="Times New Roman" w:eastAsia="Times New Roman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F7F7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ADR-003</dc:title>
  <dc:subject>Campus Lost &amp; Found - Week 4</dc:subject>
  <dc:creator>Lost &amp; Found Team</dc:creator>
  <cp:keywords/>
  <dc:description/>
  <cp:lastModifiedBy>Khiem Nguyen</cp:lastModifiedBy>
  <cp:revision>2</cp:revision>
  <dcterms:created xsi:type="dcterms:W3CDTF">2013-12-23T23:15:00Z</dcterms:created>
  <dcterms:modified xsi:type="dcterms:W3CDTF">2026-03-04T10:46:00Z</dcterms:modified>
  <cp:category/>
</cp:coreProperties>
</file>