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zzmxlgp7a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 (first part)(aiken)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Online booking, multiple pets, notifications, etc.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can approve or reject appointments.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Suggested Slide Text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Scope: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Pet owners can book appointments &amp; add multiple pets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Receives automated reminders (SMS/Email)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Admin can view, approve, or reject appointments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Basic analytics for trends and performance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  <w:br w:type="textWrapping"/>
        <w:t xml:space="preserve"> “These are the main functions included in our system: owners can manage pets, while staff can handle schedules and track data.”</w:t>
        <w:br w:type="textWrapping"/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Limitations (second part)(aiken)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financial or billing modules.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Focused only on vet clinics, not other healthcare fields.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Suggested Slide Text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Limitations: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No billing or financial systems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Not designed for other healthcare services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Mostly tested with Casa Animalia’s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“We are not covering payments or universal healthcare solutions, so we keep the project scope practical and focused.”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