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2d0b40b0bb6569a62ff7b195b05008d0d0aa19"/>
    <w:p>
      <w:pPr>
        <w:pStyle w:val="Heading2"/>
      </w:pPr>
      <w:r>
        <w:t xml:space="preserve">4. Link biểu mẫu và văn bản để Legal đối chiếu</w:t>
      </w:r>
    </w:p>
    <w:bookmarkStart w:id="26" w:name="biểu-mẫu-hồ-sơ"/>
    <w:p>
      <w:pPr>
        <w:pStyle w:val="Heading3"/>
      </w:pPr>
      <w:r>
        <w:t xml:space="preserve">4.1. Biểu mẫu hồ sơ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Biểu mẫu</w:t>
            </w:r>
          </w:p>
        </w:tc>
        <w:tc>
          <w:tcPr/>
          <w:p>
            <w:pPr>
              <w:pStyle w:val="Compact"/>
            </w:pPr>
            <w:r>
              <w:t xml:space="preserve">Nội dung</w:t>
            </w:r>
          </w:p>
        </w:tc>
        <w:tc>
          <w:tcPr/>
          <w:p>
            <w:pPr>
              <w:pStyle w:val="Compact"/>
            </w:pPr>
            <w:r>
              <w:t xml:space="preserve">Áp dụng</w:t>
            </w:r>
          </w:p>
        </w:tc>
        <w:tc>
          <w:tcPr/>
          <w:p>
            <w:pPr>
              <w:pStyle w:val="Compact"/>
            </w:pPr>
            <w:r>
              <w:t xml:space="preserve">Link chính thức</w:t>
            </w:r>
          </w:p>
        </w:tc>
      </w:tr>
      <w:tr>
        <w:tc>
          <w:tcPr/>
          <w:p>
            <w:pPr>
              <w:pStyle w:val="Compact"/>
            </w:pPr>
            <w:r>
              <w:rPr>
                <w:b/>
                <w:bCs/>
              </w:rPr>
              <w:t xml:space="preserve">Mẫu 01 – Nghị định 261/2025</w:t>
            </w:r>
          </w:p>
        </w:tc>
        <w:tc>
          <w:tcPr/>
          <w:p>
            <w:pPr>
              <w:pStyle w:val="Compact"/>
            </w:pPr>
            <w:r>
              <w:t xml:space="preserve">Đơn đăng ký mua, thuê mua, thuê nhà ở xã hội</w:t>
            </w:r>
          </w:p>
        </w:tc>
        <w:tc>
          <w:tcPr/>
          <w:p>
            <w:pPr>
              <w:pStyle w:val="Compact"/>
            </w:pPr>
            <w:r>
              <w:t xml:space="preserve">Tất cả nhóm</w:t>
            </w:r>
          </w:p>
        </w:tc>
        <w:tc>
          <w:tcPr/>
          <w:p>
            <w:pPr>
              <w:pStyle w:val="Compact"/>
            </w:pPr>
            <w:hyperlink r:id="rId20">
              <w:r>
                <w:rPr>
                  <w:rStyle w:val="Hyperlink"/>
                </w:rPr>
                <w:t xml:space="preserve">Tải PDF – xem 3 trang cuối</w:t>
              </w:r>
            </w:hyperlink>
          </w:p>
        </w:tc>
      </w:tr>
      <w:tr>
        <w:tc>
          <w:tcPr/>
          <w:p>
            <w:pPr>
              <w:pStyle w:val="Compact"/>
            </w:pPr>
            <w:r>
              <w:rPr>
                <w:b/>
                <w:bCs/>
              </w:rPr>
              <w:t xml:space="preserve">Mẫu 01 – Thông tư 08/2026</w:t>
            </w:r>
          </w:p>
        </w:tc>
        <w:tc>
          <w:tcPr/>
          <w:p>
            <w:pPr>
              <w:pStyle w:val="Compact"/>
            </w:pPr>
            <w:r>
              <w:t xml:space="preserve">Giấy xác nhận về đối tượng</w:t>
            </w:r>
          </w:p>
        </w:tc>
        <w:tc>
          <w:tcPr/>
          <w:p>
            <w:pPr>
              <w:pStyle w:val="Compact"/>
            </w:pPr>
            <w:r>
              <w:t xml:space="preserve">Người trả lại nhà công vụ; người bị thu hồi đất; học sinh, sinh viên</w:t>
            </w:r>
          </w:p>
        </w:tc>
        <w:tc>
          <w:tcPr/>
          <w:p>
            <w:pPr>
              <w:pStyle w:val="Compact"/>
            </w:pPr>
            <w:hyperlink r:id="rId21">
              <w:r>
                <w:rPr>
                  <w:rStyle w:val="Hyperlink"/>
                </w:rPr>
                <w:t xml:space="preserve">Tải phụ lục – trang 1–2</w:t>
              </w:r>
            </w:hyperlink>
          </w:p>
        </w:tc>
      </w:tr>
      <w:tr>
        <w:tc>
          <w:tcPr/>
          <w:p>
            <w:pPr>
              <w:pStyle w:val="Compact"/>
            </w:pPr>
            <w:r>
              <w:rPr>
                <w:b/>
                <w:bCs/>
              </w:rPr>
              <w:t xml:space="preserve">Mẫu 02 – Thông tư 08/2026</w:t>
            </w:r>
          </w:p>
        </w:tc>
        <w:tc>
          <w:tcPr/>
          <w:p>
            <w:pPr>
              <w:pStyle w:val="Compact"/>
            </w:pPr>
            <w:r>
              <w:t xml:space="preserve">Giấy xác nhận điều kiện nhà ở đối với trường hợp chưa có nhà</w:t>
            </w:r>
          </w:p>
        </w:tc>
        <w:tc>
          <w:tcPr/>
          <w:p>
            <w:pPr>
              <w:pStyle w:val="Compact"/>
            </w:pPr>
            <w:r>
              <w:t xml:space="preserve">Các nhóm mua, thuê mua NOXH</w:t>
            </w:r>
          </w:p>
        </w:tc>
        <w:tc>
          <w:tcPr/>
          <w:p>
            <w:pPr>
              <w:pStyle w:val="Compact"/>
            </w:pPr>
            <w:hyperlink r:id="rId21">
              <w:r>
                <w:rPr>
                  <w:rStyle w:val="Hyperlink"/>
                </w:rPr>
                <w:t xml:space="preserve">Tải phụ lục – trang 3–4</w:t>
              </w:r>
            </w:hyperlink>
          </w:p>
        </w:tc>
      </w:tr>
      <w:tr>
        <w:tc>
          <w:tcPr/>
          <w:p>
            <w:pPr>
              <w:pStyle w:val="Compact"/>
            </w:pPr>
            <w:r>
              <w:rPr>
                <w:b/>
                <w:bCs/>
              </w:rPr>
              <w:t xml:space="preserve">Mẫu 05 – Thông tư 08/2026</w:t>
            </w:r>
          </w:p>
        </w:tc>
        <w:tc>
          <w:tcPr/>
          <w:p>
            <w:pPr>
              <w:pStyle w:val="Compact"/>
            </w:pPr>
            <w:r>
              <w:t xml:space="preserve">Giấy chứng minh đối tượng và thu nhập đối với người không có hợp đồng lao động, không hưởng lương hưu</w:t>
            </w:r>
          </w:p>
        </w:tc>
        <w:tc>
          <w:tcPr/>
          <w:p>
            <w:pPr>
              <w:pStyle w:val="Compact"/>
            </w:pPr>
            <w:r>
              <w:t xml:space="preserve">Nhóm 5B</w:t>
            </w:r>
          </w:p>
        </w:tc>
        <w:tc>
          <w:tcPr/>
          <w:p>
            <w:pPr>
              <w:pStyle w:val="Compact"/>
            </w:pPr>
            <w:hyperlink r:id="rId21">
              <w:r>
                <w:rPr>
                  <w:rStyle w:val="Hyperlink"/>
                </w:rPr>
                <w:t xml:space="preserve">Tải phụ lục – trang 5</w:t>
              </w:r>
            </w:hyperlink>
          </w:p>
        </w:tc>
      </w:tr>
      <w:tr>
        <w:tc>
          <w:tcPr/>
          <w:p>
            <w:pPr>
              <w:pStyle w:val="Compact"/>
            </w:pPr>
            <w:r>
              <w:rPr>
                <w:b/>
                <w:bCs/>
              </w:rPr>
              <w:t xml:space="preserve">Mẫu 01a – Thông tư 32/2025</w:t>
            </w:r>
          </w:p>
        </w:tc>
        <w:tc>
          <w:tcPr/>
          <w:p>
            <w:pPr>
              <w:pStyle w:val="Compact"/>
            </w:pPr>
            <w:r>
              <w:t xml:space="preserve">Giấy xác nhận về đối tượng và thu nhập</w:t>
            </w:r>
          </w:p>
        </w:tc>
        <w:tc>
          <w:tcPr/>
          <w:p>
            <w:pPr>
              <w:pStyle w:val="Compact"/>
            </w:pPr>
            <w:r>
              <w:t xml:space="preserve">Nhóm 5A, 6 và 8</w:t>
            </w:r>
          </w:p>
        </w:tc>
        <w:tc>
          <w:tcPr/>
          <w:p>
            <w:pPr>
              <w:pStyle w:val="Compact"/>
            </w:pPr>
            <w:hyperlink r:id="rId22">
              <w:r>
                <w:rPr>
                  <w:rStyle w:val="Hyperlink"/>
                </w:rPr>
                <w:t xml:space="preserve">Tải PDF – trang 7–8</w:t>
              </w:r>
            </w:hyperlink>
          </w:p>
        </w:tc>
      </w:tr>
      <w:tr>
        <w:tc>
          <w:tcPr/>
          <w:p>
            <w:pPr>
              <w:pStyle w:val="Compact"/>
            </w:pPr>
            <w:r>
              <w:rPr>
                <w:b/>
                <w:bCs/>
              </w:rPr>
              <w:t xml:space="preserve">Mẫu 04 – Thông tư 32/2025</w:t>
            </w:r>
          </w:p>
        </w:tc>
        <w:tc>
          <w:tcPr/>
          <w:p>
            <w:pPr>
              <w:pStyle w:val="Compact"/>
            </w:pPr>
            <w:r>
              <w:t xml:space="preserve">Giấy xác nhận điều kiện về thu nhập</w:t>
            </w:r>
          </w:p>
        </w:tc>
        <w:tc>
          <w:tcPr/>
          <w:p>
            <w:pPr>
              <w:pStyle w:val="Compact"/>
            </w:pPr>
            <w:r>
              <w:t xml:space="preserve">Nhóm 7 – lực lượng vũ trang, tổ chức cơ yếu</w:t>
            </w:r>
          </w:p>
        </w:tc>
        <w:tc>
          <w:tcPr/>
          <w:p>
            <w:pPr>
              <w:pStyle w:val="Compact"/>
            </w:pPr>
            <w:hyperlink r:id="rId22">
              <w:r>
                <w:rPr>
                  <w:rStyle w:val="Hyperlink"/>
                </w:rPr>
                <w:t xml:space="preserve">Tải PDF – trang 9–10</w:t>
              </w:r>
            </w:hyperlink>
          </w:p>
        </w:tc>
      </w:tr>
      <w:tr>
        <w:tc>
          <w:tcPr/>
          <w:p>
            <w:pPr>
              <w:pStyle w:val="Compact"/>
            </w:pPr>
            <w:r>
              <w:rPr>
                <w:b/>
                <w:bCs/>
              </w:rPr>
              <w:t xml:space="preserve">Mẫu 03 – Thông tư 05/2024</w:t>
            </w:r>
          </w:p>
        </w:tc>
        <w:tc>
          <w:tcPr/>
          <w:p>
            <w:pPr>
              <w:pStyle w:val="Compact"/>
            </w:pPr>
            <w:r>
              <w:t xml:space="preserve">Giấy xác nhận có nhà nhưng diện tích bình quân dưới 15 m² sàn/người</w:t>
            </w:r>
          </w:p>
        </w:tc>
        <w:tc>
          <w:tcPr/>
          <w:p>
            <w:pPr>
              <w:pStyle w:val="Compact"/>
            </w:pPr>
            <w:r>
              <w:t xml:space="preserve">Người đã có nhà nhưng diện tích thấp hơn mức quy định</w:t>
            </w:r>
          </w:p>
        </w:tc>
        <w:tc>
          <w:tcPr/>
          <w:p>
            <w:pPr>
              <w:pStyle w:val="Compact"/>
            </w:pPr>
            <w:hyperlink r:id="rId23">
              <w:r>
                <w:rPr>
                  <w:rStyle w:val="Hyperlink"/>
                </w:rPr>
                <w:t xml:space="preserve">Mở văn bản và tải PDF – Phụ lục I, Mẫu 03</w:t>
              </w:r>
            </w:hyperlink>
          </w:p>
        </w:tc>
      </w:tr>
      <w:tr>
        <w:tc>
          <w:tcPr/>
          <w:p>
            <w:pPr>
              <w:pStyle w:val="Compact"/>
            </w:pPr>
            <w:r>
              <w:rPr>
                <w:b/>
                <w:bCs/>
              </w:rPr>
              <w:t xml:space="preserve">Mẫu NOCA – Thông tư 56/2024/TT-BCA</w:t>
            </w:r>
          </w:p>
        </w:tc>
        <w:tc>
          <w:tcPr/>
          <w:p>
            <w:pPr>
              <w:pStyle w:val="Compact"/>
            </w:pPr>
            <w:r>
              <w:t xml:space="preserve">Giấy chứng minh đối tượng trong Công an nhân dân</w:t>
            </w:r>
          </w:p>
        </w:tc>
        <w:tc>
          <w:tcPr/>
          <w:p>
            <w:pPr>
              <w:pStyle w:val="Compact"/>
            </w:pPr>
            <w:r>
              <w:t xml:space="preserve">Người thuộc Công an nhân dân</w:t>
            </w:r>
          </w:p>
        </w:tc>
        <w:tc>
          <w:tcPr/>
          <w:p>
            <w:pPr>
              <w:pStyle w:val="Compact"/>
            </w:pPr>
            <w:hyperlink r:id="rId24">
              <w:r>
                <w:rPr>
                  <w:rStyle w:val="Hyperlink"/>
                </w:rPr>
                <w:t xml:space="preserve">Tải PDF – trang cuối</w:t>
              </w:r>
            </w:hyperlink>
          </w:p>
        </w:tc>
      </w:tr>
      <w:tr>
        <w:tc>
          <w:tcPr/>
          <w:p>
            <w:pPr>
              <w:pStyle w:val="Compact"/>
            </w:pPr>
            <w:r>
              <w:rPr>
                <w:b/>
                <w:bCs/>
              </w:rPr>
              <w:t xml:space="preserve">Mẫu xác nhận đối tượng – Thông tư 94/2024/TT-BQP</w:t>
            </w:r>
          </w:p>
        </w:tc>
        <w:tc>
          <w:tcPr/>
          <w:p>
            <w:pPr>
              <w:pStyle w:val="Compact"/>
            </w:pPr>
            <w:r>
              <w:t xml:space="preserve">Giấy xác nhận về đối tượng trong Quân đội nhân dân</w:t>
            </w:r>
          </w:p>
        </w:tc>
        <w:tc>
          <w:tcPr/>
          <w:p>
            <w:pPr>
              <w:pStyle w:val="Compact"/>
            </w:pPr>
            <w:r>
              <w:t xml:space="preserve">Quân đội và đối tượng thuộc phạm vi quản lý của Bộ Quốc phòng</w:t>
            </w:r>
          </w:p>
        </w:tc>
        <w:tc>
          <w:tcPr/>
          <w:p>
            <w:pPr>
              <w:pStyle w:val="Compact"/>
            </w:pPr>
            <w:hyperlink r:id="rId25">
              <w:r>
                <w:rPr>
                  <w:rStyle w:val="Hyperlink"/>
                </w:rPr>
                <w:t xml:space="preserve">Tải PDF – trang cuối</w:t>
              </w:r>
            </w:hyperlink>
          </w:p>
        </w:tc>
      </w:tr>
    </w:tbl>
    <w:bookmarkEnd w:id="26"/>
    <w:bookmarkStart w:id="33" w:name="X9874e278a77ae3353db01498d2b0ce52048301c"/>
    <w:p>
      <w:pPr>
        <w:pStyle w:val="Heading3"/>
      </w:pPr>
      <w:r>
        <w:t xml:space="preserve">4.2. Văn bản Legal cần đối chiếu cùng biểu mẫu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Văn bản</w:t>
            </w:r>
          </w:p>
        </w:tc>
        <w:tc>
          <w:tcPr/>
          <w:p>
            <w:pPr>
              <w:pStyle w:val="Compact"/>
            </w:pPr>
            <w:r>
              <w:t xml:space="preserve">Nội dung cần kiểm tra</w:t>
            </w:r>
          </w:p>
        </w:tc>
        <w:tc>
          <w:tcPr/>
          <w:p>
            <w:pPr>
              <w:pStyle w:val="Compact"/>
            </w:pPr>
            <w:r>
              <w:t xml:space="preserve">Link</w:t>
            </w:r>
          </w:p>
        </w:tc>
      </w:tr>
      <w:tr>
        <w:tc>
          <w:tcPr/>
          <w:p>
            <w:pPr>
              <w:pStyle w:val="Compact"/>
            </w:pPr>
            <w:r>
              <w:rPr>
                <w:b/>
                <w:bCs/>
              </w:rPr>
              <w:t xml:space="preserve">Nghị định 261/2025/NĐ-CP</w:t>
            </w:r>
          </w:p>
        </w:tc>
        <w:tc>
          <w:tcPr/>
          <w:p>
            <w:pPr>
              <w:pStyle w:val="Compact"/>
            </w:pPr>
            <w:r>
              <w:t xml:space="preserve">Ban hành Mẫu 01 đơn đăng ký; sửa đổi điều kiện và quy trình NOXH</w:t>
            </w:r>
          </w:p>
        </w:tc>
        <w:tc>
          <w:tcPr/>
          <w:p>
            <w:pPr>
              <w:pStyle w:val="Compact"/>
            </w:pPr>
            <w:hyperlink r:id="rId27">
              <w:r>
                <w:rPr>
                  <w:rStyle w:val="Hyperlink"/>
                </w:rPr>
                <w:t xml:space="preserve">Mở văn bản chính thức</w:t>
              </w:r>
            </w:hyperlink>
          </w:p>
        </w:tc>
      </w:tr>
      <w:tr>
        <w:tc>
          <w:tcPr/>
          <w:p>
            <w:pPr>
              <w:pStyle w:val="Compact"/>
            </w:pPr>
            <w:r>
              <w:rPr>
                <w:b/>
                <w:bCs/>
              </w:rPr>
              <w:t xml:space="preserve">Thông tư 08/2026/TT-BXD</w:t>
            </w:r>
          </w:p>
        </w:tc>
        <w:tc>
          <w:tcPr/>
          <w:p>
            <w:pPr>
              <w:pStyle w:val="Compact"/>
            </w:pPr>
            <w:r>
              <w:t xml:space="preserve">Thay thế Mẫu 01, Mẫu 02 và Mẫu 05</w:t>
            </w:r>
          </w:p>
        </w:tc>
        <w:tc>
          <w:tcPr/>
          <w:p>
            <w:pPr>
              <w:pStyle w:val="Compact"/>
            </w:pPr>
            <w:hyperlink r:id="rId28">
              <w:r>
                <w:rPr>
                  <w:rStyle w:val="Hyperlink"/>
                </w:rPr>
                <w:t xml:space="preserve">Mở văn bản chính thức</w:t>
              </w:r>
            </w:hyperlink>
          </w:p>
        </w:tc>
      </w:tr>
      <w:tr>
        <w:tc>
          <w:tcPr/>
          <w:p>
            <w:pPr>
              <w:pStyle w:val="Compact"/>
            </w:pPr>
            <w:r>
              <w:rPr>
                <w:b/>
                <w:bCs/>
              </w:rPr>
              <w:t xml:space="preserve">Thông tư 32/2025/TT-BXD</w:t>
            </w:r>
          </w:p>
        </w:tc>
        <w:tc>
          <w:tcPr/>
          <w:p>
            <w:pPr>
              <w:pStyle w:val="Compact"/>
            </w:pPr>
            <w:r>
              <w:t xml:space="preserve">Ban hành Mẫu 01a và Mẫu 04</w:t>
            </w:r>
          </w:p>
        </w:tc>
        <w:tc>
          <w:tcPr/>
          <w:p>
            <w:pPr>
              <w:pStyle w:val="Compact"/>
            </w:pPr>
            <w:hyperlink r:id="rId29">
              <w:r>
                <w:rPr>
                  <w:rStyle w:val="Hyperlink"/>
                </w:rPr>
                <w:t xml:space="preserve">Mở văn bản chính thức</w:t>
              </w:r>
            </w:hyperlink>
          </w:p>
        </w:tc>
      </w:tr>
      <w:tr>
        <w:tc>
          <w:tcPr/>
          <w:p>
            <w:pPr>
              <w:pStyle w:val="Compact"/>
            </w:pPr>
            <w:r>
              <w:rPr>
                <w:b/>
                <w:bCs/>
              </w:rPr>
              <w:t xml:space="preserve">Thông tư 05/2024/TT-BXD</w:t>
            </w:r>
          </w:p>
        </w:tc>
        <w:tc>
          <w:tcPr/>
          <w:p>
            <w:pPr>
              <w:pStyle w:val="Compact"/>
            </w:pPr>
            <w:r>
              <w:t xml:space="preserve">Nguồn của Mẫu 03 về diện tích nhà ở</w:t>
            </w:r>
          </w:p>
        </w:tc>
        <w:tc>
          <w:tcPr/>
          <w:p>
            <w:pPr>
              <w:pStyle w:val="Compact"/>
            </w:pPr>
            <w:hyperlink r:id="rId23">
              <w:r>
                <w:rPr>
                  <w:rStyle w:val="Hyperlink"/>
                </w:rPr>
                <w:t xml:space="preserve">Mở văn bản chính thức</w:t>
              </w:r>
            </w:hyperlink>
          </w:p>
        </w:tc>
      </w:tr>
      <w:tr>
        <w:tc>
          <w:tcPr/>
          <w:p>
            <w:pPr>
              <w:pStyle w:val="Compact"/>
            </w:pPr>
            <w:r>
              <w:rPr>
                <w:b/>
                <w:bCs/>
              </w:rPr>
              <w:t xml:space="preserve">Nghị định 54/2026/NĐ-CP</w:t>
            </w:r>
          </w:p>
        </w:tc>
        <w:tc>
          <w:tcPr/>
          <w:p>
            <w:pPr>
              <w:pStyle w:val="Compact"/>
            </w:pPr>
            <w:r>
              <w:t xml:space="preserve">Legal kiểm tra các nội dung sửa đổi có ảnh hưởng đến hồ sơ</w:t>
            </w:r>
          </w:p>
        </w:tc>
        <w:tc>
          <w:tcPr/>
          <w:p>
            <w:pPr>
              <w:pStyle w:val="Compact"/>
            </w:pPr>
            <w:hyperlink r:id="rId30">
              <w:r>
                <w:rPr>
                  <w:rStyle w:val="Hyperlink"/>
                </w:rPr>
                <w:t xml:space="preserve">Mở văn bản chính thức</w:t>
              </w:r>
            </w:hyperlink>
          </w:p>
        </w:tc>
      </w:tr>
      <w:tr>
        <w:tc>
          <w:tcPr/>
          <w:p>
            <w:pPr>
              <w:pStyle w:val="Compact"/>
            </w:pPr>
            <w:r>
              <w:rPr>
                <w:b/>
                <w:bCs/>
              </w:rPr>
              <w:t xml:space="preserve">Nghị định 136/2026/NĐ-CP</w:t>
            </w:r>
          </w:p>
        </w:tc>
        <w:tc>
          <w:tcPr/>
          <w:p>
            <w:pPr>
              <w:pStyle w:val="Compact"/>
            </w:pPr>
            <w:r>
              <w:t xml:space="preserve">Mức thu nhập áp dụng từ ngày 07/04/2026</w:t>
            </w:r>
          </w:p>
        </w:tc>
        <w:tc>
          <w:tcPr/>
          <w:p>
            <w:pPr>
              <w:pStyle w:val="Compact"/>
            </w:pPr>
            <w:hyperlink r:id="rId31">
              <w:r>
                <w:rPr>
                  <w:rStyle w:val="Hyperlink"/>
                </w:rPr>
                <w:t xml:space="preserve">Tải PDF</w:t>
              </w:r>
            </w:hyperlink>
          </w:p>
        </w:tc>
      </w:tr>
      <w:tr>
        <w:tc>
          <w:tcPr/>
          <w:p>
            <w:pPr>
              <w:pStyle w:val="Compact"/>
            </w:pPr>
            <w:r>
              <w:rPr>
                <w:b/>
                <w:bCs/>
              </w:rPr>
              <w:t xml:space="preserve">Quyết định 14/2026/QĐ-UBND TP.HCM</w:t>
            </w:r>
          </w:p>
        </w:tc>
        <w:tc>
          <w:tcPr/>
          <w:p>
            <w:pPr>
              <w:pStyle w:val="Compact"/>
            </w:pPr>
            <w:r>
              <w:t xml:space="preserve">Ngưỡng thu nhập và chính sách dành cho hộ có từ ba người phụ thuộc</w:t>
            </w:r>
          </w:p>
        </w:tc>
        <w:tc>
          <w:tcPr/>
          <w:p>
            <w:pPr>
              <w:pStyle w:val="Compact"/>
            </w:pPr>
            <w:hyperlink r:id="rId32">
              <w:r>
                <w:rPr>
                  <w:rStyle w:val="Hyperlink"/>
                </w:rPr>
                <w:t xml:space="preserve">Tải PDF từ Công báo TP.HCM</w:t>
              </w:r>
            </w:hyperlink>
          </w:p>
        </w:tc>
      </w:tr>
    </w:tbl>
    <w:bookmarkEnd w:id="33"/>
    <w:bookmarkStart w:id="34" w:name="các-giấy-tờ-không-có-mẫu-tải-chung"/>
    <w:p>
      <w:pPr>
        <w:pStyle w:val="Heading3"/>
      </w:pPr>
      <w:r>
        <w:t xml:space="preserve">4.3. Các giấy tờ không có mẫu tải chung</w:t>
      </w:r>
    </w:p>
    <w:p>
      <w:pPr>
        <w:pStyle w:val="FirstParagraph"/>
      </w:pPr>
      <w:r>
        <w:t xml:space="preserve">Những giấy tờ dưới đây được cấp theo từng cá nhân hoặc từng vụ việc, nên không có một mẫu trống chung để người dùng tự tải và kê khai:</w:t>
      </w:r>
    </w:p>
    <w:p>
      <w:pPr>
        <w:pStyle w:val="Compact"/>
        <w:numPr>
          <w:ilvl w:val="0"/>
          <w:numId w:val="1001"/>
        </w:numPr>
      </w:pPr>
      <w:r>
        <w:t xml:space="preserve">Giấy tờ chứng minh người có công với cách mạng.</w:t>
      </w:r>
    </w:p>
    <w:p>
      <w:pPr>
        <w:pStyle w:val="Compact"/>
        <w:numPr>
          <w:ilvl w:val="0"/>
          <w:numId w:val="1001"/>
        </w:numPr>
      </w:pPr>
      <w:r>
        <w:t xml:space="preserve">Giấy chứng nhận thân nhân liệt sĩ.</w:t>
      </w:r>
    </w:p>
    <w:p>
      <w:pPr>
        <w:pStyle w:val="Compact"/>
        <w:numPr>
          <w:ilvl w:val="0"/>
          <w:numId w:val="1001"/>
        </w:numPr>
      </w:pPr>
      <w:r>
        <w:t xml:space="preserve">Giấy chứng nhận hộ nghèo hoặc hộ cận nghèo.</w:t>
      </w:r>
    </w:p>
    <w:p>
      <w:pPr>
        <w:pStyle w:val="Compact"/>
        <w:numPr>
          <w:ilvl w:val="0"/>
          <w:numId w:val="1001"/>
        </w:numPr>
      </w:pPr>
      <w:r>
        <w:t xml:space="preserve">Quyết định hoặc biên bản trả lại nhà ở công vụ.</w:t>
      </w:r>
    </w:p>
    <w:p>
      <w:pPr>
        <w:pStyle w:val="Compact"/>
        <w:numPr>
          <w:ilvl w:val="0"/>
          <w:numId w:val="1001"/>
        </w:numPr>
      </w:pPr>
      <w:r>
        <w:t xml:space="preserve">Quyết định thu hồi đất, quyết định giải tỏa hoặc phá dỡ nhà.</w:t>
      </w:r>
    </w:p>
    <w:p>
      <w:pPr>
        <w:pStyle w:val="Compact"/>
        <w:numPr>
          <w:ilvl w:val="0"/>
          <w:numId w:val="1001"/>
        </w:numPr>
      </w:pPr>
      <w:r>
        <w:t xml:space="preserve">Phương án bồi thường, hỗ trợ và tái định cư.</w:t>
      </w:r>
    </w:p>
    <w:p>
      <w:pPr>
        <w:pStyle w:val="Compact"/>
        <w:numPr>
          <w:ilvl w:val="0"/>
          <w:numId w:val="1001"/>
        </w:numPr>
      </w:pPr>
      <w:r>
        <w:t xml:space="preserve">Căn cước công dân.</w:t>
      </w:r>
    </w:p>
    <w:p>
      <w:pPr>
        <w:pStyle w:val="Compact"/>
        <w:numPr>
          <w:ilvl w:val="0"/>
          <w:numId w:val="1001"/>
        </w:numPr>
      </w:pPr>
      <w:r>
        <w:t xml:space="preserve">Giấy đăng ký kết hôn hoặc giấy xác nhận tình trạng hôn nhân.</w:t>
      </w:r>
    </w:p>
    <w:p>
      <w:pPr>
        <w:pStyle w:val="Compact"/>
        <w:numPr>
          <w:ilvl w:val="0"/>
          <w:numId w:val="1001"/>
        </w:numPr>
      </w:pPr>
      <w:r>
        <w:t xml:space="preserve">Thông tin hoặc giấy xác nhận cư trú.</w:t>
      </w:r>
    </w:p>
    <w:p>
      <w:pPr>
        <w:pStyle w:val="FirstParagraph"/>
      </w:pPr>
      <w:r>
        <w:t xml:space="preserve">Nhờ Legal xác nhận giấy tờ nào trong danh sách trên là thành phần hồ sơ bắt buộc theo luật và giấy tờ nào chỉ được chủ đầu tư yêu cầu bổ sung tùy dự án.</w:t>
      </w:r>
    </w:p>
    <w:bookmarkEnd w:id="34"/>
    <w:bookmarkStart w:id="35" w:name="điểm-cần-legal-đặc-biệt-lưu-ý"/>
    <w:p>
      <w:pPr>
        <w:pStyle w:val="Heading3"/>
      </w:pPr>
      <w:r>
        <w:t xml:space="preserve">4.4. Điểm cần Legal đặc biệt lưu ý</w:t>
      </w:r>
    </w:p>
    <w:p>
      <w:pPr>
        <w:pStyle w:val="FirstParagraph"/>
      </w:pPr>
      <w:r>
        <w:t xml:space="preserve">Mẫu 01 ban hành kèm Nghị định 261/2025/NĐ-CP vẫn thể hiện các ngưỡng thu nhập</w:t>
      </w:r>
      <w:r>
        <w:t xml:space="preserve"> </w:t>
      </w:r>
      <w:r>
        <w:rPr>
          <w:b/>
          <w:bCs/>
        </w:rPr>
        <w:t xml:space="preserve">20 triệu, 30 triệu và 40 triệu đồng</w:t>
      </w:r>
      <w:r>
        <w:t xml:space="preserve">.</w:t>
      </w:r>
    </w:p>
    <w:p>
      <w:pPr>
        <w:pStyle w:val="BodyText"/>
      </w:pPr>
      <w:r>
        <w:t xml:space="preserve">Trong khi đó, ngưỡng thu nhập đã được thay đổi sau đó tại Nghị định 136/2026/NĐ-CP và Quyết định 14/2026/QĐ-UBND TP.HCM.</w:t>
      </w:r>
    </w:p>
    <w:p>
      <w:pPr>
        <w:pStyle w:val="BodyText"/>
      </w:pPr>
      <w:r>
        <w:t xml:space="preserve">Nhờ Legal xác nhận:</w:t>
      </w:r>
    </w:p>
    <w:p>
      <w:pPr>
        <w:pStyle w:val="Compact"/>
        <w:numPr>
          <w:ilvl w:val="0"/>
          <w:numId w:val="1002"/>
        </w:numPr>
      </w:pPr>
      <w:r>
        <w:t xml:space="preserve">Có tiếp tục sử dụng nguyên trạng Mẫu 01 của Nghị định 261/2025 không?</w:t>
      </w:r>
    </w:p>
    <w:p>
      <w:pPr>
        <w:pStyle w:val="Compact"/>
        <w:numPr>
          <w:ilvl w:val="0"/>
          <w:numId w:val="1002"/>
        </w:numPr>
      </w:pPr>
      <w:r>
        <w:t xml:space="preserve">Người kê khai có được tự điều chỉnh các mức thu nhập trên mẫu theo quy định mới không?</w:t>
      </w:r>
    </w:p>
    <w:p>
      <w:pPr>
        <w:pStyle w:val="Compact"/>
        <w:numPr>
          <w:ilvl w:val="0"/>
          <w:numId w:val="1002"/>
        </w:numPr>
      </w:pPr>
      <w:r>
        <w:t xml:space="preserve">Có biểu mẫu hoặc hướng dẫn mới thay thế phần thu nhập trong Mẫu 01 chưa?</w:t>
      </w:r>
    </w:p>
    <w:p>
      <w:pPr>
        <w:pStyle w:val="Compact"/>
        <w:numPr>
          <w:ilvl w:val="0"/>
          <w:numId w:val="1002"/>
        </w:numPr>
      </w:pPr>
      <w:r>
        <w:t xml:space="preserve">Trước khi có hướng dẫn rõ, team có nên chỉ cung cấp link tham khảo và không cho người dùng tải mẫu để tự nộp hay không?</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congbao.hochiminhcity.gov.vn/cong-bao/van-ban/quyet-dinh/so/14-2026-qd-ubnd/ngay/28-03-2026/tai-ve/49167?cbid=49210" TargetMode="External" /><Relationship Type="http://schemas.openxmlformats.org/officeDocument/2006/relationships/hyperlink" Id="rId24" Target="https://datafiles.chinhphu.vn/cpp/files/vbpq/2024/11/56-bca.signed.pdf" TargetMode="External" /><Relationship Type="http://schemas.openxmlformats.org/officeDocument/2006/relationships/hyperlink" Id="rId25" Target="https://datafiles.chinhphu.vn/cpp/files/vbpq/2024/11/94-bqp.signed.pdf" TargetMode="External" /><Relationship Type="http://schemas.openxmlformats.org/officeDocument/2006/relationships/hyperlink" Id="rId20" Target="https://datafiles.chinhphu.vn/cpp/files/vbpq/2025/10/261nd.signed.pdf" TargetMode="External" /><Relationship Type="http://schemas.openxmlformats.org/officeDocument/2006/relationships/hyperlink" Id="rId22" Target="https://datafiles.chinhphu.vn/cpp/files/vbpq/2025/11/32-bxd.pdf" TargetMode="External" /><Relationship Type="http://schemas.openxmlformats.org/officeDocument/2006/relationships/hyperlink" Id="rId21" Target="https://datafiles.chinhphu.vn/cpp/files/vbpq/2026/02/08-bxd-kem.pdf" TargetMode="External" /><Relationship Type="http://schemas.openxmlformats.org/officeDocument/2006/relationships/hyperlink" Id="rId31" Target="https://datafiles.chinhphu.vn/cpp/files/vbpq/2026/4/136-ndcp.signed.pdf" TargetMode="External" /><Relationship Type="http://schemas.openxmlformats.org/officeDocument/2006/relationships/hyperlink" Id="rId23" Target="https://vanban.chinhphu.vn/?classid=1&amp;docid=210819&amp;pageid=27160" TargetMode="External" /><Relationship Type="http://schemas.openxmlformats.org/officeDocument/2006/relationships/hyperlink" Id="rId27" Target="https://vanban.chinhphu.vn/?docid=215594&amp;pageid=27160" TargetMode="External" /><Relationship Type="http://schemas.openxmlformats.org/officeDocument/2006/relationships/hyperlink" Id="rId29" Target="https://vanban.chinhphu.vn/?docid=215947&amp;pageid=27160" TargetMode="External" /><Relationship Type="http://schemas.openxmlformats.org/officeDocument/2006/relationships/hyperlink" Id="rId30" Target="https://vanban.chinhphu.vn/?docid=216924&amp;pageid=27160" TargetMode="External" /><Relationship Type="http://schemas.openxmlformats.org/officeDocument/2006/relationships/hyperlink" Id="rId28" Target="https://vanban.chinhphu.vn/?docid=216996&amp;pageid=27160" TargetMode="External" /></Relationships>
</file>

<file path=word/_rels/footnotes.xml.rels><?xml version="1.0" encoding="UTF-8"?><Relationships xmlns="http://schemas.openxmlformats.org/package/2006/relationships"><Relationship Type="http://schemas.openxmlformats.org/officeDocument/2006/relationships/hyperlink" Id="rId32" Target="https://congbao.hochiminhcity.gov.vn/cong-bao/van-ban/quyet-dinh/so/14-2026-qd-ubnd/ngay/28-03-2026/tai-ve/49167?cbid=49210" TargetMode="External" /><Relationship Type="http://schemas.openxmlformats.org/officeDocument/2006/relationships/hyperlink" Id="rId24" Target="https://datafiles.chinhphu.vn/cpp/files/vbpq/2024/11/56-bca.signed.pdf" TargetMode="External" /><Relationship Type="http://schemas.openxmlformats.org/officeDocument/2006/relationships/hyperlink" Id="rId25" Target="https://datafiles.chinhphu.vn/cpp/files/vbpq/2024/11/94-bqp.signed.pdf" TargetMode="External" /><Relationship Type="http://schemas.openxmlformats.org/officeDocument/2006/relationships/hyperlink" Id="rId20" Target="https://datafiles.chinhphu.vn/cpp/files/vbpq/2025/10/261nd.signed.pdf" TargetMode="External" /><Relationship Type="http://schemas.openxmlformats.org/officeDocument/2006/relationships/hyperlink" Id="rId22" Target="https://datafiles.chinhphu.vn/cpp/files/vbpq/2025/11/32-bxd.pdf" TargetMode="External" /><Relationship Type="http://schemas.openxmlformats.org/officeDocument/2006/relationships/hyperlink" Id="rId21" Target="https://datafiles.chinhphu.vn/cpp/files/vbpq/2026/02/08-bxd-kem.pdf" TargetMode="External" /><Relationship Type="http://schemas.openxmlformats.org/officeDocument/2006/relationships/hyperlink" Id="rId31" Target="https://datafiles.chinhphu.vn/cpp/files/vbpq/2026/4/136-ndcp.signed.pdf" TargetMode="External" /><Relationship Type="http://schemas.openxmlformats.org/officeDocument/2006/relationships/hyperlink" Id="rId23" Target="https://vanban.chinhphu.vn/?classid=1&amp;docid=210819&amp;pageid=27160" TargetMode="External" /><Relationship Type="http://schemas.openxmlformats.org/officeDocument/2006/relationships/hyperlink" Id="rId27" Target="https://vanban.chinhphu.vn/?docid=215594&amp;pageid=27160" TargetMode="External" /><Relationship Type="http://schemas.openxmlformats.org/officeDocument/2006/relationships/hyperlink" Id="rId29" Target="https://vanban.chinhphu.vn/?docid=215947&amp;pageid=27160" TargetMode="External" /><Relationship Type="http://schemas.openxmlformats.org/officeDocument/2006/relationships/hyperlink" Id="rId30" Target="https://vanban.chinhphu.vn/?docid=216924&amp;pageid=27160" TargetMode="External" /><Relationship Type="http://schemas.openxmlformats.org/officeDocument/2006/relationships/hyperlink" Id="rId28" Target="https://vanban.chinhphu.vn/?docid=216996&amp;pageid=271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2026-06-17T04:04:16Z</dcterms:created>
  <dcterms:modified xsi:type="dcterms:W3CDTF">2026-06-17T04:04:16Z</dcterms:modified>
</cp:coreProperties>
</file>

<file path=docProps/custom.xml><?xml version="1.0" encoding="utf-8"?>
<Properties xmlns="http://schemas.openxmlformats.org/officeDocument/2006/custom-properties" xmlns:vt="http://schemas.openxmlformats.org/officeDocument/2006/docPropsVTypes"/>
</file>