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MAI Mortgage Website – Executive Product Brief</w:t>
      </w:r>
    </w:p>
    <w:p>
      <w:pPr>
        <w:pStyle w:val="Heading2"/>
      </w:pPr>
      <w:r>
        <w:t>Executive Summary</w:t>
      </w:r>
    </w:p>
    <w:p>
      <w:r>
        <w:t>Team MAI is launching a premium, bilingual mortgage website designed to drive qualified applications, reinforce brand credibility, and clearly communicate our competitive advantage across purchase, refinance, self‑employed, and investor lending. This document outlines the proposed website structure, user experience strategy, and business objectives for executive alignment and approval.</w:t>
      </w:r>
    </w:p>
    <w:p>
      <w:pPr>
        <w:pStyle w:val="Heading2"/>
      </w:pPr>
      <w:r>
        <w:t>Business Objectives</w:t>
      </w:r>
    </w:p>
    <w:p>
      <w:r>
        <w:t>- Increase qualified mortgage applications</w:t>
        <w:br/>
        <w:t>- Strengthen personal brand and Team MAI credibility</w:t>
        <w:br/>
        <w:t>- Support bilingual (English / Vietnamese) client acquisition</w:t>
        <w:br/>
        <w:t>- Showcase production volume, past deals, and social proof</w:t>
        <w:br/>
        <w:t>- Educate first‑time buyers, self‑employed borrowers, and investors</w:t>
      </w:r>
    </w:p>
    <w:p>
      <w:pPr>
        <w:pStyle w:val="Heading2"/>
      </w:pPr>
      <w:r>
        <w:t>Target Audience</w:t>
      </w:r>
    </w:p>
    <w:p>
      <w:r>
        <w:t>- First‑time homebuyers (PA focus)</w:t>
        <w:br/>
        <w:t>- Vietnamese‑speaking households</w:t>
        <w:br/>
        <w:t>- Self‑employed business owners</w:t>
        <w:br/>
        <w:t>- Real estate investors (DSCR, mixed‑use)</w:t>
        <w:br/>
        <w:t>- Refinance clients seeking strategy guidance</w:t>
      </w:r>
    </w:p>
    <w:p>
      <w:pPr>
        <w:pStyle w:val="Heading2"/>
      </w:pPr>
      <w:r>
        <w:t>Homepage Strategy</w:t>
      </w:r>
    </w:p>
    <w:p>
      <w:r>
        <w:t>The homepage serves as a trust‑building and conversion engine. It features a strong hero section with professional branding, clear calls to action, visible production credibility, segmented loan paths, real client journeys, and a dynamic ‘Closed &amp; Funded’ success showcase.</w:t>
      </w:r>
    </w:p>
    <w:p>
      <w:pPr>
        <w:pStyle w:val="Heading2"/>
      </w:pPr>
      <w:r>
        <w:t>Core Sections Overview</w:t>
      </w:r>
    </w:p>
    <w:p>
      <w:r>
        <w:t>- Home / Landing Page</w:t>
        <w:br/>
        <w:t>- Loan Programs Overview</w:t>
        <w:br/>
        <w:t>- Individual Loan Program Detail Pages (SEO optimized)</w:t>
        <w:br/>
        <w:t>- Calculators Hub</w:t>
        <w:br/>
        <w:t>- Knowledge &amp; Blog Center</w:t>
        <w:br/>
        <w:t>- Reviews &amp; Past Deals</w:t>
        <w:br/>
        <w:t>- About / Team</w:t>
        <w:br/>
        <w:t>- Apply / Get Pre‑Approved</w:t>
      </w:r>
    </w:p>
    <w:p>
      <w:pPr>
        <w:pStyle w:val="Heading2"/>
      </w:pPr>
      <w:r>
        <w:t>Loan Program Structure</w:t>
      </w:r>
    </w:p>
    <w:p>
      <w:r>
        <w:t>Programs are organized into three clear groups: Purchase, Refinance, and Self‑Employed / Investor lending. Each program has its own detail page outlining eligibility, benefits, timelines, and example scenarios to reduce friction and improve conversion.</w:t>
      </w:r>
    </w:p>
    <w:p>
      <w:pPr>
        <w:pStyle w:val="Heading2"/>
      </w:pPr>
      <w:r>
        <w:t>Content &amp; Education Strategy</w:t>
      </w:r>
    </w:p>
    <w:p>
      <w:r>
        <w:t>The Knowledge section provides educational articles focused on first‑time buyers, Pennsylvania assistance programs, self‑employed lending, and refinance strategies. Content supports SEO growth and long‑term lead generation.</w:t>
      </w:r>
    </w:p>
    <w:p>
      <w:pPr>
        <w:pStyle w:val="Heading2"/>
      </w:pPr>
      <w:r>
        <w:t>Trust &amp; Social Proof</w:t>
      </w:r>
    </w:p>
    <w:p>
      <w:r>
        <w:t>Trust is reinforced through client reviews, star ratings, production highlights, closed‑deal galleries, and recognition tied to Absolute Mortgage &amp; Lending. Visual success stories are a key conversion driver.</w:t>
      </w:r>
    </w:p>
    <w:p>
      <w:pPr>
        <w:pStyle w:val="Heading2"/>
      </w:pPr>
      <w:r>
        <w:t>Brand &amp; Team Positioning</w:t>
      </w:r>
    </w:p>
    <w:p>
      <w:r>
        <w:t>The About section highlights Team MAI’s mission, bilingual advantage, local market expertise, and leadership. Individual team profiles humanize the brand while reinforcing professional credibility.</w:t>
      </w:r>
    </w:p>
    <w:p>
      <w:pPr>
        <w:pStyle w:val="Heading2"/>
      </w:pPr>
      <w:r>
        <w:t>Application Flow</w:t>
      </w:r>
    </w:p>
    <w:p>
      <w:r>
        <w:t>The Apply section offers two clear paths: a quick‑start form for early engagement and a full application for ready borrowers. Persistent calls to action and QR access ensure ease of conversion across devices.</w:t>
      </w:r>
    </w:p>
    <w:p>
      <w:pPr>
        <w:pStyle w:val="Heading2"/>
      </w:pPr>
      <w:r>
        <w:t>UX / Technology Considerations</w:t>
      </w:r>
    </w:p>
    <w:p>
      <w:r>
        <w:t>- Mobile‑first design</w:t>
        <w:br/>
        <w:t>- Sticky calls to action</w:t>
        <w:br/>
        <w:t>- CRM and lead tracking integration</w:t>
        <w:br/>
        <w:t>- ADA accessibility compliance</w:t>
        <w:br/>
        <w:t>- Optimized performance and page speed</w:t>
        <w:br/>
        <w:t>- Persistent bilingual toggle</w:t>
      </w:r>
    </w:p>
    <w:p>
      <w:pPr>
        <w:pStyle w:val="Heading2"/>
      </w:pPr>
      <w:r>
        <w:t>Executive Outcome</w:t>
      </w:r>
    </w:p>
    <w:p>
      <w:r>
        <w:t>This website positions Team MAI as a premium, trusted, and approachable mortgage brand. It supports scalable growth, higher‑quality leads, and long‑term brand equity while remaining operationally efficient.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