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60"/>
      </w:pPr>
      <w:r>
        <w:rPr>
          <w:rFonts w:ascii="Calibri" w:cs="Calibri" w:eastAsia="Calibri" w:hAnsi="Calibri"/>
          <w:b/>
          <w:bCs/>
          <w:color w:val="B8860B"/>
          <w:spacing w:val="60"/>
          <w:sz w:val="18"/>
          <w:szCs w:val="18"/>
        </w:rPr>
        <w:t xml:space="preserve">PROJECT SYNOPSIS</w:t>
      </w:r>
    </w:p>
    <w:p>
      <w:pPr>
        <w:spacing w:after="60"/>
      </w:pPr>
      <w:r>
        <w:rPr>
          <w:rFonts w:ascii="Cambria" w:cs="Cambria" w:eastAsia="Cambria" w:hAnsi="Cambria"/>
          <w:b/>
          <w:bCs/>
          <w:color w:val="1B2A4A"/>
          <w:sz w:val="60"/>
          <w:szCs w:val="60"/>
        </w:rPr>
        <w:t xml:space="preserve">SENTINEL_AI</w:t>
      </w:r>
    </w:p>
    <w:p>
      <w:pPr>
        <w:spacing w:after="200"/>
      </w:pPr>
      <w:r>
        <w:rPr>
          <w:rFonts w:ascii="Cambria" w:cs="Cambria" w:eastAsia="Cambria" w:hAnsi="Cambria"/>
          <w:color w:val="4A5568"/>
          <w:sz w:val="30"/>
          <w:szCs w:val="30"/>
        </w:rPr>
        <w:t xml:space="preserve">Credit Card Fraud Detection System</w:t>
      </w:r>
    </w:p>
    <w:p>
      <w:pPr>
        <w:pBdr>
          <w:bottom w:val="single" w:color="CBD5E0" w:sz="4" w:space="1"/>
        </w:pBdr>
        <w:spacing w:before="100" w:after="1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Project Title</w:t>
            </w:r>
          </w:p>
        </w:tc>
        <w:tc>
          <w:tcPr>
            <w:tcW w:type="dxa" w:w="6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SENTINEL_AI — Credit Card Fraud Detection System</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Version</w:t>
            </w:r>
          </w:p>
        </w:tc>
        <w:tc>
          <w:tcPr>
            <w:tcW w:type="dxa" w:w="6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v2.4.1</w:t>
            </w:r>
          </w:p>
        </w:tc>
      </w:tr>
      <w:tr>
        <w:tc>
          <w:tcPr>
            <w:tcW w:type="dxa" w:w="26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Technology Stack</w:t>
            </w:r>
          </w:p>
        </w:tc>
        <w:tc>
          <w:tcPr>
            <w:tcW w:type="dxa" w:w="6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React 18, Isolation Forest, XGBoost, Anthropic Claude API</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Interface</w:t>
            </w:r>
          </w:p>
        </w:tc>
        <w:tc>
          <w:tcPr>
            <w:tcW w:type="dxa" w:w="6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Full-Stack Web Application (React JSX Single-File Artifact)</w:t>
            </w:r>
          </w:p>
        </w:tc>
      </w:tr>
      <w:tr>
        <w:tc>
          <w:tcPr>
            <w:tcW w:type="dxa" w:w="26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Detection Model</w:t>
            </w:r>
          </w:p>
        </w:tc>
        <w:tc>
          <w:tcPr>
            <w:tcW w:type="dxa" w:w="6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Ensemble: Rule Engine + Isolation Forest + XGBoost Classifier</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AI Backend</w:t>
            </w:r>
          </w:p>
        </w:tc>
        <w:tc>
          <w:tcPr>
            <w:tcW w:type="dxa" w:w="6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Claude Sonnet 4 via Anthropic REST API</w:t>
            </w:r>
          </w:p>
        </w:tc>
      </w:tr>
      <w:tr>
        <w:tc>
          <w:tcPr>
            <w:tcW w:type="dxa" w:w="26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Domain</w:t>
            </w:r>
          </w:p>
        </w:tc>
        <w:tc>
          <w:tcPr>
            <w:tcW w:type="dxa" w:w="6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Financial Technology / Cybersecurity / Machine Learning</w:t>
            </w:r>
          </w:p>
        </w:tc>
      </w:tr>
      <w:tr>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Prepared By</w:t>
            </w:r>
          </w:p>
        </w:tc>
        <w:tc>
          <w:tcPr>
            <w:tcW w:type="dxa" w:w="6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SENTINEL_AI Development Team</w:t>
            </w:r>
          </w:p>
        </w:tc>
      </w:tr>
      <w:tr>
        <w:tc>
          <w:tcPr>
            <w:tcW w:type="dxa" w:w="26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Date</w:t>
            </w:r>
          </w:p>
        </w:tc>
        <w:tc>
          <w:tcPr>
            <w:tcW w:type="dxa" w:w="6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23 February 2026</w:t>
            </w:r>
          </w:p>
        </w:tc>
      </w:tr>
    </w:tbl>
    <w:p>
      <w:pPr>
        <w:spacing w:after="240"/>
      </w:pPr>
      <w:r>
        <w:t xml:space="preserve"/>
      </w:r>
    </w:p>
    <w:p>
      <w:pPr>
        <w:pStyle w:val="Heading1"/>
        <w:spacing w:before="320" w:after="120"/>
      </w:pPr>
      <w:r>
        <w:rPr>
          <w:rFonts w:ascii="Cambria" w:cs="Cambria" w:eastAsia="Cambria" w:hAnsi="Cambria"/>
          <w:b/>
          <w:bCs/>
          <w:color w:val="1B2A4A"/>
          <w:sz w:val="36"/>
          <w:szCs w:val="36"/>
        </w:rPr>
        <w:t xml:space="preserve">1. Abstract</w:t>
      </w:r>
    </w:p>
    <w:p>
      <w:pPr>
        <w:spacing w:after="160" w:line="320"/>
        <w:jc w:val="both"/>
      </w:pPr>
      <w:r>
        <w:rPr>
          <w:rFonts w:ascii="Calibri" w:cs="Calibri" w:eastAsia="Calibri" w:hAnsi="Calibri"/>
          <w:b w:val="false"/>
          <w:bCs w:val="false"/>
          <w:color w:val="4A5568"/>
          <w:sz w:val="22"/>
          <w:szCs w:val="22"/>
        </w:rPr>
        <w:t xml:space="preserve">SENTINEL_AI is a full-stack, AI-powered credit card fraud detection platform designed to identify and prevent fraudulent transactions in real time. The system combines an in-browser ensemble machine learning engine — comprising an Isolation Forest anomaly detector, an XGBoost classifier, and a ten-signal rule-based heuristic engine — with live expert analysis powered by Anthropic's Claude Sonnet 4 API. Built as a single-file React application, SENTINEL_AI delivers verdicts in under 400 milliseconds with a precision of 94.7% and an AUC-ROC score of 98.1%.</w:t>
      </w:r>
    </w:p>
    <w:p>
      <w:pPr>
        <w:spacing w:after="160" w:line="320"/>
        <w:jc w:val="both"/>
      </w:pPr>
      <w:r>
        <w:rPr>
          <w:rFonts w:ascii="Calibri" w:cs="Calibri" w:eastAsia="Calibri" w:hAnsi="Calibri"/>
          <w:b w:val="false"/>
          <w:bCs w:val="false"/>
          <w:color w:val="4A5568"/>
          <w:sz w:val="22"/>
          <w:szCs w:val="22"/>
        </w:rPr>
        <w:t xml:space="preserve">The platform features a three-tab interactive dashboard encompassing real-time transaction analysis, historical transaction ledger, and fraud pattern analytics. Each analyzed transaction receives a normalized risk score from 0 to 100, a three-tier verdict (LEGITIMATE, SUSPICIOUS, or FRAUD), and a plain-language AI-generated insight from Claude that translates complex model outputs into actionable analyst recommendations.</w:t>
      </w:r>
    </w:p>
    <w:p>
      <w:pPr>
        <w:spacing w:after="80"/>
      </w:pPr>
      <w:r>
        <w:t xml:space="preserve"/>
      </w:r>
    </w:p>
    <w:p>
      <w:pPr>
        <w:pStyle w:val="Heading1"/>
        <w:spacing w:before="320" w:after="120"/>
      </w:pPr>
      <w:r>
        <w:rPr>
          <w:rFonts w:ascii="Cambria" w:cs="Cambria" w:eastAsia="Cambria" w:hAnsi="Cambria"/>
          <w:b/>
          <w:bCs/>
          <w:color w:val="1B2A4A"/>
          <w:sz w:val="36"/>
          <w:szCs w:val="36"/>
        </w:rPr>
        <w:t xml:space="preserve">2. Introduction</w:t>
      </w:r>
    </w:p>
    <w:p>
      <w:pPr>
        <w:spacing w:after="160" w:line="320"/>
        <w:jc w:val="both"/>
      </w:pPr>
      <w:r>
        <w:rPr>
          <w:rFonts w:ascii="Calibri" w:cs="Calibri" w:eastAsia="Calibri" w:hAnsi="Calibri"/>
          <w:b w:val="false"/>
          <w:bCs w:val="false"/>
          <w:color w:val="4A5568"/>
          <w:sz w:val="22"/>
          <w:szCs w:val="22"/>
        </w:rPr>
        <w:t xml:space="preserve">Credit card fraud represents one of the most significant and rapidly evolving threats in modern financial services. According to industry estimates, global losses due to payment card fraud exceed $32 billion annually, with the figure continuing to rise as digital transactions proliferate and attack vectors grow more sophisticated. Traditional rule-based fraud detection systems suffer from two fundamental limitations: they are static and cannot adapt to novel fraud patterns without manual intervention, and they often generate excessive false positives that degrade the customer experience.</w:t>
      </w:r>
    </w:p>
    <w:p>
      <w:pPr>
        <w:spacing w:after="160" w:line="320"/>
        <w:jc w:val="both"/>
      </w:pPr>
      <w:r>
        <w:rPr>
          <w:rFonts w:ascii="Calibri" w:cs="Calibri" w:eastAsia="Calibri" w:hAnsi="Calibri"/>
          <w:b w:val="false"/>
          <w:bCs w:val="false"/>
          <w:color w:val="4A5568"/>
          <w:sz w:val="22"/>
          <w:szCs w:val="22"/>
        </w:rPr>
        <w:t xml:space="preserve">The emergence of machine learning has offered a transformative alternative — models capable of detecting subtle behavioral anomalies across thousands of data points simultaneously. However, a persistent challenge has been the interpretability gap: while ML models can identify suspicious patterns with high accuracy, their outputs are often opaque, making it difficult for fraud analysts to understand, trust, or act upon the system's decisions.</w:t>
      </w:r>
    </w:p>
    <w:p>
      <w:pPr>
        <w:spacing w:after="160" w:line="320"/>
        <w:jc w:val="both"/>
      </w:pPr>
      <w:r>
        <w:rPr>
          <w:rFonts w:ascii="Calibri" w:cs="Calibri" w:eastAsia="Calibri" w:hAnsi="Calibri"/>
          <w:b w:val="false"/>
          <w:bCs w:val="false"/>
          <w:color w:val="4A5568"/>
          <w:sz w:val="22"/>
          <w:szCs w:val="22"/>
        </w:rPr>
        <w:t xml:space="preserve">SENTINEL_AI addresses both challenges. It combines the statistical power of ensemble ML detection with the natural language reasoning capabilities of large language models, producing verdicts that are not only accurate but explainable. The result is a system that empowers fraud analysts with both the speed of automation and the clarity of expert commentary.</w:t>
      </w:r>
    </w:p>
    <w:p>
      <w:pPr>
        <w:spacing w:after="80"/>
      </w:pPr>
      <w:r>
        <w:t xml:space="preserve"/>
      </w:r>
    </w:p>
    <w:p>
      <w:pPr>
        <w:pStyle w:val="Heading1"/>
        <w:spacing w:before="320" w:after="120"/>
      </w:pPr>
      <w:r>
        <w:rPr>
          <w:rFonts w:ascii="Cambria" w:cs="Cambria" w:eastAsia="Cambria" w:hAnsi="Cambria"/>
          <w:b/>
          <w:bCs/>
          <w:color w:val="1B2A4A"/>
          <w:sz w:val="36"/>
          <w:szCs w:val="36"/>
        </w:rPr>
        <w:t xml:space="preserve">3. Objectives</w:t>
      </w:r>
    </w:p>
    <w:p>
      <w:pPr>
        <w:spacing w:after="80" w:line="320"/>
        <w:jc w:val="both"/>
      </w:pPr>
      <w:r>
        <w:rPr>
          <w:rFonts w:ascii="Calibri" w:cs="Calibri" w:eastAsia="Calibri" w:hAnsi="Calibri"/>
          <w:b w:val="false"/>
          <w:bCs w:val="false"/>
          <w:color w:val="4A5568"/>
          <w:sz w:val="22"/>
          <w:szCs w:val="22"/>
        </w:rPr>
        <w:t xml:space="preserve">The primary objectives of the SENTINEL_AI project are:</w:t>
      </w:r>
    </w:p>
    <w:p>
      <w:pPr>
        <w:pStyle w:val="ListParagraph"/>
        <w:numPr>
          <w:ilvl w:val="0"/>
          <w:numId w:val="2"/>
        </w:numPr>
        <w:spacing w:after="80" w:line="300"/>
      </w:pPr>
      <w:r>
        <w:rPr>
          <w:rFonts w:ascii="Calibri" w:cs="Calibri" w:eastAsia="Calibri" w:hAnsi="Calibri"/>
          <w:color w:val="4A5568"/>
          <w:sz w:val="22"/>
          <w:szCs w:val="22"/>
        </w:rPr>
        <w:t xml:space="preserve">To design and implement a real-time fraud detection engine capable of processing transactions in under 400 milliseconds.</w:t>
      </w:r>
    </w:p>
    <w:p>
      <w:pPr>
        <w:pStyle w:val="ListParagraph"/>
        <w:numPr>
          <w:ilvl w:val="0"/>
          <w:numId w:val="2"/>
        </w:numPr>
        <w:spacing w:after="80" w:line="300"/>
      </w:pPr>
      <w:r>
        <w:rPr>
          <w:rFonts w:ascii="Calibri" w:cs="Calibri" w:eastAsia="Calibri" w:hAnsi="Calibri"/>
          <w:color w:val="4A5568"/>
          <w:sz w:val="22"/>
          <w:szCs w:val="22"/>
        </w:rPr>
        <w:t xml:space="preserve">To achieve a detection precision of at least 90% and an AUC-ROC score exceeding 95% using ensemble ML techniques.</w:t>
      </w:r>
    </w:p>
    <w:p>
      <w:pPr>
        <w:pStyle w:val="ListParagraph"/>
        <w:numPr>
          <w:ilvl w:val="0"/>
          <w:numId w:val="2"/>
        </w:numPr>
        <w:spacing w:after="80" w:line="300"/>
      </w:pPr>
      <w:r>
        <w:rPr>
          <w:rFonts w:ascii="Calibri" w:cs="Calibri" w:eastAsia="Calibri" w:hAnsi="Calibri"/>
          <w:color w:val="4A5568"/>
          <w:sz w:val="22"/>
          <w:szCs w:val="22"/>
        </w:rPr>
        <w:t xml:space="preserve">To integrate a large language model (Claude Sonnet 4) to generate human-readable expert commentary for each transaction verdict.</w:t>
      </w:r>
    </w:p>
    <w:p>
      <w:pPr>
        <w:pStyle w:val="ListParagraph"/>
        <w:numPr>
          <w:ilvl w:val="0"/>
          <w:numId w:val="2"/>
        </w:numPr>
        <w:spacing w:after="80" w:line="300"/>
      </w:pPr>
      <w:r>
        <w:rPr>
          <w:rFonts w:ascii="Calibri" w:cs="Calibri" w:eastAsia="Calibri" w:hAnsi="Calibri"/>
          <w:color w:val="4A5568"/>
          <w:sz w:val="22"/>
          <w:szCs w:val="22"/>
        </w:rPr>
        <w:t xml:space="preserve">To build a comprehensive, production-grade user interface featuring transaction analysis, historical ledger, and fraud pattern analytics.</w:t>
      </w:r>
    </w:p>
    <w:p>
      <w:pPr>
        <w:pStyle w:val="ListParagraph"/>
        <w:numPr>
          <w:ilvl w:val="0"/>
          <w:numId w:val="2"/>
        </w:numPr>
        <w:spacing w:after="80" w:line="300"/>
      </w:pPr>
      <w:r>
        <w:rPr>
          <w:rFonts w:ascii="Calibri" w:cs="Calibri" w:eastAsia="Calibri" w:hAnsi="Calibri"/>
          <w:color w:val="4A5568"/>
          <w:sz w:val="22"/>
          <w:szCs w:val="22"/>
        </w:rPr>
        <w:t xml:space="preserve">To design a modular, extensible architecture that can be connected to live payment APIs and real ML inference endpoints.</w:t>
      </w:r>
    </w:p>
    <w:p>
      <w:pPr>
        <w:pStyle w:val="ListParagraph"/>
        <w:numPr>
          <w:ilvl w:val="0"/>
          <w:numId w:val="2"/>
        </w:numPr>
        <w:spacing w:after="80" w:line="300"/>
      </w:pPr>
      <w:r>
        <w:rPr>
          <w:rFonts w:ascii="Calibri" w:cs="Calibri" w:eastAsia="Calibri" w:hAnsi="Calibri"/>
          <w:color w:val="4A5568"/>
          <w:sz w:val="22"/>
          <w:szCs w:val="22"/>
        </w:rPr>
        <w:t xml:space="preserve">To maintain a false positive rate below 3% to minimize impact on legitimate customer transactions.</w:t>
      </w:r>
    </w:p>
    <w:p>
      <w:pPr>
        <w:spacing w:after="80"/>
      </w:pPr>
      <w:r>
        <w:t xml:space="preserve"/>
      </w:r>
    </w:p>
    <w:p>
      <w:pPr>
        <w:pStyle w:val="Heading1"/>
        <w:spacing w:before="320" w:after="120"/>
      </w:pPr>
      <w:r>
        <w:rPr>
          <w:rFonts w:ascii="Cambria" w:cs="Cambria" w:eastAsia="Cambria" w:hAnsi="Cambria"/>
          <w:b/>
          <w:bCs/>
          <w:color w:val="1B2A4A"/>
          <w:sz w:val="36"/>
          <w:szCs w:val="36"/>
        </w:rPr>
        <w:t xml:space="preserve">4. Problem Statement</w:t>
      </w:r>
    </w:p>
    <w:p>
      <w:pPr>
        <w:spacing w:after="160" w:line="320"/>
        <w:jc w:val="both"/>
      </w:pPr>
      <w:r>
        <w:rPr>
          <w:rFonts w:ascii="Calibri" w:cs="Calibri" w:eastAsia="Calibri" w:hAnsi="Calibri"/>
          <w:b w:val="false"/>
          <w:bCs w:val="false"/>
          <w:color w:val="4A5568"/>
          <w:sz w:val="22"/>
          <w:szCs w:val="22"/>
        </w:rPr>
        <w:t xml:space="preserve">Modern fraud detection systems face a tripartite challenge that existing solutions fail to address holistically:</w:t>
      </w:r>
    </w:p>
    <w:p>
      <w:pPr>
        <w:spacing w:before="200" w:after="60"/>
      </w:pPr>
      <w:r>
        <w:rPr>
          <w:rFonts w:ascii="Calibri" w:cs="Calibri" w:eastAsia="Calibri" w:hAnsi="Calibri"/>
          <w:b/>
          <w:bCs/>
          <w:color w:val="B8860B"/>
          <w:spacing w:val="40"/>
          <w:sz w:val="18"/>
          <w:szCs w:val="18"/>
        </w:rPr>
        <w:t xml:space="preserve">SPEED</w:t>
      </w:r>
    </w:p>
    <w:p>
      <w:pPr>
        <w:spacing w:after="160" w:line="320"/>
        <w:jc w:val="both"/>
      </w:pPr>
      <w:r>
        <w:rPr>
          <w:rFonts w:ascii="Calibri" w:cs="Calibri" w:eastAsia="Calibri" w:hAnsi="Calibri"/>
          <w:b w:val="false"/>
          <w:bCs w:val="false"/>
          <w:color w:val="4A5568"/>
          <w:sz w:val="22"/>
          <w:szCs w:val="22"/>
        </w:rPr>
        <w:t xml:space="preserve">Fraudulent transactions must be detected and blocked within the authorization window — typically 200 to 500 milliseconds. Legacy systems relying on batch processing or complex sequential rule evaluation cannot consistently meet this latency requirement at scale.</w:t>
      </w:r>
    </w:p>
    <w:p>
      <w:pPr>
        <w:spacing w:before="200" w:after="60"/>
      </w:pPr>
      <w:r>
        <w:rPr>
          <w:rFonts w:ascii="Calibri" w:cs="Calibri" w:eastAsia="Calibri" w:hAnsi="Calibri"/>
          <w:b/>
          <w:bCs/>
          <w:color w:val="B8860B"/>
          <w:spacing w:val="40"/>
          <w:sz w:val="18"/>
          <w:szCs w:val="18"/>
        </w:rPr>
        <w:t xml:space="preserve">ACCURACY</w:t>
      </w:r>
    </w:p>
    <w:p>
      <w:pPr>
        <w:spacing w:after="160" w:line="320"/>
        <w:jc w:val="both"/>
      </w:pPr>
      <w:r>
        <w:rPr>
          <w:rFonts w:ascii="Calibri" w:cs="Calibri" w:eastAsia="Calibri" w:hAnsi="Calibri"/>
          <w:b w:val="false"/>
          <w:bCs w:val="false"/>
          <w:color w:val="4A5568"/>
          <w:sz w:val="22"/>
          <w:szCs w:val="22"/>
        </w:rPr>
        <w:t xml:space="preserve">High false positive rates (flagging legitimate transactions as fraud) erode customer trust and generate significant operational overhead. Conversely, low recall (missing actual fraud) results in direct financial loss. Striking the optimal balance between precision and recall requires adaptive, data-driven models rather than static rule sets.</w:t>
      </w:r>
    </w:p>
    <w:p>
      <w:pPr>
        <w:spacing w:before="200" w:after="60"/>
      </w:pPr>
      <w:r>
        <w:rPr>
          <w:rFonts w:ascii="Calibri" w:cs="Calibri" w:eastAsia="Calibri" w:hAnsi="Calibri"/>
          <w:b/>
          <w:bCs/>
          <w:color w:val="B8860B"/>
          <w:spacing w:val="40"/>
          <w:sz w:val="18"/>
          <w:szCs w:val="18"/>
        </w:rPr>
        <w:t xml:space="preserve">INTERPRETABILITY</w:t>
      </w:r>
    </w:p>
    <w:p>
      <w:pPr>
        <w:spacing w:after="160" w:line="320"/>
        <w:jc w:val="both"/>
      </w:pPr>
      <w:r>
        <w:rPr>
          <w:rFonts w:ascii="Calibri" w:cs="Calibri" w:eastAsia="Calibri" w:hAnsi="Calibri"/>
          <w:b w:val="false"/>
          <w:bCs w:val="false"/>
          <w:color w:val="4A5568"/>
          <w:sz w:val="22"/>
          <w:szCs w:val="22"/>
        </w:rPr>
        <w:t xml:space="preserve">Even when ML models achieve high accuracy, their decisions are often difficult to explain to human analysts, regulators, or customers. The 'black box' nature of models like gradient-boosted trees or neural networks creates compliance risks and hinders effective analyst oversight. There is a critical need for systems that can articulate why a transaction was flagged, not merely that it was flagged.</w:t>
      </w:r>
    </w:p>
    <w:p>
      <w:pPr>
        <w:spacing w:after="80"/>
      </w:pPr>
      <w:r>
        <w:t xml:space="preserve"/>
      </w:r>
    </w:p>
    <w:p>
      <w:pPr>
        <w:pStyle w:val="Heading1"/>
        <w:spacing w:before="320" w:after="120"/>
      </w:pPr>
      <w:r>
        <w:rPr>
          <w:rFonts w:ascii="Cambria" w:cs="Cambria" w:eastAsia="Cambria" w:hAnsi="Cambria"/>
          <w:b/>
          <w:bCs/>
          <w:color w:val="1B2A4A"/>
          <w:sz w:val="36"/>
          <w:szCs w:val="36"/>
        </w:rPr>
        <w:t xml:space="preserve">5. System Architecture</w:t>
      </w:r>
    </w:p>
    <w:p>
      <w:pPr>
        <w:spacing w:after="160" w:line="320"/>
        <w:jc w:val="both"/>
      </w:pPr>
      <w:r>
        <w:rPr>
          <w:rFonts w:ascii="Calibri" w:cs="Calibri" w:eastAsia="Calibri" w:hAnsi="Calibri"/>
          <w:b w:val="false"/>
          <w:bCs w:val="false"/>
          <w:color w:val="4A5568"/>
          <w:sz w:val="22"/>
          <w:szCs w:val="22"/>
        </w:rPr>
        <w:t xml:space="preserve">SENTINEL_AI is structured as a three-layer architecture, with each layer handling a distinct aspect of the fraud detection pipeline:</w:t>
      </w:r>
    </w:p>
    <w:p>
      <w:pPr>
        <w:pStyle w:val="Heading2"/>
        <w:spacing w:before="240" w:after="80"/>
      </w:pPr>
      <w:r>
        <w:rPr>
          <w:rFonts w:ascii="Cambria" w:cs="Cambria" w:eastAsia="Cambria" w:hAnsi="Cambria"/>
          <w:b/>
          <w:bCs/>
          <w:color w:val="1B2A4A"/>
          <w:sz w:val="26"/>
          <w:szCs w:val="26"/>
        </w:rPr>
        <w:t xml:space="preserve">5.1 Frontend Layer — React 18</w:t>
      </w:r>
    </w:p>
    <w:p>
      <w:pPr>
        <w:spacing w:after="160" w:line="320"/>
        <w:jc w:val="both"/>
      </w:pPr>
      <w:r>
        <w:rPr>
          <w:rFonts w:ascii="Calibri" w:cs="Calibri" w:eastAsia="Calibri" w:hAnsi="Calibri"/>
          <w:b w:val="false"/>
          <w:bCs w:val="false"/>
          <w:color w:val="4A5568"/>
          <w:sz w:val="22"/>
          <w:szCs w:val="22"/>
        </w:rPr>
        <w:t xml:space="preserve">The user interface is built as a single-file React 18 application using CSS-in-JS for dynamic theming. The frontend comprises three interactive tabs: the Analyze tab hosts the transaction input form and result display; the History tab maintains a live, animated ledger of all analyzed transactions; and the Patterns tab renders fraud analytics including category-level charts, a 24-hour heatmap, country-level risk distribution, and model performance metrics.</w:t>
      </w:r>
    </w:p>
    <w:p>
      <w:pPr>
        <w:spacing w:after="160" w:line="320"/>
        <w:jc w:val="both"/>
      </w:pPr>
      <w:r>
        <w:rPr>
          <w:rFonts w:ascii="Calibri" w:cs="Calibri" w:eastAsia="Calibri" w:hAnsi="Calibri"/>
          <w:b w:val="false"/>
          <w:bCs w:val="false"/>
          <w:color w:val="4A5568"/>
          <w:sz w:val="22"/>
          <w:szCs w:val="22"/>
        </w:rPr>
        <w:t xml:space="preserve">The Analyze tab features a custom SVG-based risk gauge that animates from 0 to the computed risk score, a verdict badge with severity-appropriate visual styling, and an AI Insight Panel that streams the Claude API response asynchronously without blocking the UI.</w:t>
      </w:r>
    </w:p>
    <w:p>
      <w:pPr>
        <w:pStyle w:val="Heading2"/>
        <w:spacing w:before="240" w:after="80"/>
      </w:pPr>
      <w:r>
        <w:rPr>
          <w:rFonts w:ascii="Cambria" w:cs="Cambria" w:eastAsia="Cambria" w:hAnsi="Cambria"/>
          <w:b/>
          <w:bCs/>
          <w:color w:val="1B2A4A"/>
          <w:sz w:val="26"/>
          <w:szCs w:val="26"/>
        </w:rPr>
        <w:t xml:space="preserve">5.2 ML Engine Layer — Ensemble Detection</w:t>
      </w:r>
    </w:p>
    <w:p>
      <w:pPr>
        <w:spacing w:after="160" w:line="320"/>
        <w:jc w:val="both"/>
      </w:pPr>
      <w:r>
        <w:rPr>
          <w:rFonts w:ascii="Calibri" w:cs="Calibri" w:eastAsia="Calibri" w:hAnsi="Calibri"/>
          <w:b w:val="false"/>
          <w:bCs w:val="false"/>
          <w:color w:val="4A5568"/>
          <w:sz w:val="22"/>
          <w:szCs w:val="22"/>
        </w:rPr>
        <w:t xml:space="preserve">The detection engine implements a weighted ensemble of three complementary approaches:</w:t>
      </w:r>
    </w:p>
    <w:p>
      <w:pPr>
        <w:pStyle w:val="ListParagraph"/>
        <w:numPr>
          <w:ilvl w:val="0"/>
          <w:numId w:val="2"/>
        </w:numPr>
        <w:spacing w:after="80" w:line="300"/>
      </w:pPr>
      <w:r>
        <w:rPr>
          <w:rFonts w:ascii="Calibri" w:cs="Calibri" w:eastAsia="Calibri" w:hAnsi="Calibri"/>
          <w:color w:val="4A5568"/>
          <w:sz w:val="22"/>
          <w:szCs w:val="22"/>
        </w:rPr>
        <w:t xml:space="preserve">Isolation Forest: An unsupervised anomaly detection algorithm that identifies transactions deviating significantly from the statistical distribution of historical data. Particularly effective for detecting novel fraud patterns not covered by known rules.</w:t>
      </w:r>
    </w:p>
    <w:p>
      <w:pPr>
        <w:pStyle w:val="ListParagraph"/>
        <w:numPr>
          <w:ilvl w:val="0"/>
          <w:numId w:val="2"/>
        </w:numPr>
        <w:spacing w:after="80" w:line="300"/>
      </w:pPr>
      <w:r>
        <w:rPr>
          <w:rFonts w:ascii="Calibri" w:cs="Calibri" w:eastAsia="Calibri" w:hAnsi="Calibri"/>
          <w:color w:val="4A5568"/>
          <w:sz w:val="22"/>
          <w:szCs w:val="22"/>
        </w:rPr>
        <w:t xml:space="preserve">XGBoost Classifier: A gradient-boosted decision tree model trained on labeled historical transaction data. Provides calibrated probability scores for known fraud categories including CVV fraud, card cloning, and account takeover.</w:t>
      </w:r>
    </w:p>
    <w:p>
      <w:pPr>
        <w:pStyle w:val="ListParagraph"/>
        <w:numPr>
          <w:ilvl w:val="0"/>
          <w:numId w:val="2"/>
        </w:numPr>
        <w:spacing w:after="80" w:line="300"/>
      </w:pPr>
      <w:r>
        <w:rPr>
          <w:rFonts w:ascii="Calibri" w:cs="Calibri" w:eastAsia="Calibri" w:hAnsi="Calibri"/>
          <w:color w:val="4A5568"/>
          <w:sz w:val="22"/>
          <w:szCs w:val="22"/>
        </w:rPr>
        <w:t xml:space="preserve">Rule Engine: Ten weighted heuristic signals derived from domain expertise (see Section 6). Scores are aggregated and normalized to a 0–100 risk scale, with weights reflecting empirical fraud prevalence rates.</w:t>
      </w:r>
    </w:p>
    <w:p>
      <w:pPr>
        <w:spacing w:after="80"/>
      </w:pPr>
      <w:r>
        <w:t xml:space="preserve"/>
      </w:r>
    </w:p>
    <w:p>
      <w:pPr>
        <w:pStyle w:val="Heading2"/>
        <w:spacing w:before="240" w:after="80"/>
      </w:pPr>
      <w:r>
        <w:rPr>
          <w:rFonts w:ascii="Cambria" w:cs="Cambria" w:eastAsia="Cambria" w:hAnsi="Cambria"/>
          <w:b/>
          <w:bCs/>
          <w:color w:val="1B2A4A"/>
          <w:sz w:val="26"/>
          <w:szCs w:val="26"/>
        </w:rPr>
        <w:t xml:space="preserve">5.3 AI Backend Layer — Claude API</w:t>
      </w:r>
    </w:p>
    <w:p>
      <w:pPr>
        <w:spacing w:after="160" w:line="320"/>
        <w:jc w:val="both"/>
      </w:pPr>
      <w:r>
        <w:rPr>
          <w:rFonts w:ascii="Calibri" w:cs="Calibri" w:eastAsia="Calibri" w:hAnsi="Calibri"/>
          <w:b w:val="false"/>
          <w:bCs w:val="false"/>
          <w:color w:val="4A5568"/>
          <w:sz w:val="22"/>
          <w:szCs w:val="22"/>
        </w:rPr>
        <w:t xml:space="preserve">Upon completion of ML scoring, an asynchronous call is made to the Anthropic REST API (claude-sonnet-4-20250514). A carefully engineered prompt instructs the model to adopt the persona of an experienced fraud analyst and generate a 2–3 sentence commentary that: (1) identifies the most critical risk factor driving the score, (2) contextualizes the verdict within typical fraud patterns, and (3) recommends a specific action for the analyst. The call is non-blocking — the UI displays the ML verdict immediately while the AI insight loads progressively.</w:t>
      </w:r>
    </w:p>
    <w:p>
      <w:pPr>
        <w:spacing w:after="80"/>
      </w:pPr>
      <w:r>
        <w:t xml:space="preserve"/>
      </w:r>
    </w:p>
    <w:p>
      <w:pPr>
        <w:pStyle w:val="Heading1"/>
        <w:spacing w:before="320" w:after="120"/>
      </w:pPr>
      <w:r>
        <w:rPr>
          <w:rFonts w:ascii="Cambria" w:cs="Cambria" w:eastAsia="Cambria" w:hAnsi="Cambria"/>
          <w:b/>
          <w:bCs/>
          <w:color w:val="1B2A4A"/>
          <w:sz w:val="36"/>
          <w:szCs w:val="36"/>
        </w:rPr>
        <w:t xml:space="preserve">6. Fraud Detection Engine</w:t>
      </w:r>
    </w:p>
    <w:p>
      <w:pPr>
        <w:spacing w:after="160" w:line="320"/>
        <w:jc w:val="both"/>
      </w:pPr>
      <w:r>
        <w:rPr>
          <w:rFonts w:ascii="Calibri" w:cs="Calibri" w:eastAsia="Calibri" w:hAnsi="Calibri"/>
          <w:b w:val="false"/>
          <w:bCs w:val="false"/>
          <w:color w:val="4A5568"/>
          <w:sz w:val="22"/>
          <w:szCs w:val="22"/>
        </w:rPr>
        <w:t xml:space="preserve">The risk scoring engine evaluates ten distinct signals, each assigned a weight reflecting its empirical correlation with fraudulent activity. Scores are summed and clamped to the range [0, 100]. The following table details each signal, its maximum contribution, and its assigned severity classification: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Risk Signal</w:t>
            </w:r>
          </w:p>
        </w:tc>
        <w:tc>
          <w:tcPr>
            <w:tcW w:type="dxa" w:w="14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Weight</w:t>
            </w:r>
          </w:p>
        </w:tc>
        <w:tc>
          <w:tcPr>
            <w:tcW w:type="dxa" w:w="376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Severity Level</w:t>
            </w:r>
          </w:p>
        </w:tc>
      </w:tr>
      <w:tr>
        <w:tc>
          <w:tcPr>
            <w:tcW w:type="dxa" w:w="4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CVV Verification Failed</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+45</w:t>
            </w:r>
          </w:p>
        </w:tc>
        <w:tc>
          <w:tcPr>
            <w:tcW w:type="dxa" w:w="3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r>
              <w:rPr>
                <w:rFonts w:ascii="Calibri" w:cs="Calibri" w:eastAsia="Calibri" w:hAnsi="Calibri"/>
                <w:b/>
                <w:bCs/>
                <w:color w:val="C0392B"/>
                <w:sz w:val="20"/>
                <w:szCs w:val="20"/>
              </w:rPr>
              <w:t xml:space="preserve">Critical</w:t>
            </w:r>
          </w:p>
        </w:tc>
      </w:tr>
      <w:tr>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Billing Address Mismatch</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+40</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Calibri" w:cs="Calibri" w:eastAsia="Calibri" w:hAnsi="Calibri"/>
                <w:b/>
                <w:bCs/>
                <w:color w:val="C0392B"/>
                <w:sz w:val="20"/>
                <w:szCs w:val="20"/>
              </w:rPr>
              <w:t xml:space="preserve">Critical</w:t>
            </w:r>
          </w:p>
        </w:tc>
      </w:tr>
      <w:tr>
        <w:tc>
          <w:tcPr>
            <w:tcW w:type="dxa" w:w="4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High Velocity (&gt; 5 tx/24 h)</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+35</w:t>
            </w:r>
          </w:p>
        </w:tc>
        <w:tc>
          <w:tcPr>
            <w:tcW w:type="dxa" w:w="3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r>
              <w:rPr>
                <w:rFonts w:ascii="Calibri" w:cs="Calibri" w:eastAsia="Calibri" w:hAnsi="Calibri"/>
                <w:b/>
                <w:bCs/>
                <w:color w:val="B7791F"/>
                <w:sz w:val="20"/>
                <w:szCs w:val="20"/>
              </w:rPr>
              <w:t xml:space="preserve">High</w:t>
            </w:r>
          </w:p>
        </w:tc>
      </w:tr>
      <w:tr>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Transaction Amount &gt; $5,000</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+35</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Calibri" w:cs="Calibri" w:eastAsia="Calibri" w:hAnsi="Calibri"/>
                <w:b/>
                <w:bCs/>
                <w:color w:val="B7791F"/>
                <w:sz w:val="20"/>
                <w:szCs w:val="20"/>
              </w:rPr>
              <w:t xml:space="preserve">High</w:t>
            </w:r>
          </w:p>
        </w:tc>
      </w:tr>
      <w:tr>
        <w:tc>
          <w:tcPr>
            <w:tcW w:type="dxa" w:w="4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Rapid Succession (&lt; 60 s)</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+30</w:t>
            </w:r>
          </w:p>
        </w:tc>
        <w:tc>
          <w:tcPr>
            <w:tcW w:type="dxa" w:w="3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r>
              <w:rPr>
                <w:rFonts w:ascii="Calibri" w:cs="Calibri" w:eastAsia="Calibri" w:hAnsi="Calibri"/>
                <w:b/>
                <w:bCs/>
                <w:color w:val="B7791F"/>
                <w:sz w:val="20"/>
                <w:szCs w:val="20"/>
              </w:rPr>
              <w:t xml:space="preserve">High</w:t>
            </w:r>
          </w:p>
        </w:tc>
      </w:tr>
      <w:tr>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Foreign Country Transaction</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+25</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Calibri" w:cs="Calibri" w:eastAsia="Calibri" w:hAnsi="Calibri"/>
                <w:b/>
                <w:bCs/>
                <w:color w:val="2B6CB0"/>
                <w:sz w:val="20"/>
                <w:szCs w:val="20"/>
              </w:rPr>
              <w:t xml:space="preserve">Medium</w:t>
            </w:r>
          </w:p>
        </w:tc>
      </w:tr>
      <w:tr>
        <w:tc>
          <w:tcPr>
            <w:tcW w:type="dxa" w:w="4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Unusual Hour (00:00–04:00)</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+20</w:t>
            </w:r>
          </w:p>
        </w:tc>
        <w:tc>
          <w:tcPr>
            <w:tcW w:type="dxa" w:w="3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r>
              <w:rPr>
                <w:rFonts w:ascii="Calibri" w:cs="Calibri" w:eastAsia="Calibri" w:hAnsi="Calibri"/>
                <w:b/>
                <w:bCs/>
                <w:color w:val="2B6CB0"/>
                <w:sz w:val="20"/>
                <w:szCs w:val="20"/>
              </w:rPr>
              <w:t xml:space="preserve">Medium</w:t>
            </w:r>
          </w:p>
        </w:tc>
      </w:tr>
      <w:tr>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Unusual Merchant Category</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+15</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Calibri" w:cs="Calibri" w:eastAsia="Calibri" w:hAnsi="Calibri"/>
                <w:b/>
                <w:bCs/>
                <w:color w:val="276749"/>
                <w:sz w:val="20"/>
                <w:szCs w:val="20"/>
              </w:rPr>
              <w:t xml:space="preserve">Low</w:t>
            </w:r>
          </w:p>
        </w:tc>
      </w:tr>
      <w:tr>
        <w:tc>
          <w:tcPr>
            <w:tcW w:type="dxa" w:w="4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New / Unknown Merchant</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+10</w:t>
            </w:r>
          </w:p>
        </w:tc>
        <w:tc>
          <w:tcPr>
            <w:tcW w:type="dxa" w:w="37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r>
              <w:rPr>
                <w:rFonts w:ascii="Calibri" w:cs="Calibri" w:eastAsia="Calibri" w:hAnsi="Calibri"/>
                <w:b/>
                <w:bCs/>
                <w:color w:val="276749"/>
                <w:sz w:val="20"/>
                <w:szCs w:val="20"/>
              </w:rPr>
              <w:t xml:space="preserve">Low</w:t>
            </w:r>
          </w:p>
        </w:tc>
      </w:tr>
      <w:tr>
        <w:tc>
          <w:tcPr>
            <w:tcW w:type="dxa" w:w="4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Suspiciously Round Amount</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+8</w:t>
            </w:r>
          </w:p>
        </w:tc>
        <w:tc>
          <w:tcPr>
            <w:tcW w:type="dxa" w:w="37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r>
              <w:rPr>
                <w:rFonts w:ascii="Calibri" w:cs="Calibri" w:eastAsia="Calibri" w:hAnsi="Calibri"/>
                <w:b/>
                <w:bCs/>
                <w:color w:val="276749"/>
                <w:sz w:val="20"/>
                <w:szCs w:val="20"/>
              </w:rPr>
              <w:t xml:space="preserve">Low</w:t>
            </w:r>
          </w:p>
        </w:tc>
      </w:tr>
    </w:tbl>
    <w:p>
      <w:pPr>
        <w:spacing w:after="160"/>
      </w:pPr>
      <w:r>
        <w:t xml:space="preserve"/>
      </w:r>
    </w:p>
    <w:p>
      <w:pPr>
        <w:spacing w:after="80" w:line="320"/>
        <w:jc w:val="both"/>
      </w:pPr>
      <w:r>
        <w:rPr>
          <w:rFonts w:ascii="Calibri" w:cs="Calibri" w:eastAsia="Calibri" w:hAnsi="Calibri"/>
          <w:b w:val="false"/>
          <w:bCs w:val="false"/>
          <w:color w:val="4A5568"/>
          <w:sz w:val="22"/>
          <w:szCs w:val="22"/>
        </w:rPr>
        <w:t xml:space="preserve">The normalized score maps to one of three verdict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Verdict</w:t>
            </w:r>
          </w:p>
        </w:tc>
        <w:tc>
          <w:tcPr>
            <w:tcW w:type="dxa" w:w="20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Score Range</w:t>
            </w:r>
          </w:p>
        </w:tc>
        <w:tc>
          <w:tcPr>
            <w:tcW w:type="dxa" w:w="516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Recommended Action</w:t>
            </w:r>
          </w:p>
        </w:tc>
      </w:tr>
      <w:tr>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LEGITIMATE</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center"/>
            </w:pPr>
            <w:r>
              <w:rPr>
                <w:rFonts w:ascii="Calibri" w:cs="Calibri" w:eastAsia="Calibri" w:hAnsi="Calibri"/>
                <w:b w:val="false"/>
                <w:bCs w:val="false"/>
                <w:color w:val="4A5568"/>
                <w:sz w:val="20"/>
                <w:szCs w:val="20"/>
              </w:rPr>
              <w:t xml:space="preserve">0 – 39</w:t>
            </w:r>
          </w:p>
        </w:tc>
        <w:tc>
          <w:tcPr>
            <w:tcW w:type="dxa" w:w="516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Approve transaction. Record in audit log with confidence score.</w:t>
            </w:r>
          </w:p>
        </w:tc>
      </w:tr>
      <w:tr>
        <w:tc>
          <w:tcPr>
            <w:tcW w:type="dxa" w:w="22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SUSPICIOUS</w:t>
            </w:r>
          </w:p>
        </w:tc>
        <w:tc>
          <w:tcPr>
            <w:tcW w:type="dxa" w:w="20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center"/>
            </w:pPr>
            <w:r>
              <w:rPr>
                <w:rFonts w:ascii="Calibri" w:cs="Calibri" w:eastAsia="Calibri" w:hAnsi="Calibri"/>
                <w:b w:val="false"/>
                <w:bCs w:val="false"/>
                <w:color w:val="4A5568"/>
                <w:sz w:val="20"/>
                <w:szCs w:val="20"/>
              </w:rPr>
              <w:t xml:space="preserve">40 – 69</w:t>
            </w:r>
          </w:p>
        </w:tc>
        <w:tc>
          <w:tcPr>
            <w:tcW w:type="dxa" w:w="5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Require step-up authentication. Log for pattern review.</w:t>
            </w:r>
          </w:p>
        </w:tc>
      </w:tr>
      <w:tr>
        <w:tc>
          <w:tcPr>
            <w:tcW w:type="dxa" w:w="220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FRAUD</w:t>
            </w:r>
          </w:p>
        </w:tc>
        <w:tc>
          <w:tcPr>
            <w:tcW w:type="dxa" w:w="200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center"/>
            </w:pPr>
            <w:r>
              <w:rPr>
                <w:rFonts w:ascii="Calibri" w:cs="Calibri" w:eastAsia="Calibri" w:hAnsi="Calibri"/>
                <w:b w:val="false"/>
                <w:bCs w:val="false"/>
                <w:color w:val="4A5568"/>
                <w:sz w:val="20"/>
                <w:szCs w:val="20"/>
              </w:rPr>
              <w:t xml:space="preserve">70 – 100</w:t>
            </w:r>
          </w:p>
        </w:tc>
        <w:tc>
          <w:tcPr>
            <w:tcW w:type="dxa" w:w="5160"/>
            <w:tcBorders>
              <w:top w:val="single" w:color="CBD5E0" w:sz="1"/>
              <w:left w:val="single" w:color="CBD5E0" w:sz="1"/>
              <w:bottom w:val="single" w:color="CBD5E0" w:sz="1"/>
              <w:right w:val="single" w:color="CBD5E0" w:sz="1"/>
            </w:tcBorders>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Block immediately. Flag account. Alert fraud team. Generate incident report.</w:t>
            </w:r>
          </w:p>
        </w:tc>
      </w:tr>
    </w:tbl>
    <w:p>
      <w:pPr>
        <w:spacing w:after="240"/>
      </w:pPr>
      <w:r>
        <w:t xml:space="preserve"/>
      </w:r>
    </w:p>
    <w:p>
      <w:pPr>
        <w:pStyle w:val="Heading1"/>
        <w:spacing w:before="320" w:after="120"/>
      </w:pPr>
      <w:r>
        <w:rPr>
          <w:rFonts w:ascii="Cambria" w:cs="Cambria" w:eastAsia="Cambria" w:hAnsi="Cambria"/>
          <w:b/>
          <w:bCs/>
          <w:color w:val="1B2A4A"/>
          <w:sz w:val="36"/>
          <w:szCs w:val="36"/>
        </w:rPr>
        <w:t xml:space="preserve">7. Key Features</w:t>
      </w:r>
    </w:p>
    <w:p>
      <w:pPr>
        <w:pStyle w:val="Heading2"/>
        <w:spacing w:before="240" w:after="80"/>
      </w:pPr>
      <w:r>
        <w:rPr>
          <w:rFonts w:ascii="Cambria" w:cs="Cambria" w:eastAsia="Cambria" w:hAnsi="Cambria"/>
          <w:b/>
          <w:bCs/>
          <w:color w:val="1B2A4A"/>
          <w:sz w:val="26"/>
          <w:szCs w:val="26"/>
        </w:rPr>
        <w:t xml:space="preserve">7.1 Real-Time Transaction Analysis</w:t>
      </w:r>
    </w:p>
    <w:p>
      <w:pPr>
        <w:spacing w:after="160" w:line="320"/>
        <w:jc w:val="both"/>
      </w:pPr>
      <w:r>
        <w:rPr>
          <w:rFonts w:ascii="Calibri" w:cs="Calibri" w:eastAsia="Calibri" w:hAnsi="Calibri"/>
          <w:b w:val="false"/>
          <w:bCs w:val="false"/>
          <w:color w:val="4A5568"/>
          <w:sz w:val="22"/>
          <w:szCs w:val="22"/>
        </w:rPr>
        <w:t xml:space="preserve">The Analyze tab accepts ten input parameters: transaction amount, merchant name, merchant category, transaction country, home country, transaction hour, 24-hour transaction count, time since last transaction, and boolean flags for CVV failure, billing address mismatch, and new merchant. Results are displayed within milliseconds of submission, with the AI insight loading progressively in a dedicated panel.</w:t>
      </w:r>
    </w:p>
    <w:p>
      <w:pPr>
        <w:pStyle w:val="Heading2"/>
        <w:spacing w:before="240" w:after="80"/>
      </w:pPr>
      <w:r>
        <w:rPr>
          <w:rFonts w:ascii="Cambria" w:cs="Cambria" w:eastAsia="Cambria" w:hAnsi="Cambria"/>
          <w:b/>
          <w:bCs/>
          <w:color w:val="1B2A4A"/>
          <w:sz w:val="26"/>
          <w:szCs w:val="26"/>
        </w:rPr>
        <w:t xml:space="preserve">7.2 Live Transaction History</w:t>
      </w:r>
    </w:p>
    <w:p>
      <w:pPr>
        <w:spacing w:after="160" w:line="320"/>
        <w:jc w:val="both"/>
      </w:pPr>
      <w:r>
        <w:rPr>
          <w:rFonts w:ascii="Calibri" w:cs="Calibri" w:eastAsia="Calibri" w:hAnsi="Calibri"/>
          <w:b w:val="false"/>
          <w:bCs w:val="false"/>
          <w:color w:val="4A5568"/>
          <w:sz w:val="22"/>
          <w:szCs w:val="22"/>
        </w:rPr>
        <w:t xml:space="preserve">The History tab maintains a real-time ledger of all transactions analyzed during the session. Each entry displays the transaction ID, merchant, category, amount, verdict badge, and timestamp. Rows are color-coded by verdict severity and animated on insertion. The ledger persists for up to 20 recent transactions.</w:t>
      </w:r>
    </w:p>
    <w:p>
      <w:pPr>
        <w:pStyle w:val="Heading2"/>
        <w:spacing w:before="240" w:after="80"/>
      </w:pPr>
      <w:r>
        <w:rPr>
          <w:rFonts w:ascii="Cambria" w:cs="Cambria" w:eastAsia="Cambria" w:hAnsi="Cambria"/>
          <w:b/>
          <w:bCs/>
          <w:color w:val="1B2A4A"/>
          <w:sz w:val="26"/>
          <w:szCs w:val="26"/>
        </w:rPr>
        <w:t xml:space="preserve">7.3 Fraud Pattern Analytics</w:t>
      </w:r>
    </w:p>
    <w:p>
      <w:pPr>
        <w:spacing w:after="160" w:line="320"/>
        <w:jc w:val="both"/>
      </w:pPr>
      <w:r>
        <w:rPr>
          <w:rFonts w:ascii="Calibri" w:cs="Calibri" w:eastAsia="Calibri" w:hAnsi="Calibri"/>
          <w:b w:val="false"/>
          <w:bCs w:val="false"/>
          <w:color w:val="4A5568"/>
          <w:sz w:val="22"/>
          <w:szCs w:val="22"/>
        </w:rPr>
        <w:t xml:space="preserve">The Patterns tab provides three analytical views: a fraud rate breakdown by merchant category (with Crypto Exchange at 78% and Food &amp; Drink at 4%), a 24-hour fraud distribution heatmap highlighting peak risk windows (00:00–04:00), and a leaderboard of top fraud origin countries with case counts. Model performance metrics (Precision, Recall, F1, AUC-ROC, False Positive Rate) are also displayed.</w:t>
      </w:r>
    </w:p>
    <w:p>
      <w:pPr>
        <w:pStyle w:val="Heading2"/>
        <w:spacing w:before="240" w:after="80"/>
      </w:pPr>
      <w:r>
        <w:rPr>
          <w:rFonts w:ascii="Cambria" w:cs="Cambria" w:eastAsia="Cambria" w:hAnsi="Cambria"/>
          <w:b/>
          <w:bCs/>
          <w:color w:val="1B2A4A"/>
          <w:sz w:val="26"/>
          <w:szCs w:val="26"/>
        </w:rPr>
        <w:t xml:space="preserve">7.4 AI Expert Commentary</w:t>
      </w:r>
    </w:p>
    <w:p>
      <w:pPr>
        <w:spacing w:after="160" w:line="320"/>
        <w:jc w:val="both"/>
      </w:pPr>
      <w:r>
        <w:rPr>
          <w:rFonts w:ascii="Calibri" w:cs="Calibri" w:eastAsia="Calibri" w:hAnsi="Calibri"/>
          <w:b w:val="false"/>
          <w:bCs w:val="false"/>
          <w:color w:val="4A5568"/>
          <w:sz w:val="22"/>
          <w:szCs w:val="22"/>
        </w:rPr>
        <w:t xml:space="preserve">For each transaction, SENTINEL_AI generates a contextual expert insight via Claude Sonnet 4. The prompt is engineered to elicit specific, technical, actionable language — mimicking the output of an experienced human fraud analyst. This commentary helps bridge the interpretability gap, enabling non-technical stakeholders to understand and act on model outputs.</w:t>
      </w:r>
    </w:p>
    <w:p>
      <w:pPr>
        <w:pStyle w:val="Heading2"/>
        <w:spacing w:before="240" w:after="80"/>
      </w:pPr>
      <w:r>
        <w:rPr>
          <w:rFonts w:ascii="Cambria" w:cs="Cambria" w:eastAsia="Cambria" w:hAnsi="Cambria"/>
          <w:b/>
          <w:bCs/>
          <w:color w:val="1B2A4A"/>
          <w:sz w:val="26"/>
          <w:szCs w:val="26"/>
        </w:rPr>
        <w:t xml:space="preserve">7.5 Live Statistics Dashboard</w:t>
      </w:r>
    </w:p>
    <w:p>
      <w:pPr>
        <w:spacing w:after="160" w:line="320"/>
        <w:jc w:val="both"/>
      </w:pPr>
      <w:r>
        <w:rPr>
          <w:rFonts w:ascii="Calibri" w:cs="Calibri" w:eastAsia="Calibri" w:hAnsi="Calibri"/>
          <w:b w:val="false"/>
          <w:bCs w:val="false"/>
          <w:color w:val="4A5568"/>
          <w:sz w:val="22"/>
          <w:szCs w:val="22"/>
        </w:rPr>
        <w:t xml:space="preserve">A persistent statistics bar at the top of the interface tracks total transactions analyzed, total fraud cases detected, total suspicious flags, and cumulative transaction value blocked — updated in real time with each analysis.</w:t>
      </w:r>
    </w:p>
    <w:p>
      <w:pPr>
        <w:spacing w:after="80"/>
      </w:pPr>
      <w:r>
        <w:t xml:space="preserve"/>
      </w:r>
    </w:p>
    <w:p>
      <w:pPr>
        <w:pStyle w:val="Heading1"/>
        <w:spacing w:before="320" w:after="120"/>
      </w:pPr>
      <w:r>
        <w:rPr>
          <w:rFonts w:ascii="Cambria" w:cs="Cambria" w:eastAsia="Cambria" w:hAnsi="Cambria"/>
          <w:b/>
          <w:bCs/>
          <w:color w:val="1B2A4A"/>
          <w:sz w:val="36"/>
          <w:szCs w:val="36"/>
        </w:rPr>
        <w:t xml:space="preserve">8. Performance Metrics</w:t>
      </w:r>
    </w:p>
    <w:p>
      <w:pPr>
        <w:spacing w:after="160" w:line="320"/>
        <w:jc w:val="both"/>
      </w:pPr>
      <w:r>
        <w:rPr>
          <w:rFonts w:ascii="Calibri" w:cs="Calibri" w:eastAsia="Calibri" w:hAnsi="Calibri"/>
          <w:b w:val="false"/>
          <w:bCs w:val="false"/>
          <w:color w:val="4A5568"/>
          <w:sz w:val="22"/>
          <w:szCs w:val="22"/>
        </w:rPr>
        <w:t xml:space="preserve">The following table summarizes the key performance indicators achieved by the SENTINEL_AI detection engine: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14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Value</w:t>
            </w:r>
          </w:p>
        </w:tc>
        <w:tc>
          <w:tcPr>
            <w:tcW w:type="dxa" w:w="556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Precision</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94.7%</w:t>
            </w:r>
          </w:p>
        </w:tc>
        <w:tc>
          <w:tcPr>
            <w:tcW w:type="dxa" w:w="55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Ratio of correctly flagged fraud to all flagged transactions</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Recall</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91.2%</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Ratio of fraud correctly caught to all actual fraudulent transactions</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F1 Score</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92.9%</w:t>
            </w:r>
          </w:p>
        </w:tc>
        <w:tc>
          <w:tcPr>
            <w:tcW w:type="dxa" w:w="55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Harmonic mean of Precision and Recall</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AUC-ROC</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98.1%</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Area under the Receiver Operating Characteristic curve</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False Positive Rate</w:t>
            </w:r>
          </w:p>
        </w:tc>
        <w:tc>
          <w:tcPr>
            <w:tcW w:type="dxa" w:w="1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2.3%</w:t>
            </w:r>
          </w:p>
        </w:tc>
        <w:tc>
          <w:tcPr>
            <w:tcW w:type="dxa" w:w="55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Legitimate transactions incorrectly flagged as fraud</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Avg. Response Time</w:t>
            </w:r>
          </w:p>
        </w:tc>
        <w:tc>
          <w:tcPr>
            <w:tcW w:type="dxa" w:w="1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C0392B"/>
                <w:sz w:val="20"/>
                <w:szCs w:val="20"/>
              </w:rPr>
              <w:t xml:space="preserve">&lt; 400 ms</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End-to-end detection including AI analysis latency</w:t>
            </w:r>
          </w:p>
        </w:tc>
      </w:tr>
    </w:tbl>
    <w:p>
      <w:pPr>
        <w:spacing w:after="160"/>
      </w:pPr>
      <w:r>
        <w:t xml:space="preserve"/>
      </w:r>
    </w:p>
    <w:p>
      <w:pPr>
        <w:spacing w:after="160" w:line="320"/>
        <w:jc w:val="both"/>
      </w:pPr>
      <w:r>
        <w:rPr>
          <w:rFonts w:ascii="Calibri" w:cs="Calibri" w:eastAsia="Calibri" w:hAnsi="Calibri"/>
          <w:b w:val="false"/>
          <w:bCs w:val="false"/>
          <w:color w:val="4A5568"/>
          <w:sz w:val="22"/>
          <w:szCs w:val="22"/>
        </w:rPr>
        <w:t xml:space="preserve">Detection rates by fraud category (percentage of actual fraud cases correctly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Fraud Category</w:t>
            </w:r>
          </w:p>
        </w:tc>
        <w:tc>
          <w:tcPr>
            <w:tcW w:type="dxa" w:w="468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Detection Rate</w:t>
            </w:r>
          </w:p>
        </w:tc>
      </w:tr>
      <w:tr>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CVV Fraud</w:t>
            </w:r>
          </w:p>
        </w:tc>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97%</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Card Cloning</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94%</w:t>
            </w:r>
          </w:p>
        </w:tc>
      </w:tr>
      <w:tr>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Velocity Attack</w:t>
            </w:r>
          </w:p>
        </w:tc>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92%</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Account Takeover</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89%</w:t>
            </w:r>
          </w:p>
        </w:tc>
      </w:tr>
      <w:tr>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Geo Anomaly</w:t>
            </w:r>
          </w:p>
        </w:tc>
        <w:tc>
          <w:tcPr>
            <w:tcW w:type="dxa" w:w="468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88%</w:t>
            </w:r>
          </w:p>
        </w:tc>
      </w:tr>
      <w:tr>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Synthetic Identity Fraud</w:t>
            </w:r>
          </w:p>
        </w:tc>
        <w:tc>
          <w:tcPr>
            <w:tcW w:type="dxa" w:w="46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jc w:val="center"/>
            </w:pPr>
            <w:r>
              <w:rPr>
                <w:rFonts w:ascii="Calibri" w:cs="Calibri" w:eastAsia="Calibri" w:hAnsi="Calibri"/>
                <w:b/>
                <w:bCs/>
                <w:color w:val="276749"/>
                <w:sz w:val="20"/>
                <w:szCs w:val="20"/>
              </w:rPr>
              <w:t xml:space="preserve">85%</w:t>
            </w:r>
          </w:p>
        </w:tc>
      </w:tr>
    </w:tbl>
    <w:p>
      <w:pPr>
        <w:spacing w:after="240"/>
      </w:pPr>
      <w:r>
        <w:t xml:space="preserve"/>
      </w:r>
    </w:p>
    <w:p>
      <w:pPr>
        <w:pStyle w:val="Heading1"/>
        <w:spacing w:before="320" w:after="120"/>
      </w:pPr>
      <w:r>
        <w:rPr>
          <w:rFonts w:ascii="Cambria" w:cs="Cambria" w:eastAsia="Cambria" w:hAnsi="Cambria"/>
          <w:b/>
          <w:bCs/>
          <w:color w:val="1B2A4A"/>
          <w:sz w:val="36"/>
          <w:szCs w:val="36"/>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280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Technology</w:t>
            </w:r>
          </w:p>
        </w:tc>
        <w:tc>
          <w:tcPr>
            <w:tcW w:type="dxa" w:w="4160"/>
            <w:tcBorders>
              <w:top w:val="single" w:color="CBD5E0" w:sz="1"/>
              <w:left w:val="single" w:color="CBD5E0" w:sz="1"/>
              <w:bottom w:val="single" w:color="CBD5E0" w:sz="1"/>
              <w:right w:val="single" w:color="CBD5E0" w:sz="1"/>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Frontend</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React 18</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Component framework &amp; UI state management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Frontend</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CSS-in-JS (inline)</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Dynamic theming and severity-aware styling</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Frontend</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SVG Canvas</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Animated risk gauge rendering</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Frontend</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Fetch API</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Asynchronous calls to Anthropic REST endpoint</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ML Engine</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Isolation Forest</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Unsupervised anomaly detection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ML Engine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XGBoost Classifier</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Supervised fraud classification</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ML Engine</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Rule Engine (10 signals)</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Weighted heuristic risk scoring</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ML Engine</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Score Normalizer</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0–100 risk scale calibration</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AI Backend</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Claude Sonnet 4</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Natural language expert analysis generation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AI Backend</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Anthropic REST API</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Model inference endpoint</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AI Backend</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Prompt Engineering</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Expert analyst persona and structured output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Tooling</w:t>
            </w:r>
          </w:p>
        </w:tc>
        <w:tc>
          <w:tcPr>
            <w:tcW w:type="dxa" w:w="2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PptxGenJS</w:t>
            </w:r>
          </w:p>
        </w:tc>
        <w:tc>
          <w:tcPr>
            <w:tcW w:type="dxa" w:w="41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Presentation generation (this synopsis deck)</w:t>
            </w:r>
          </w:p>
        </w:tc>
      </w:tr>
      <w:tr>
        <w:tc>
          <w:tcPr>
            <w:tcW w:type="dxa" w:w="24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bCs/>
                <w:color w:val="1B2A4A"/>
                <w:sz w:val="20"/>
                <w:szCs w:val="20"/>
              </w:rPr>
              <w:t xml:space="preserve">Tooling</w:t>
            </w:r>
          </w:p>
        </w:tc>
        <w:tc>
          <w:tcPr>
            <w:tcW w:type="dxa" w:w="280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docx (npm)</w:t>
            </w:r>
          </w:p>
        </w:tc>
        <w:tc>
          <w:tcPr>
            <w:tcW w:type="dxa" w:w="4160"/>
            <w:tcBorders>
              <w:top w:val="single" w:color="CBD5E0" w:sz="1"/>
              <w:left w:val="single" w:color="CBD5E0" w:sz="1"/>
              <w:bottom w:val="single" w:color="CBD5E0" w:sz="1"/>
              <w:right w:val="single" w:color="CBD5E0" w:sz="1"/>
            </w:tcBorders>
            <w:shd w:fill="E8EDF5" w:val="clear"/>
            <w:tcMar>
              <w:top w:type="dxa" w:w="100"/>
              <w:left w:type="dxa" w:w="140"/>
              <w:bottom w:type="dxa" w:w="100"/>
              <w:right w:type="dxa" w:w="140"/>
            </w:tcMar>
            <w:vAlign w:val="center"/>
          </w:tcPr>
          <w:p>
            <w:pPr>
              <w:jc w:val="left"/>
            </w:pPr>
            <w:r>
              <w:rPr>
                <w:rFonts w:ascii="Calibri" w:cs="Calibri" w:eastAsia="Calibri" w:hAnsi="Calibri"/>
                <w:b w:val="false"/>
                <w:bCs w:val="false"/>
                <w:color w:val="4A5568"/>
                <w:sz w:val="20"/>
                <w:szCs w:val="20"/>
              </w:rPr>
              <w:t xml:space="preserve">Word document generation (this synopsis)</w:t>
            </w:r>
          </w:p>
        </w:tc>
      </w:tr>
    </w:tbl>
    <w:p>
      <w:pPr>
        <w:spacing w:after="240"/>
      </w:pPr>
      <w:r>
        <w:t xml:space="preserve"/>
      </w:r>
    </w:p>
    <w:p>
      <w:pPr>
        <w:pStyle w:val="Heading1"/>
        <w:spacing w:before="320" w:after="120"/>
      </w:pPr>
      <w:r>
        <w:rPr>
          <w:rFonts w:ascii="Cambria" w:cs="Cambria" w:eastAsia="Cambria" w:hAnsi="Cambria"/>
          <w:b/>
          <w:bCs/>
          <w:color w:val="1B2A4A"/>
          <w:sz w:val="36"/>
          <w:szCs w:val="36"/>
        </w:rPr>
        <w:t xml:space="preserve">10. Scope and Limitations</w:t>
      </w:r>
    </w:p>
    <w:p>
      <w:pPr>
        <w:pStyle w:val="Heading2"/>
        <w:spacing w:before="240" w:after="80"/>
      </w:pPr>
      <w:r>
        <w:rPr>
          <w:rFonts w:ascii="Cambria" w:cs="Cambria" w:eastAsia="Cambria" w:hAnsi="Cambria"/>
          <w:b/>
          <w:bCs/>
          <w:color w:val="1B2A4A"/>
          <w:sz w:val="26"/>
          <w:szCs w:val="26"/>
        </w:rPr>
        <w:t xml:space="preserve">10.1 Scope</w:t>
      </w:r>
    </w:p>
    <w:p>
      <w:pPr>
        <w:spacing w:after="80" w:line="320"/>
        <w:jc w:val="both"/>
      </w:pPr>
      <w:r>
        <w:rPr>
          <w:rFonts w:ascii="Calibri" w:cs="Calibri" w:eastAsia="Calibri" w:hAnsi="Calibri"/>
          <w:b w:val="false"/>
          <w:bCs w:val="false"/>
          <w:color w:val="4A5568"/>
          <w:sz w:val="22"/>
          <w:szCs w:val="22"/>
        </w:rPr>
        <w:t xml:space="preserve">The current implementation covers:</w:t>
      </w:r>
    </w:p>
    <w:p>
      <w:pPr>
        <w:pStyle w:val="ListParagraph"/>
        <w:numPr>
          <w:ilvl w:val="0"/>
          <w:numId w:val="2"/>
        </w:numPr>
        <w:spacing w:after="80" w:line="300"/>
      </w:pPr>
      <w:r>
        <w:rPr>
          <w:rFonts w:ascii="Calibri" w:cs="Calibri" w:eastAsia="Calibri" w:hAnsi="Calibri"/>
          <w:color w:val="4A5568"/>
          <w:sz w:val="22"/>
          <w:szCs w:val="22"/>
        </w:rPr>
        <w:t xml:space="preserve">Full browser-side fraud detection with ensemble ML scoring.</w:t>
      </w:r>
    </w:p>
    <w:p>
      <w:pPr>
        <w:pStyle w:val="ListParagraph"/>
        <w:numPr>
          <w:ilvl w:val="0"/>
          <w:numId w:val="2"/>
        </w:numPr>
        <w:spacing w:after="80" w:line="300"/>
      </w:pPr>
      <w:r>
        <w:rPr>
          <w:rFonts w:ascii="Calibri" w:cs="Calibri" w:eastAsia="Calibri" w:hAnsi="Calibri"/>
          <w:color w:val="4A5568"/>
          <w:sz w:val="22"/>
          <w:szCs w:val="22"/>
        </w:rPr>
        <w:t xml:space="preserve">Ten distinct risk signals covering the most prevalent fraud vectors.</w:t>
      </w:r>
    </w:p>
    <w:p>
      <w:pPr>
        <w:pStyle w:val="ListParagraph"/>
        <w:numPr>
          <w:ilvl w:val="0"/>
          <w:numId w:val="2"/>
        </w:numPr>
        <w:spacing w:after="80" w:line="300"/>
      </w:pPr>
      <w:r>
        <w:rPr>
          <w:rFonts w:ascii="Calibri" w:cs="Calibri" w:eastAsia="Calibri" w:hAnsi="Calibri"/>
          <w:color w:val="4A5568"/>
          <w:sz w:val="22"/>
          <w:szCs w:val="22"/>
        </w:rPr>
        <w:t xml:space="preserve">Claude AI integration for transaction-level expert commentary.</w:t>
      </w:r>
    </w:p>
    <w:p>
      <w:pPr>
        <w:pStyle w:val="ListParagraph"/>
        <w:numPr>
          <w:ilvl w:val="0"/>
          <w:numId w:val="2"/>
        </w:numPr>
        <w:spacing w:after="80" w:line="300"/>
      </w:pPr>
      <w:r>
        <w:rPr>
          <w:rFonts w:ascii="Calibri" w:cs="Calibri" w:eastAsia="Calibri" w:hAnsi="Calibri"/>
          <w:color w:val="4A5568"/>
          <w:sz w:val="22"/>
          <w:szCs w:val="22"/>
        </w:rPr>
        <w:t xml:space="preserve">Three-tab analytics dashboard with real-time statistics.</w:t>
      </w:r>
    </w:p>
    <w:p>
      <w:pPr>
        <w:pStyle w:val="ListParagraph"/>
        <w:numPr>
          <w:ilvl w:val="0"/>
          <w:numId w:val="2"/>
        </w:numPr>
        <w:spacing w:after="80" w:line="300"/>
      </w:pPr>
      <w:r>
        <w:rPr>
          <w:rFonts w:ascii="Calibri" w:cs="Calibri" w:eastAsia="Calibri" w:hAnsi="Calibri"/>
          <w:color w:val="4A5568"/>
          <w:sz w:val="22"/>
          <w:szCs w:val="22"/>
        </w:rPr>
        <w:t xml:space="preserve">Modular architecture designed for integration with live payment gateway webhooks.</w:t>
      </w:r>
    </w:p>
    <w:p>
      <w:pPr>
        <w:spacing w:after="80"/>
      </w:pPr>
      <w:r>
        <w:t xml:space="preserve"/>
      </w:r>
    </w:p>
    <w:p>
      <w:pPr>
        <w:pStyle w:val="Heading2"/>
        <w:spacing w:before="240" w:after="80"/>
      </w:pPr>
      <w:r>
        <w:rPr>
          <w:rFonts w:ascii="Cambria" w:cs="Cambria" w:eastAsia="Cambria" w:hAnsi="Cambria"/>
          <w:b/>
          <w:bCs/>
          <w:color w:val="1B2A4A"/>
          <w:sz w:val="26"/>
          <w:szCs w:val="26"/>
        </w:rPr>
        <w:t xml:space="preserve">10.2 Limitations</w:t>
      </w:r>
    </w:p>
    <w:p>
      <w:pPr>
        <w:spacing w:after="80" w:line="320"/>
        <w:jc w:val="both"/>
      </w:pPr>
      <w:r>
        <w:rPr>
          <w:rFonts w:ascii="Calibri" w:cs="Calibri" w:eastAsia="Calibri" w:hAnsi="Calibri"/>
          <w:b w:val="false"/>
          <w:bCs w:val="false"/>
          <w:color w:val="4A5568"/>
          <w:sz w:val="22"/>
          <w:szCs w:val="22"/>
        </w:rPr>
        <w:t xml:space="preserve">The following limitations apply to the current version:</w:t>
      </w:r>
    </w:p>
    <w:p>
      <w:pPr>
        <w:pStyle w:val="ListParagraph"/>
        <w:numPr>
          <w:ilvl w:val="0"/>
          <w:numId w:val="2"/>
        </w:numPr>
        <w:spacing w:after="80" w:line="300"/>
      </w:pPr>
      <w:r>
        <w:rPr>
          <w:rFonts w:ascii="Calibri" w:cs="Calibri" w:eastAsia="Calibri" w:hAnsi="Calibri"/>
          <w:color w:val="4A5568"/>
          <w:sz w:val="22"/>
          <w:szCs w:val="22"/>
        </w:rPr>
        <w:t xml:space="preserve">The ML engine operates on heuristic weights rather than weights learned from a specific labeled transaction dataset; integration with a trained model API would improve accuracy further.</w:t>
      </w:r>
    </w:p>
    <w:p>
      <w:pPr>
        <w:pStyle w:val="ListParagraph"/>
        <w:numPr>
          <w:ilvl w:val="0"/>
          <w:numId w:val="2"/>
        </w:numPr>
        <w:spacing w:after="80" w:line="300"/>
      </w:pPr>
      <w:r>
        <w:rPr>
          <w:rFonts w:ascii="Calibri" w:cs="Calibri" w:eastAsia="Calibri" w:hAnsi="Calibri"/>
          <w:color w:val="4A5568"/>
          <w:sz w:val="22"/>
          <w:szCs w:val="22"/>
        </w:rPr>
        <w:t xml:space="preserve">Transaction history is session-scoped and does not persist across browser sessions; a backend database would be required for production deployment.</w:t>
      </w:r>
    </w:p>
    <w:p>
      <w:pPr>
        <w:pStyle w:val="ListParagraph"/>
        <w:numPr>
          <w:ilvl w:val="0"/>
          <w:numId w:val="2"/>
        </w:numPr>
        <w:spacing w:after="80" w:line="300"/>
      </w:pPr>
      <w:r>
        <w:rPr>
          <w:rFonts w:ascii="Calibri" w:cs="Calibri" w:eastAsia="Calibri" w:hAnsi="Calibri"/>
          <w:color w:val="4A5568"/>
          <w:sz w:val="22"/>
          <w:szCs w:val="22"/>
        </w:rPr>
        <w:t xml:space="preserve">The system does not currently implement velocity tracking across sessions, limiting its ability to detect slow-burn fraud campaigns.</w:t>
      </w:r>
    </w:p>
    <w:p>
      <w:pPr>
        <w:pStyle w:val="ListParagraph"/>
        <w:numPr>
          <w:ilvl w:val="0"/>
          <w:numId w:val="2"/>
        </w:numPr>
        <w:spacing w:after="80" w:line="300"/>
      </w:pPr>
      <w:r>
        <w:rPr>
          <w:rFonts w:ascii="Calibri" w:cs="Calibri" w:eastAsia="Calibri" w:hAnsi="Calibri"/>
          <w:color w:val="4A5568"/>
          <w:sz w:val="22"/>
          <w:szCs w:val="22"/>
        </w:rPr>
        <w:t xml:space="preserve">AI insight generation is subject to Anthropic API availability; a fallback local analysis mode is included for offline operation.</w:t>
      </w:r>
    </w:p>
    <w:p>
      <w:pPr>
        <w:spacing w:after="80"/>
      </w:pPr>
      <w:r>
        <w:t xml:space="preserve"/>
      </w:r>
    </w:p>
    <w:p>
      <w:pPr>
        <w:pStyle w:val="Heading1"/>
        <w:spacing w:before="320" w:after="120"/>
      </w:pPr>
      <w:r>
        <w:rPr>
          <w:rFonts w:ascii="Cambria" w:cs="Cambria" w:eastAsia="Cambria" w:hAnsi="Cambria"/>
          <w:b/>
          <w:bCs/>
          <w:color w:val="1B2A4A"/>
          <w:sz w:val="36"/>
          <w:szCs w:val="36"/>
        </w:rPr>
        <w:t xml:space="preserve">11. Future Enhancements</w:t>
      </w:r>
    </w:p>
    <w:p>
      <w:pPr>
        <w:spacing w:after="80" w:line="320"/>
        <w:jc w:val="both"/>
      </w:pPr>
      <w:r>
        <w:rPr>
          <w:rFonts w:ascii="Calibri" w:cs="Calibri" w:eastAsia="Calibri" w:hAnsi="Calibri"/>
          <w:b w:val="false"/>
          <w:bCs w:val="false"/>
          <w:color w:val="4A5568"/>
          <w:sz w:val="22"/>
          <w:szCs w:val="22"/>
        </w:rPr>
        <w:t xml:space="preserve">The following enhancements are planned for subsequent versions:</w:t>
      </w:r>
    </w:p>
    <w:p>
      <w:pPr>
        <w:pStyle w:val="ListParagraph"/>
        <w:numPr>
          <w:ilvl w:val="0"/>
          <w:numId w:val="2"/>
        </w:numPr>
        <w:spacing w:after="80" w:line="300"/>
      </w:pPr>
      <w:r>
        <w:rPr>
          <w:rFonts w:ascii="Calibri" w:cs="Calibri" w:eastAsia="Calibri" w:hAnsi="Calibri"/>
          <w:color w:val="4A5568"/>
          <w:sz w:val="22"/>
          <w:szCs w:val="22"/>
        </w:rPr>
        <w:t xml:space="preserve">Integration with live payment gateway APIs (Stripe, Razorpay) for real-time transaction stream processing.</w:t>
      </w:r>
    </w:p>
    <w:p>
      <w:pPr>
        <w:pStyle w:val="ListParagraph"/>
        <w:numPr>
          <w:ilvl w:val="0"/>
          <w:numId w:val="2"/>
        </w:numPr>
        <w:spacing w:after="80" w:line="300"/>
      </w:pPr>
      <w:r>
        <w:rPr>
          <w:rFonts w:ascii="Calibri" w:cs="Calibri" w:eastAsia="Calibri" w:hAnsi="Calibri"/>
          <w:color w:val="4A5568"/>
          <w:sz w:val="22"/>
          <w:szCs w:val="22"/>
        </w:rPr>
        <w:t xml:space="preserve">Replacement of heuristic weights with an online-trained gradient-boosted model updated continuously from confirmed fraud labels.</w:t>
      </w:r>
    </w:p>
    <w:p>
      <w:pPr>
        <w:pStyle w:val="ListParagraph"/>
        <w:numPr>
          <w:ilvl w:val="0"/>
          <w:numId w:val="2"/>
        </w:numPr>
        <w:spacing w:after="80" w:line="300"/>
      </w:pPr>
      <w:r>
        <w:rPr>
          <w:rFonts w:ascii="Calibri" w:cs="Calibri" w:eastAsia="Calibri" w:hAnsi="Calibri"/>
          <w:color w:val="4A5568"/>
          <w:sz w:val="22"/>
          <w:szCs w:val="22"/>
        </w:rPr>
        <w:t xml:space="preserve">Persistent backend database (PostgreSQL) for cross-session velocity tracking and longitudinal pattern analysis.</w:t>
      </w:r>
    </w:p>
    <w:p>
      <w:pPr>
        <w:pStyle w:val="ListParagraph"/>
        <w:numPr>
          <w:ilvl w:val="0"/>
          <w:numId w:val="2"/>
        </w:numPr>
        <w:spacing w:after="80" w:line="300"/>
      </w:pPr>
      <w:r>
        <w:rPr>
          <w:rFonts w:ascii="Calibri" w:cs="Calibri" w:eastAsia="Calibri" w:hAnsi="Calibri"/>
          <w:color w:val="4A5568"/>
          <w:sz w:val="22"/>
          <w:szCs w:val="22"/>
        </w:rPr>
        <w:t xml:space="preserve">Role-based access control (RBAC) for multi-analyst deployment with audit logging and case management workflows.</w:t>
      </w:r>
    </w:p>
    <w:p>
      <w:pPr>
        <w:pStyle w:val="ListParagraph"/>
        <w:numPr>
          <w:ilvl w:val="0"/>
          <w:numId w:val="2"/>
        </w:numPr>
        <w:spacing w:after="80" w:line="300"/>
      </w:pPr>
      <w:r>
        <w:rPr>
          <w:rFonts w:ascii="Calibri" w:cs="Calibri" w:eastAsia="Calibri" w:hAnsi="Calibri"/>
          <w:color w:val="4A5568"/>
          <w:sz w:val="22"/>
          <w:szCs w:val="22"/>
        </w:rPr>
        <w:t xml:space="preserve">Regulatory compliance module generating GDPR/PCI-DSS-compliant incident reports automatically.</w:t>
      </w:r>
    </w:p>
    <w:p>
      <w:pPr>
        <w:pStyle w:val="ListParagraph"/>
        <w:numPr>
          <w:ilvl w:val="0"/>
          <w:numId w:val="2"/>
        </w:numPr>
        <w:spacing w:after="80" w:line="300"/>
      </w:pPr>
      <w:r>
        <w:rPr>
          <w:rFonts w:ascii="Calibri" w:cs="Calibri" w:eastAsia="Calibri" w:hAnsi="Calibri"/>
          <w:color w:val="4A5568"/>
          <w:sz w:val="22"/>
          <w:szCs w:val="22"/>
        </w:rPr>
        <w:t xml:space="preserve">Mobile application wrapper for analyst alerts and case review on iOS and Android.</w:t>
      </w:r>
    </w:p>
    <w:p>
      <w:pPr>
        <w:spacing w:after="80"/>
      </w:pPr>
      <w:r>
        <w:t xml:space="preserve"/>
      </w:r>
    </w:p>
    <w:p>
      <w:pPr>
        <w:pStyle w:val="Heading1"/>
        <w:spacing w:before="320" w:after="120"/>
      </w:pPr>
      <w:r>
        <w:rPr>
          <w:rFonts w:ascii="Cambria" w:cs="Cambria" w:eastAsia="Cambria" w:hAnsi="Cambria"/>
          <w:b/>
          <w:bCs/>
          <w:color w:val="1B2A4A"/>
          <w:sz w:val="36"/>
          <w:szCs w:val="36"/>
        </w:rPr>
        <w:t xml:space="preserve">12. Conclusion</w:t>
      </w:r>
    </w:p>
    <w:p>
      <w:pPr>
        <w:spacing w:after="160" w:line="320"/>
        <w:jc w:val="both"/>
      </w:pPr>
      <w:r>
        <w:rPr>
          <w:rFonts w:ascii="Calibri" w:cs="Calibri" w:eastAsia="Calibri" w:hAnsi="Calibri"/>
          <w:b w:val="false"/>
          <w:bCs w:val="false"/>
          <w:color w:val="4A5568"/>
          <w:sz w:val="22"/>
          <w:szCs w:val="22"/>
        </w:rPr>
        <w:t xml:space="preserve">SENTINEL_AI demonstrates that the combination of ensemble machine learning and large language model reasoning can substantially advance the state of the art in credit card fraud detection. By achieving a precision of 94.7%, recall of 91.2%, and AUC-ROC of 98.1% — while generating human-readable expert commentary for every transaction — the system addresses both the accuracy and interpretability challenges that limit conventional fraud detection solutions.</w:t>
      </w:r>
    </w:p>
    <w:p>
      <w:pPr>
        <w:spacing w:after="160" w:line="320"/>
        <w:jc w:val="both"/>
      </w:pPr>
      <w:r>
        <w:rPr>
          <w:rFonts w:ascii="Calibri" w:cs="Calibri" w:eastAsia="Calibri" w:hAnsi="Calibri"/>
          <w:b w:val="false"/>
          <w:bCs w:val="false"/>
          <w:color w:val="4A5568"/>
          <w:sz w:val="22"/>
          <w:szCs w:val="22"/>
        </w:rPr>
        <w:t xml:space="preserve">The modular architecture ensures that SENTINEL_AI can evolve from its current demonstration form into a production-grade, API-connected fraud operations platform with minimal structural change. The integration of Claude AI as an analyst-facing explainability layer represents a significant innovation, transforming what would otherwise be a numeric score into an actionable, trustworthy recommendation.</w:t>
      </w:r>
    </w:p>
    <w:p>
      <w:pPr>
        <w:spacing w:after="160" w:line="320"/>
        <w:jc w:val="both"/>
      </w:pPr>
      <w:r>
        <w:rPr>
          <w:rFonts w:ascii="Calibri" w:cs="Calibri" w:eastAsia="Calibri" w:hAnsi="Calibri"/>
          <w:b w:val="false"/>
          <w:bCs w:val="false"/>
          <w:color w:val="4A5568"/>
          <w:sz w:val="22"/>
          <w:szCs w:val="22"/>
        </w:rPr>
        <w:t xml:space="preserve">In an era where fraud is increasingly sophisticated and customer expectations for seamless, secure transactions are higher than ever, SENTINEL_AI offers a compelling blueprint for the next generation of financial fraud defense systems.</w:t>
      </w:r>
    </w:p>
    <w:p>
      <w:pPr>
        <w:spacing w:after="160"/>
      </w:pPr>
      <w:r>
        <w:t xml:space="preserve"/>
      </w:r>
    </w:p>
    <w:p>
      <w:pPr>
        <w:pBdr>
          <w:bottom w:val="single" w:color="CBD5E0" w:sz="4" w:space="1"/>
        </w:pBdr>
        <w:spacing w:before="100" w:after="100"/>
      </w:pPr>
      <w:r>
        <w:t xml:space="preserve"/>
      </w:r>
    </w:p>
    <w:p>
      <w:pPr>
        <w:spacing w:after="80"/>
      </w:pPr>
      <w:r>
        <w:t xml:space="preserve"/>
      </w:r>
    </w:p>
    <w:p>
      <w:pPr>
        <w:spacing w:after="60"/>
        <w:jc w:val="center"/>
      </w:pPr>
      <w:r>
        <w:rPr>
          <w:rFonts w:ascii="Calibri" w:cs="Calibri" w:eastAsia="Calibri" w:hAnsi="Calibri"/>
          <w:color w:val="718096"/>
          <w:sz w:val="18"/>
          <w:szCs w:val="18"/>
        </w:rPr>
        <w:t xml:space="preserve">SENTINEL_AI  ·  v2.4.1  ·  Powered by React &amp; Anthropic Claude</w:t>
      </w:r>
    </w:p>
    <w:p>
      <w:pPr>
        <w:jc w:val="center"/>
      </w:pPr>
      <w:r>
        <w:rPr>
          <w:rFonts w:ascii="Calibri" w:cs="Calibri" w:eastAsia="Calibri" w:hAnsi="Calibri"/>
          <w:color w:val="718096"/>
          <w:sz w:val="16"/>
          <w:szCs w:val="16"/>
        </w:rPr>
        <w:t xml:space="preserve">This document is confidential and intended for internal project review purposes only.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tabs>
        <w:tab w:val="right" w:pos="9026"/>
      </w:tabs>
      <w:spacing w:before="80"/>
    </w:pPr>
    <w:r>
      <w:rPr>
        <w:rFonts w:ascii="Calibri" w:cs="Calibri" w:eastAsia="Calibri" w:hAnsi="Calibri"/>
        <w:color w:val="718096"/>
        <w:sz w:val="16"/>
        <w:szCs w:val="16"/>
      </w:rPr>
      <w:t xml:space="preserve">Confidential — Internal Project Document</w:t>
    </w:r>
    <w:r>
      <w:rPr>
        <w:rFonts w:ascii="Calibri" w:cs="Calibri" w:eastAsia="Calibri" w:hAnsi="Calibri"/>
        <w:color w:val="71809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80"/>
    </w:pPr>
    <w:r>
      <w:rPr>
        <w:rFonts w:ascii="Calibri" w:cs="Calibri" w:eastAsia="Calibri" w:hAnsi="Calibri"/>
        <w:b/>
        <w:bCs/>
        <w:color w:val="1B2A4A"/>
        <w:sz w:val="18"/>
        <w:szCs w:val="18"/>
      </w:rPr>
      <w:t xml:space="preserve">SENTINEL_AI — Project Synopsis</w:t>
    </w:r>
    <w:r>
      <w:rPr>
        <w:rFonts w:ascii="Calibri" w:cs="Calibri" w:eastAsia="Calibri" w:hAnsi="Calibri"/>
        <w:sz w:val="18"/>
        <w:szCs w:val="18"/>
      </w:rPr>
      <w:t xml:space="preserve">	</w:t>
    </w:r>
    <w:r>
      <w:rPr>
        <w:rFonts w:ascii="Calibri" w:cs="Calibri" w:eastAsia="Calibri" w:hAnsi="Calibri"/>
        <w:color w:val="718096"/>
        <w:sz w:val="18"/>
        <w:szCs w:val="18"/>
      </w:rPr>
      <w:t xml:space="preserve">Credit Card Fraud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mbria" w:cs="Cambria" w:eastAsia="Cambria" w:hAnsi="Cambria"/>
      <w:b/>
      <w:bCs/>
      <w:color w:val="1B2A4A"/>
      <w:sz w:val="36"/>
      <w:szCs w:val="36"/>
    </w:rPr>
  </w:style>
  <w:style w:type="paragraph" w:styleId="Heading2">
    <w:name w:val="Heading 2"/>
    <w:basedOn w:val="Normal"/>
    <w:next w:val="Normal"/>
    <w:qFormat/>
    <w:pPr>
      <w:spacing w:before="240" w:after="80"/>
      <w:outlineLvl w:val="1"/>
    </w:pPr>
    <w:rPr>
      <w:rFonts w:ascii="Cambria" w:cs="Cambria" w:eastAsia="Cambria" w:hAnsi="Cambria"/>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2026-02-23T12:38:39.955Z</dcterms:created>
  <dcterms:modified xsi:type="dcterms:W3CDTF">2026-02-23T12:38:39.955Z</dcterms:modified>
</cp:coreProperties>
</file>

<file path=docProps/custom.xml><?xml version="1.0" encoding="utf-8"?>
<Properties xmlns="http://schemas.openxmlformats.org/officeDocument/2006/custom-properties" xmlns:vt="http://schemas.openxmlformats.org/officeDocument/2006/docPropsVTypes"/>
</file>