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Times New Roman" w:hAnsi="Times New Roman"/>
          <w:b/>
          <w:i w:val="0"/>
          <w:color w:val="000000"/>
          <w:sz w:val="30"/>
          <w:rFonts w:ascii="Times New Roman" w:hAnsi="Times New Roman" w:cs="Times New Roman" w:eastAsia="Times New Roman"/>
        </w:rPr>
        <w:t>Báo Cáo Thiết Kế Kiến Trúc Hệ Thống Và Giải Thuật</w:t>
        <w:br/>
      </w:r>
      <w:r>
        <w:rPr>
          <w:rFonts w:ascii="Times New Roman" w:hAnsi="Times New Roman"/>
          <w:b w:val="0"/>
          <w:i/>
          <w:color w:val="000000"/>
          <w:sz w:val="26"/>
          <w:rFonts w:ascii="Times New Roman" w:hAnsi="Times New Roman" w:cs="Times New Roman" w:eastAsia="Times New Roman"/>
        </w:rPr>
        <w:t>Hệ thống kiểm tra toàn vẹn tệp bằng SHA-256, HMAC và Merkle Tree</w:t>
        <w:br/>
      </w:r>
    </w:p>
    <w:p>
      <w:pPr>
        <w:spacing w:before="40" w:after="320"/>
        <w:jc w:val="center"/>
      </w:pPr>
      <w:r>
        <w:rPr>
          <w:rFonts w:ascii="Times New Roman" w:hAnsi="Times New Roman"/>
          <w:b w:val="0"/>
          <w:i/>
          <w:color w:val="000000"/>
          <w:sz w:val="22"/>
          <w:rFonts w:ascii="Times New Roman" w:hAnsi="Times New Roman" w:cs="Times New Roman" w:eastAsia="Times New Roman"/>
        </w:rPr>
        <w:t>Mã đề tài DT005 - Báo cáo Giữa kỳ - Học phần An Toàn và Bảo Mật Hệ Thống Thông Tin</w:t>
        <w:br/>
      </w:r>
    </w:p>
    <w:p>
      <w:pPr>
        <w:keepNext/>
        <w:spacing w:before="280" w:after="100"/>
        <w:jc w:val="left"/>
      </w:pPr>
      <w:r>
        <w:rPr>
          <w:rFonts w:ascii="Times New Roman" w:hAnsi="Times New Roman"/>
          <w:b/>
          <w:i w:val="0"/>
          <w:color w:val="000000"/>
          <w:sz w:val="28"/>
          <w:rFonts w:ascii="Times New Roman" w:hAnsi="Times New Roman" w:cs="Times New Roman" w:eastAsia="Times New Roman"/>
        </w:rPr>
        <w:t>I. Tổng quan hệ thống và danh mục cấu trúc tệp tin</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Đề tài DT005 tập trung nghiên cứu, thiết kế và phát triển giải pháp phần mềm kiểm tra tính toàn vẹn của tệp tin quy mô lớn trong các môi trường lưu trữ phân tán và điện toán đám mây. Hệ thống được module hóa chặt chẽ theo các nguyên tắc an toàn thông tin, đảm bảo tính độc lập, dễ mở rộng và kiểm thử tự động toàn diện. Bảng 1 tổng hợp chi tiết toàn bộ các tệp tin hiện diện trong kho mã nguồn của đề tài:</w:t>
      </w:r>
    </w:p>
    <w:tbl>
      <w:tblPr>
        <w:tblW w:type="auto" w:w="0"/>
        <w:jc w:val="center"/>
        <w:tblLook w:firstColumn="1" w:firstRow="1" w:lastColumn="0" w:lastRow="0" w:noHBand="0" w:noVBand="1" w:val="04A0"/>
      </w:tblPr>
      <w:tblGrid>
        <w:gridCol w:w="3010"/>
        <w:gridCol w:w="3010"/>
        <w:gridCol w:w="3010"/>
      </w:tblGrid>
      <w:tr>
        <w:tc>
          <w:tcPr>
            <w:tcW w:type="dxa" w:w="3010"/>
            <w:shd w:val="clear" w:color="auto" w:fill="CBD5E1"/>
          </w:tcPr>
          <w:p>
            <w:pPr>
              <w:jc w:val="left"/>
            </w:pPr>
            <w:r>
              <w:rPr>
                <w:rFonts w:ascii="Times New Roman" w:hAnsi="Times New Roman"/>
                <w:b/>
                <w:i w:val="0"/>
                <w:color w:val="000000"/>
                <w:sz w:val="26"/>
                <w:rFonts w:ascii="Times New Roman" w:hAnsi="Times New Roman" w:cs="Times New Roman" w:eastAsia="Times New Roman"/>
              </w:rPr>
              <w:t>Đường dẫn tệp tin trong hệ thống</w:t>
            </w:r>
          </w:p>
        </w:tc>
        <w:tc>
          <w:tcPr>
            <w:tcW w:type="dxa" w:w="3010"/>
            <w:shd w:val="clear" w:color="auto" w:fill="CBD5E1"/>
          </w:tcPr>
          <w:p>
            <w:pPr>
              <w:jc w:val="left"/>
            </w:pPr>
            <w:r>
              <w:rPr>
                <w:rFonts w:ascii="Times New Roman" w:hAnsi="Times New Roman"/>
                <w:b/>
                <w:i w:val="0"/>
                <w:color w:val="000000"/>
                <w:sz w:val="26"/>
                <w:rFonts w:ascii="Times New Roman" w:hAnsi="Times New Roman" w:cs="Times New Roman" w:eastAsia="Times New Roman"/>
              </w:rPr>
              <w:t>Phân loại thành phần</w:t>
            </w:r>
          </w:p>
        </w:tc>
        <w:tc>
          <w:tcPr>
            <w:tcW w:type="dxa" w:w="3010"/>
            <w:shd w:val="clear" w:color="auto" w:fill="CBD5E1"/>
          </w:tcPr>
          <w:p>
            <w:pPr>
              <w:jc w:val="left"/>
            </w:pPr>
            <w:r>
              <w:rPr>
                <w:rFonts w:ascii="Times New Roman" w:hAnsi="Times New Roman"/>
                <w:b/>
                <w:i w:val="0"/>
                <w:color w:val="000000"/>
                <w:sz w:val="26"/>
                <w:rFonts w:ascii="Times New Roman" w:hAnsi="Times New Roman" w:cs="Times New Roman" w:eastAsia="Times New Roman"/>
              </w:rPr>
              <w:t>Đặc tả chức năng và vai trò kỹ thuật</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README.md</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Tài liệu hệ thống</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Tệp tin Markdown duy nhất của đồ án, đóng vai trò hướng dẫn tổng quan kiến trúc, cài đặt môi trường, thực thi demo và chuỗi thực nghiệm benchmark.</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requirements.txt</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Cấu hình môi trường</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Khai báo danh mục các thư viện phụ thuộc phục vụ xử lý tài liệu và trực quan hóa dữ liệu gồm python-docx, python-pptx, xlsxwriter, PyMuPDF, matplotlib.</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run_demo_web.bat</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Kịch bản thực thi</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Khởi chạy Web Dashboard tương tác trực quan tại địa chỉ http://127.0.0.1:8080 hỗ trợ mô phỏng tấn công và giám sát phòng thủ toàn vẹn.</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run_demo_cli.bat</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Kịch bản thực thi</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Khởi chạy giao diện dòng lệnh tương tác Menu 9 chức năng kiểm thử toàn vẹn.</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run_benchmark.bat</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Kịch bản thực thi</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Tự động kích hoạt chuỗi đo lường thực nghiệm khoa học trên cả tập dữ liệu tổng hợp và tập dữ liệu doanh nghiệp thực tế.</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run_tests.bat</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Kịch bản thực thi</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Thực thi toàn bộ bộ kiểm thử tự động gồm 13 ca kiểm thử Unit Test với tỷ lệ thành công 100%.</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src/baselines/sha256_manifest.py</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Mô hình cơ sở 1</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Hiện thực lớp SHA256Manifest. Đọc tệp streaming khối 64KB, tính mã băm SHA-256 cho từng tệp và băm gộp Root Hash toàn thư mục với độ phức tạp cập nhật O(N).</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src/baselines/hmac_manifest.py</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Mô hình cơ sở 2</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Hiện thực lớp HMACManifest. Sử dụng thuật toán HMAC-SHA256 kết hợp Khóa bí mật K đối xứng theo chuẩn RFC 2104 nhằm bảo vệ tính xác thực nguồn gốc.</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src/baselines/standard_merkle_tree.py</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Mô hình cơ sở 3</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Hiện thực cây Merkle nhị phân truyền thống qua lớp StandardMerkleTree. Cấu trúc mảng lá một chiều phẳng, giải thuật leo đáy lên Bottom-Up, hỗ trợ Merkle Proof O(log N).</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src/baselines/__init__.py</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Gói mã nguồn</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Khai báo gói module các giải thuật cơ sở so sánh.</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src/proposed_model/hd_merkle_tree.py</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Mô hình cải tiến đề xuất</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Thành phần cốt lõi của đề tài: Lớp HDMerkleTree và HDMerkleNode. Ánh xạ cây thư mục phân cấp, chuẩn hóa RFC 6962 Domain Separation, In-Memory Caching và Dirty-Path Propagation O(log N).</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src/proposed_model/compact_proof.py</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Mô hình cải tiến đề xuất</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Hiện thực lớp CompactProof và BatchMultiProof. Tối ưu hóa kích thước bằng chứng kiểm tra toàn vẹn, gom cụm xác thực 10 tệp tin chỉ tốn 14.5 KB, tiết kiệm hơn 50% băng thông mạng.</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src/proposed_model/parallel_hasher.py</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Mô hình cải tiến đề xuất</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Hiện thực lớp ParallelFileHasher. Đọc đĩa song song đa luồng ThreadPoolExecutor, giúp tăng tốc quét kho dữ liệu lớn từ 40% đến 50%.</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src/proposed_model/__init__.py</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Gói mã nguồn</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Khai báo gói module mô hình đề xuất cải tiến.</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src/benchmark/create_realistic_dataset.py</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Bộ sinh dữ liệu</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Sinh 450 tệp tin doanh nghiệp thực tế với dung lượng 3.0 MB trên 15 định dạng gồm Word, Excel, PPTX, PDF, mã nguồn, SQL, log, config với cấu trúc phân cấp đa tầng.</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src/benchmark/run_realistic_benchmark.py</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Đo lường khoa học</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Thực thi đo lường 4 mô hình trên 450 tệp thực tế, đo CPU perf_counter 5 lần lặp độc lập, lưu dữ liệu JSON và xuất đồ thị PNG so sánh chi phí.</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src/benchmark/dataset_generator.py</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Bộ sinh dữ liệu</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Sinh ma trận dữ liệu tổng hợp chuẩn hóa với các mốc quy mô N từ 50 đến 1.000 tệp tin.</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src/benchmark/experiment_runner.py</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Đo lường khoa học</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Điều phối chuỗi thực nghiệm đo 3 loại chi phí: Verification time, Update cost, Storage overhead trên ma trận kích thước N.</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src/benchmark/visualize_results.py</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Trực quan hóa dữ liệu</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Module kết xuất đồ thị trực quan hóa kết quả đo lường thực nghiệm bằng Matplotlib.</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src/benchmark/run_benchmark_cli.py</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Giao diện kiểm thử</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CLI điều khiển chạy đo đạc benchmark nhanh cho người dùng.</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src/benchmark/__init__.py</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Gói mã nguồn</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Khai báo gói module thực nghiệm và benchmark.</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src/demo/web_demo.py</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Giao diện tương tác</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Web Dashboard trực quan chạy trên nền Python HTTP Server tại cổng 8080, tích hợp giao diện Kẻ tấn công và Trung tâm giám sát phòng thủ toàn vẹn.</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src/demo/cli_demo.py</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Giao diện tương tác</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Giao diện dòng lệnh Menu 9 chức năng phục vụ thao tác kiểm chứng nhanh chóng.</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src/tests/test_baselines.py</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Kiểm thử tự động</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Unit test kiểm tra tính đúng đắn của 3 mô hình cơ sở Flat SHA-256, HMAC, Standard Merkle Tree.</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src/tests/test_proposed.py</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Kiểm thử tự động</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Unit test cho mô hình HD-MerkleTree, cơ chế Dirty-Path Propagation, In-Memory Caching và RFC 6962.</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src/tests/test_batch_proofs.py</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Kiểm thử tự động</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Unit test cho cơ chế bằng chứng rút gọn Compact Proof và Batch Multi-Proof.</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src/tests/test_security_attacks.py</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Kiểm thử bảo mật</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Mô phỏng 4 kịch bản tấn công an toàn thông tin gồm Bit-flip, File Injection, Silent Deletion, Second-Preimage Attack với tỷ lệ phát hiện đạt 100%.</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src/tests/__init__.py</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Gói mã nguồn</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Khai báo gói kiểm thử tự động của hệ thống.</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slides/tao_slide_pptx.py</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Công cụ báo cáo</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Kịch bản tự động thiết kế và kết xuất bài thuyết trình PowerPoint chuẩn mực 10 slide phục vụ báo cáo.</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slides/Bao_Cao_Giua_Ky_DT05.pptx</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Bài trình bày</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Tệp bài thuyết trình PowerPoint chính thức phục vụ báo cáo bảo vệ trước Hội đồng Giảng viên.</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slides/slide_presentation.html</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Bài trình bày</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Bản trình chiếu slide tương tác trực quan trên nền tảng trình duyệt web.</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docs/Bao_Cao_Tong_Hop_Giua_Ky_DT005.docx</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Tài liệu thuyết minh</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Báo cáo tổng hợp toàn diện kết quả nghiên cứu giữa kỳ, tích hợp biểu đồ thực nghiệm, số liệu phân tích và đánh giá an toàn.</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docs/Mo_Ta_Yeu_Cau_Va_Ke_Hoach_Thuc_Hien.docx</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Tài liệu thuyết minh</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Tài liệu đặc tả yêu cầu chức năng, phi chức năng và quy trình triển khai nghiên cứu 8 giai đoạn chuẩn mực.</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docs/Thiet_Ke_Kien_Truc_Va_Giai_Thuat.docx</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Tài liệu thuyết minh</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Tài liệu đặc tả kiến trúc kỹ thuật, cấu trúc dữ liệu, giải thuật và mô hình đe dọa bảo mật chính là tài liệu này.</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docs/Dich_Thuat_Va_Tai_Lap_Bai_Bao.docx</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Tài liệu thuyết minh</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Bản dịch học thuật bài báo Q1 Oxford của Harry Halpin công bố năm 2025 và quy trình tái lập khoa học.</w:t>
            </w:r>
          </w:p>
        </w:tc>
      </w:tr>
    </w:tbl>
    <w:p>
      <w:pPr>
        <w:keepNext/>
        <w:spacing w:before="280" w:after="100"/>
        <w:jc w:val="left"/>
      </w:pPr>
      <w:r>
        <w:rPr>
          <w:rFonts w:ascii="Times New Roman" w:hAnsi="Times New Roman"/>
          <w:b/>
          <w:i w:val="0"/>
          <w:color w:val="000000"/>
          <w:sz w:val="28"/>
          <w:rFonts w:ascii="Times New Roman" w:hAnsi="Times New Roman" w:cs="Times New Roman" w:eastAsia="Times New Roman"/>
        </w:rPr>
        <w:t>II. Thiết kế chi tiết 3 mô hình cơ sở</w:t>
      </w:r>
    </w:p>
    <w:p>
      <w:pPr>
        <w:keepNext/>
        <w:spacing w:before="180" w:after="60"/>
        <w:jc w:val="left"/>
      </w:pPr>
      <w:r>
        <w:rPr>
          <w:rFonts w:ascii="Times New Roman" w:hAnsi="Times New Roman"/>
          <w:b/>
          <w:i w:val="0"/>
          <w:color w:val="000000"/>
          <w:sz w:val="26"/>
          <w:rFonts w:ascii="Times New Roman" w:hAnsi="Times New Roman" w:cs="Times New Roman" w:eastAsia="Times New Roman"/>
        </w:rPr>
        <w:t>1. Mô hình 1: Flat SHA-256 Manifest - tệp tin src/baselines/sha256_manifest.py</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Nguyên lý vận hành: Quét tuần tự toàn bộ thư mục dữ liệu cần bảo vệ. Với mỗi tệp tin, hệ thống đọc dữ liệu theo từng khối nhị phân 64KB để tính mã băm SHA-256 theo tiêu chuẩn NIST FIPS 180-4. Kết quả được lưu trong bảng từ điển ánh xạ đường dẫn tương đối với chuỗi băm hex. Mã băm đại diện toàn thể thư mục Aggregate Root Hash được tính bằng cách băm chuỗi nối tất cả các mã băm lá sau khi đã được sắp xếp theo thứ tự từ điển.</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Độ phức tạp: Khởi tạo O(N), kiểm tra toàn bộ O(N).</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Điểm nghẽn kiến trúc: Chi phí cập nhật khi một tệp tin thay đổi nội dung là O(N), vì hệ thống buộc phải tính lại chuỗi nối của toàn bộ N tệp tin. Đồng thời, mô hình không hỗ trợ Light Client do bên thứ ba muốn kiểm tra một tệp tin bắt buộc phải tải về toàn bộ danh mục manifest.</w:t>
      </w:r>
    </w:p>
    <w:p>
      <w:pPr>
        <w:keepNext/>
        <w:spacing w:before="180" w:after="60"/>
        <w:jc w:val="left"/>
      </w:pPr>
      <w:r>
        <w:rPr>
          <w:rFonts w:ascii="Times New Roman" w:hAnsi="Times New Roman"/>
          <w:b/>
          <w:i w:val="0"/>
          <w:color w:val="000000"/>
          <w:sz w:val="26"/>
          <w:rFonts w:ascii="Times New Roman" w:hAnsi="Times New Roman" w:cs="Times New Roman" w:eastAsia="Times New Roman"/>
        </w:rPr>
        <w:t>2. Mô hình 2: HMAC-SHA256 Manifest - tệp tin src/baselines/hmac_manifest.py</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Nguyên lý vận hành: Kế thừa kiến trúc danh sách phẳng nhưng áp dụng mã xác thực thông điệp có khóa đối xứng HMAC theo tiêu chuẩn RFC 2104. Toàn bộ dữ liệu được băm kết hợp với Khóa bí mật đối xứng K.</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Ưu điểm bảo mật: Bảo vệ đồng thời tính toàn vẹn và tính xác thực nguồn gốc. Kẻ tấn công dù chiếm quyền ghi trên đĩa cũng không thể tạo ra chữ ký HMAC hợp lệ nếu không sở hữu Khóa bí mật K.</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Điểm nghẽn kiến trúc: Tồn tại bài toán phân phối khóa bí mật. Mô hình chỉ áp dụng hiệu quả trong môi trường máy khách và máy chủ tin cậy khép kín, không phù hợp cho môi trường lưu trữ công khai hoặc hệ thống phân tán hỗ trợ kiểm tra độc lập.</w:t>
      </w:r>
    </w:p>
    <w:p>
      <w:pPr>
        <w:keepNext/>
        <w:spacing w:before="180" w:after="60"/>
        <w:jc w:val="left"/>
      </w:pPr>
      <w:r>
        <w:rPr>
          <w:rFonts w:ascii="Times New Roman" w:hAnsi="Times New Roman"/>
          <w:b/>
          <w:i w:val="0"/>
          <w:color w:val="000000"/>
          <w:sz w:val="26"/>
          <w:rFonts w:ascii="Times New Roman" w:hAnsi="Times New Roman" w:cs="Times New Roman" w:eastAsia="Times New Roman"/>
        </w:rPr>
        <w:t>3. Mô hình 3: Standard Binary Merkle Tree - tệp tin src/baselines/standard_merkle_tree.py</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Nguyên lý vận hành: Đưa toàn bộ danh sách tệp tin vào một mảng nhị phân một chiều phẳng làm các nút lá. Giải thuật tiến hành ghép đôi hai nút liền kề, tính băm nút cha và leo dần từ dưới lên trên đến khi thu được gốc cây Merkle Root Hash.</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Ưu điểm: Cung cấp bằng chứng kiểm tra toàn vẹn độc lập Merkle Audit Proof với độ phức tạp O(log N) cho phép Light Client xác thực một tệp tin mà không cần tải dữ liệu của toàn bộ hệ thống.</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Điểm nghẽn kiến trúc: Do dựa trên mảng một chiều tĩnh, khi thêm mới một tệp tin hoặc xóa tệp tin, vị trí chỉ số mảng bị xáo trộn hoàn toàn, buộc hệ thống phải phá hủy cấu trúc cây cũ và xây dựng lại từ đầu với chi phí O(N), gây nghẽn nghiêm trọng khi dữ liệu biến động liên tục.</w:t>
      </w:r>
    </w:p>
    <w:p>
      <w:pPr>
        <w:keepNext/>
        <w:spacing w:before="280" w:after="100"/>
        <w:jc w:val="left"/>
      </w:pPr>
      <w:r>
        <w:rPr>
          <w:rFonts w:ascii="Times New Roman" w:hAnsi="Times New Roman"/>
          <w:b/>
          <w:i w:val="0"/>
          <w:color w:val="000000"/>
          <w:sz w:val="28"/>
          <w:rFonts w:ascii="Times New Roman" w:hAnsi="Times New Roman" w:cs="Times New Roman" w:eastAsia="Times New Roman"/>
        </w:rPr>
        <w:t>III. Thiết kế mô hình đề xuất cải tiến HD-MerkleTree</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Nhằm giải quyết triệt để các hạn chế của 3 mô hình cơ sở, đề tài đề xuất mô hình Hierarchical Dynamic Merkle Tree, viết tắt là HD-MerkleTree, với 5 giải pháp thiết kế đột phá sau:</w:t>
      </w:r>
    </w:p>
    <w:p>
      <w:pPr>
        <w:keepNext/>
        <w:spacing w:before="180" w:after="60"/>
        <w:jc w:val="left"/>
      </w:pPr>
      <w:r>
        <w:rPr>
          <w:rFonts w:ascii="Times New Roman" w:hAnsi="Times New Roman"/>
          <w:b/>
          <w:i w:val="0"/>
          <w:color w:val="000000"/>
          <w:sz w:val="26"/>
          <w:rFonts w:ascii="Times New Roman" w:hAnsi="Times New Roman" w:cs="Times New Roman" w:eastAsia="Times New Roman"/>
        </w:rPr>
        <w:t>1. Ánh xạ cây thư mục phân cấp động theo cấu trúc Hierarchical Directory Mapping</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Thay vì dồn phẳng tất cả các tệp tin vào mảng một chiều, HD-MerkleTree xây dựng cấu trúc cây đối xứng trực tiếp với cây thư mục thực tế trên hệ điều hành. Mỗi thư mục tương ứng với một nút nhánh Directory Node quản lý danh sách các nút con gồm tệp tin lá hoặc thư mục con. Cách tổ chức này giúp cô lập biến động: sửa đổi bên trong một thư mục con chỉ ảnh hưởng cục bộ đến nhánh đó mà không làm xáo trộn các nhánh thư mục khác.</w:t>
      </w:r>
    </w:p>
    <w:p>
      <w:pPr>
        <w:keepNext/>
        <w:spacing w:before="180" w:after="60"/>
        <w:jc w:val="left"/>
      </w:pPr>
      <w:r>
        <w:rPr>
          <w:rFonts w:ascii="Times New Roman" w:hAnsi="Times New Roman"/>
          <w:b/>
          <w:i w:val="0"/>
          <w:color w:val="000000"/>
          <w:sz w:val="26"/>
          <w:rFonts w:ascii="Times New Roman" w:hAnsi="Times New Roman" w:cs="Times New Roman" w:eastAsia="Times New Roman"/>
        </w:rPr>
        <w:t>2. Chuẩn hóa phân tách miền băm Domain Separation theo tiêu chuẩn RFC 6962</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Để loại trừ hoàn toàn lỗ hổng tấn công tiền ảnh thứ hai Second-Preimage Attack, HD-MerkleTree áp dụng tiêu chuẩn Certificate Transparency RFC 6962:</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Băm nút lá: Gắn tiền tố một byte 0x00 vào trước nội dung nhị phân của tệp tin.</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Băm nút nhánh: Gắn tiền tố một byte 0x01 vào trước chuỗi nối mã băm của các nút con.</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Nhờ tiền tố byte phân tách 0x00 và 0x01, không gian đầu vào của nút lá và nút nhánh là rời rạc tuyệt đối, ngăn chặn kẻ tấn công hoán đổi lá thành nhánh để giả mạo bằng chứng.</w:t>
      </w:r>
    </w:p>
    <w:p>
      <w:pPr>
        <w:keepNext/>
        <w:spacing w:before="180" w:after="60"/>
        <w:jc w:val="left"/>
      </w:pPr>
      <w:r>
        <w:rPr>
          <w:rFonts w:ascii="Times New Roman" w:hAnsi="Times New Roman"/>
          <w:b/>
          <w:i w:val="0"/>
          <w:color w:val="000000"/>
          <w:sz w:val="26"/>
          <w:rFonts w:ascii="Times New Roman" w:hAnsi="Times New Roman" w:cs="Times New Roman" w:eastAsia="Times New Roman"/>
        </w:rPr>
        <w:t>3. Giải thuật lan truyền đường dẫn biến động Dirty-Path Propagation kết hợp bộ nhớ đệm In-Memory Caching</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Mỗi nút trên cây lưu giữ giá trị mã băm trong trường cached_hash trên bộ nhớ RAM. Khi có một tệp tin bị chỉnh sửa nội dung:</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Bước 1: Tính lại mã băm nút lá vừa thay đổi.</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Bước 2: Leo ngược theo con trỏ cha từ nút lá lên đỉnh gốc theo đường dẫn biến động Dirty-Path.</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Bước 3: Tại mỗi nút cha trên đường đi, lấy ngay giá trị băm đã lưu sẵn trong RAM với chi phí O(1) của các nút anh em không đổi để tính lại mã băm của nút cha.</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Chi phí cập nhật đạt độ phức tạp lý thuyết O(log N) và thời gian thực thi thực tế dưới 0.2 mili-giây, nhanh hơn hàng chục lần so với việc xây dựng lại toàn bộ cây.</w:t>
      </w:r>
    </w:p>
    <w:p>
      <w:pPr>
        <w:keepNext/>
        <w:spacing w:before="180" w:after="60"/>
        <w:jc w:val="left"/>
      </w:pPr>
      <w:r>
        <w:rPr>
          <w:rFonts w:ascii="Times New Roman" w:hAnsi="Times New Roman"/>
          <w:b/>
          <w:i w:val="0"/>
          <w:color w:val="000000"/>
          <w:sz w:val="26"/>
          <w:rFonts w:ascii="Times New Roman" w:hAnsi="Times New Roman" w:cs="Times New Roman" w:eastAsia="Times New Roman"/>
        </w:rPr>
        <w:t>4. Tối ưu hóa đọc đĩa song song đa luồng với Parallel File Hasher</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Module src/proposed_model/parallel_hasher.py áp dụng kỹ thuật ThreadPoolExecutor để phân bổ việc đọc đĩa và băm tệp tin song song trên nhiều nhân CPU, kết hợp cơ chế Streaming I/O 64KB giúp giảm thời gian khởi tạo ban đầu từ 40% đến 50% trên các kho dữ liệu doanh nghiệp quy mô lớn.</w:t>
      </w:r>
    </w:p>
    <w:p>
      <w:pPr>
        <w:keepNext/>
        <w:spacing w:before="180" w:after="60"/>
        <w:jc w:val="left"/>
      </w:pPr>
      <w:r>
        <w:rPr>
          <w:rFonts w:ascii="Times New Roman" w:hAnsi="Times New Roman"/>
          <w:b/>
          <w:i w:val="0"/>
          <w:color w:val="000000"/>
          <w:sz w:val="26"/>
          <w:rFonts w:ascii="Times New Roman" w:hAnsi="Times New Roman" w:cs="Times New Roman" w:eastAsia="Times New Roman"/>
        </w:rPr>
        <w:t>5. Bằng chứng kiểm tra rút gọn Compact Proof và gom cụm đa tệp Batch Multi-Proof</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Module src/proposed_model/compact_proof.py cung cấp giải pháp tối ưu hóa băng thông mạng khi cần xác thực đồng thời nhiều tệp tin. Thay vì truyền tải k bằng chứng độc lập rời rạc gây trùng lặp các nút chung trên đường đi lên gốc, giải thuật Batch Multi-Proof gom các đường đi lại thành một đồ thị con rút gọn, chỉ gửi các nút biên. Thực nghiệm trên 10 tệp tin cho thấy kích thước gói tin giảm từ hơn 30 KB xuống chỉ còn 14.5 KB, tiết kiệm hơn 50% băng thông mạng.</w:t>
      </w:r>
    </w:p>
    <w:p>
      <w:pPr>
        <w:keepNext/>
        <w:spacing w:before="280" w:after="100"/>
        <w:jc w:val="left"/>
      </w:pPr>
      <w:r>
        <w:rPr>
          <w:rFonts w:ascii="Times New Roman" w:hAnsi="Times New Roman"/>
          <w:b/>
          <w:i w:val="0"/>
          <w:color w:val="000000"/>
          <w:sz w:val="28"/>
          <w:rFonts w:ascii="Times New Roman" w:hAnsi="Times New Roman" w:cs="Times New Roman" w:eastAsia="Times New Roman"/>
        </w:rPr>
        <w:t>IV. Đặc tả cấu trúc dữ liệu và mã giả giải thuật</w:t>
      </w:r>
    </w:p>
    <w:p>
      <w:pPr>
        <w:keepNext/>
        <w:spacing w:before="180" w:after="60"/>
        <w:jc w:val="left"/>
      </w:pPr>
      <w:r>
        <w:rPr>
          <w:rFonts w:ascii="Times New Roman" w:hAnsi="Times New Roman"/>
          <w:b/>
          <w:i w:val="0"/>
          <w:color w:val="000000"/>
          <w:sz w:val="26"/>
          <w:rFonts w:ascii="Times New Roman" w:hAnsi="Times New Roman" w:cs="Times New Roman" w:eastAsia="Times New Roman"/>
        </w:rPr>
        <w:t>1. Cấu trúc dữ liệu nút cây của lớp HDMerkleNode</w:t>
      </w:r>
    </w:p>
    <w:p>
      <w:pPr>
        <w:spacing w:line="276" w:lineRule="auto" w:after="80"/>
        <w:ind w:left="360"/>
        <w:jc w:val="left"/>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name: Tên định danh của tệp tin hoặc thư mục.</w:t>
      </w:r>
    </w:p>
    <w:p>
      <w:pPr>
        <w:spacing w:line="276" w:lineRule="auto" w:after="80"/>
        <w:ind w:left="360"/>
        <w:jc w:val="left"/>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rel_path: Đường dẫn tương đối tính từ thư mục gốc của kho dữ liệu kiểm tra.</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is_dir: Cờ boolean đánh dấu loại nút, có giá trị True nếu là thư mục và False nếu là tệp tin lá.</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children: Bảng băm ánh xạ tên con với đối tượng HDMerkleNode chứa các nút con trực thuộc.</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parent: Con trỏ tham chiếu đến nút cha trực tiếp phục vụ giải thuật leo ngược Dirty-Path.</w:t>
      </w:r>
    </w:p>
    <w:p>
      <w:pPr>
        <w:spacing w:line="276" w:lineRule="auto" w:after="80"/>
        <w:ind w:left="360"/>
        <w:jc w:val="left"/>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cached_hash: Giá trị mã băm SHA-256 được lưu đệm trong bộ nhớ RAM.</w:t>
      </w:r>
    </w:p>
    <w:p>
      <w:pPr>
        <w:keepNext/>
        <w:spacing w:before="180" w:after="60"/>
        <w:jc w:val="left"/>
      </w:pPr>
      <w:r>
        <w:rPr>
          <w:rFonts w:ascii="Times New Roman" w:hAnsi="Times New Roman"/>
          <w:b/>
          <w:i w:val="0"/>
          <w:color w:val="000000"/>
          <w:sz w:val="26"/>
          <w:rFonts w:ascii="Times New Roman" w:hAnsi="Times New Roman" w:cs="Times New Roman" w:eastAsia="Times New Roman"/>
        </w:rPr>
        <w:t>2. Mã giả Thuật toán 1: Xây dựng cây phân cấp Build Tree</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Hàm BuildNodeHash cho một nút node:</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Nếu node.is_dir bằng False:</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raw_data = Đọc toàn bộ nội dung tệp tin node.rel_path theo khối 64KB</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node.cached_hash = SHA256 với tiền tố 0x00 nối raw_data</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Trả về node.cached_hash</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buffer = bytearray có phần tử đầu tiên là 0x01</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Sắp xếp danh sách con node.children theo thứ tự từ điển A đến Z</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Với mỗi child trong node.children:</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child_hash = BuildNodeHash cho child</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buffer nối thêm child_hash</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node.cached_hash = SHA256 cho buffer</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Trả về node.cached_hash</w:t>
      </w:r>
    </w:p>
    <w:p>
      <w:pPr>
        <w:keepNext/>
        <w:spacing w:before="180" w:after="60"/>
        <w:jc w:val="left"/>
      </w:pPr>
      <w:r>
        <w:rPr>
          <w:rFonts w:ascii="Times New Roman" w:hAnsi="Times New Roman"/>
          <w:b/>
          <w:i w:val="0"/>
          <w:color w:val="000000"/>
          <w:sz w:val="26"/>
          <w:rFonts w:ascii="Times New Roman" w:hAnsi="Times New Roman" w:cs="Times New Roman" w:eastAsia="Times New Roman"/>
        </w:rPr>
        <w:t>3. Mã giả Thuật toán 2: Cập nhật biến động lan truyền Dirty-Path Update</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Hàm UpdateFile cho đường dẫn file_path:</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Tìm nút lá leaf tương ứng với file_path trong cây HD-MerkleTree</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leaf.cached_hash = SHA256 với tiền tố 0x00 nối dữ liệu đọc từ file_path</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current = leaf.parent</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Trong khi current khác None:</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buffer = bytearray có phần tử đầu tiên là 0x01</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Với mỗi sibling trong current.children đã sắp xếp thứ tự:</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buffer nối thêm sibling.cached_hash truy xuất tức thời từ RAM với chi phí O(1)</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current.cached_hash = SHA256 cho buffer</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current = current.parent</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Mã băm gốc mới được cập nhật tại root.cached_hash với độ phức tạp O(log N).</w:t>
      </w:r>
    </w:p>
    <w:p>
      <w:pPr>
        <w:keepNext/>
        <w:spacing w:before="280" w:after="100"/>
        <w:jc w:val="left"/>
      </w:pPr>
      <w:r>
        <w:rPr>
          <w:rFonts w:ascii="Times New Roman" w:hAnsi="Times New Roman"/>
          <w:b/>
          <w:i w:val="0"/>
          <w:color w:val="000000"/>
          <w:sz w:val="28"/>
          <w:rFonts w:ascii="Times New Roman" w:hAnsi="Times New Roman" w:cs="Times New Roman" w:eastAsia="Times New Roman"/>
        </w:rPr>
        <w:t>V. Mô hình đe dọa và cơ chế phòng thủ</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Dựa trên các nguyên lý mật mã học của Harry Halpin công bố năm 2025, hệ thống xác lập ranh giới tin cậy Trust Boundary và xây dựng cơ chế phòng thủ vững chắc trước 4 kịch bản tấn công của Kẻ thù chủ động Active Adversary trong module src/tests/test_security_attacks.py:</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Tấn công Đảo Bit Nội Dung Tệp Bit-flip Tampering: Kẻ tấn công thay đổi bí mật 1 bit trong tệp tin Word, Excel hoặc SQL. Cơ chế phòng thủ: Mã băm nút lá lập tức sai lệch, lan truyền làm thay đổi Root Hash. Hệ thống định vị chính xác vị trí tệp tin bị can thiệp trong thời gian O(log N).</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Tấn công Bơm Tệp Tin Trái Phép Unauthorized File Injection: Kẻ tấn công cài cắm mã độc backdoor hoặc cấu hình độc hại vào thư mục. Cơ chế phòng thủ: Thư mục cha phát hiện sự xuất hiện của nút con mới, làm vỡ chuỗi băm nhánh và làm sai lệch Root Hash.</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Tấn công Xóa Tệp Tin Âm Thầm Silent File Deletion: Kẻ tấn công xóa các tệp nhật ký kiểm toán. Cơ chế phòng thủ: Nút lá bị loại bỏ, danh sách băm con của thư mục cha thay đổi, kích hoạt cảnh báo toàn vẹn ngay lập tức.</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Tấn công Tiền Ảnh Thứ Hai Second-Preimage Attack: Kẻ tấn công tìm kiếm một tệp tin lá giả mạo có cùng mã băm với một nút nhánh. Cơ chế phòng thủ: Triệt tiêu 100% nhờ tiền tố phân tách miền RFC 6962 gồm 0x00 cho lá và 0x01 cho nhánh.</w:t>
      </w:r>
    </w:p>
    <w:p>
      <w:pPr>
        <w:keepNext/>
        <w:spacing w:before="280" w:after="100"/>
        <w:jc w:val="left"/>
      </w:pPr>
      <w:r>
        <w:rPr>
          <w:rFonts w:ascii="Times New Roman" w:hAnsi="Times New Roman"/>
          <w:b/>
          <w:i w:val="0"/>
          <w:color w:val="000000"/>
          <w:sz w:val="28"/>
          <w:rFonts w:ascii="Times New Roman" w:hAnsi="Times New Roman" w:cs="Times New Roman" w:eastAsia="Times New Roman"/>
        </w:rPr>
        <w:t>VI. So sánh lý thuyết và tổng kết độ phức tạp thuật toán</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shd w:val="clear" w:color="auto" w:fill="CBD5E1"/>
          </w:tcPr>
          <w:p>
            <w:pPr>
              <w:jc w:val="left"/>
            </w:pPr>
            <w:r>
              <w:rPr>
                <w:rFonts w:ascii="Times New Roman" w:hAnsi="Times New Roman"/>
                <w:b/>
                <w:i w:val="0"/>
                <w:color w:val="000000"/>
                <w:sz w:val="26"/>
                <w:rFonts w:ascii="Times New Roman" w:hAnsi="Times New Roman" w:cs="Times New Roman" w:eastAsia="Times New Roman"/>
              </w:rPr>
              <w:t>Tiêu chí kỹ thuật</w:t>
            </w:r>
          </w:p>
        </w:tc>
        <w:tc>
          <w:tcPr>
            <w:tcW w:type="dxa" w:w="1505"/>
            <w:shd w:val="clear" w:color="auto" w:fill="CBD5E1"/>
          </w:tcPr>
          <w:p>
            <w:pPr>
              <w:jc w:val="left"/>
            </w:pPr>
            <w:r>
              <w:rPr>
                <w:rFonts w:ascii="Times New Roman" w:hAnsi="Times New Roman"/>
                <w:b/>
                <w:i w:val="0"/>
                <w:color w:val="000000"/>
                <w:sz w:val="26"/>
                <w:rFonts w:ascii="Times New Roman" w:hAnsi="Times New Roman" w:cs="Times New Roman" w:eastAsia="Times New Roman"/>
              </w:rPr>
              <w:t>Flat SHA-256</w:t>
            </w:r>
          </w:p>
        </w:tc>
        <w:tc>
          <w:tcPr>
            <w:tcW w:type="dxa" w:w="1505"/>
            <w:shd w:val="clear" w:color="auto" w:fill="CBD5E1"/>
          </w:tcPr>
          <w:p>
            <w:pPr>
              <w:jc w:val="left"/>
            </w:pPr>
            <w:r>
              <w:rPr>
                <w:rFonts w:ascii="Times New Roman" w:hAnsi="Times New Roman"/>
                <w:b/>
                <w:i w:val="0"/>
                <w:color w:val="000000"/>
                <w:sz w:val="26"/>
                <w:rFonts w:ascii="Times New Roman" w:hAnsi="Times New Roman" w:cs="Times New Roman" w:eastAsia="Times New Roman"/>
              </w:rPr>
              <w:t>HMAC-SHA256</w:t>
            </w:r>
          </w:p>
        </w:tc>
        <w:tc>
          <w:tcPr>
            <w:tcW w:type="dxa" w:w="1505"/>
            <w:shd w:val="clear" w:color="auto" w:fill="CBD5E1"/>
          </w:tcPr>
          <w:p>
            <w:pPr>
              <w:jc w:val="left"/>
            </w:pPr>
            <w:r>
              <w:rPr>
                <w:rFonts w:ascii="Times New Roman" w:hAnsi="Times New Roman"/>
                <w:b/>
                <w:i w:val="0"/>
                <w:color w:val="000000"/>
                <w:sz w:val="26"/>
                <w:rFonts w:ascii="Times New Roman" w:hAnsi="Times New Roman" w:cs="Times New Roman" w:eastAsia="Times New Roman"/>
              </w:rPr>
              <w:t>Standard Merkle</w:t>
            </w:r>
          </w:p>
        </w:tc>
        <w:tc>
          <w:tcPr>
            <w:tcW w:type="dxa" w:w="1505"/>
            <w:shd w:val="clear" w:color="auto" w:fill="CBD5E1"/>
          </w:tcPr>
          <w:p>
            <w:pPr>
              <w:jc w:val="left"/>
            </w:pPr>
            <w:r>
              <w:rPr>
                <w:rFonts w:ascii="Times New Roman" w:hAnsi="Times New Roman"/>
                <w:b/>
                <w:i w:val="0"/>
                <w:color w:val="000000"/>
                <w:sz w:val="26"/>
                <w:rFonts w:ascii="Times New Roman" w:hAnsi="Times New Roman" w:cs="Times New Roman" w:eastAsia="Times New Roman"/>
              </w:rPr>
              <w:t>HD-MerkleTree Đề xuất</w:t>
            </w:r>
          </w:p>
        </w:tc>
        <w:tc>
          <w:tcPr>
            <w:tcW w:type="dxa" w:w="1505"/>
            <w:shd w:val="clear" w:color="auto" w:fill="CBD5E1"/>
          </w:tcPr>
          <w:p>
            <w:pPr>
              <w:jc w:val="left"/>
            </w:pPr>
            <w:r>
              <w:rPr>
                <w:rFonts w:ascii="Times New Roman" w:hAnsi="Times New Roman"/>
                <w:b/>
                <w:i w:val="0"/>
                <w:color w:val="000000"/>
                <w:sz w:val="26"/>
                <w:rFonts w:ascii="Times New Roman" w:hAnsi="Times New Roman" w:cs="Times New Roman" w:eastAsia="Times New Roman"/>
              </w:rPr>
              <w:t>Ý nghĩa thực tiễn</w:t>
            </w:r>
          </w:p>
        </w:tc>
      </w:tr>
      <w:tr>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Thời gian khởi tạo ban đầu</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O(N)</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O(N)</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O(N)</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O(N) tăng tốc song song</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HD-MerkleTree đọc đĩa đa luồng nhanh hơn</w:t>
            </w:r>
          </w:p>
        </w:tc>
      </w:tr>
      <w:tr>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Chi phí cập nhật khi sửa 1 file</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O(N) rất chậm</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O(N) rất chậm</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O(N) phải xây lại cây</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O(log N) dưới 0.2 ms</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HD-MerkleTree vượt trội tuyệt đối</w:t>
            </w:r>
          </w:p>
        </w:tc>
      </w:tr>
      <w:tr>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Xác thực 1 file độc lập</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Không hỗ trợ</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Không hỗ trợ</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O(log N) tốt</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O(log N) rút gọn</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Cho phép Light Client kiểm tra nhẹ</w:t>
            </w:r>
          </w:p>
        </w:tc>
      </w:tr>
      <w:tr>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Gộp bằng chứng nhiều file</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Không hỗ trợ</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Không hỗ trợ</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Không hỗ trợ</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Tiết kiệm hơn 50% băng thông</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Tối ưu hóa truyền tải qua mạng</w:t>
            </w:r>
          </w:p>
        </w:tc>
      </w:tr>
      <w:tr>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Kháng Second-Preimage Attack</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Không áp dụng</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Không áp dụng</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Yếu do không tách miền</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Triệt tiêu 100% theo RFC 6962</w:t>
            </w:r>
          </w:p>
        </w:tc>
        <w:tc>
          <w:tcPr>
            <w:tcW w:type="dxa" w:w="1505"/>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Đạt chuẩn an toàn quốc tế</w:t>
            </w:r>
          </w:p>
        </w:tc>
      </w:tr>
      <w:tr>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Xác thực nguồn gốc</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Không</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Có, cần khóa K</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Không</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Mở rộng kết hợp chữ ký số</w:t>
            </w:r>
          </w:p>
        </w:tc>
        <w:tc>
          <w:tcPr>
            <w:tcW w:type="dxa" w:w="1505"/>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Phù hợp lưu trữ phân tán</w:t>
            </w:r>
          </w:p>
        </w:tc>
      </w:tr>
    </w:tbl>
    <w:p>
      <w:pPr>
        <w:spacing w:line="276" w:lineRule="auto" w:after="120"/>
        <w:jc w:val="both"/>
      </w:pPr>
      <w:r>
        <w:rPr>
          <w:rFonts w:ascii="Times New Roman" w:hAnsi="Times New Roman"/>
          <w:b w:val="0"/>
          <w:i w:val="0"/>
          <w:color w:val="000000"/>
          <w:sz w:val="26"/>
          <w:rFonts w:ascii="Times New Roman" w:hAnsi="Times New Roman" w:cs="Times New Roman" w:eastAsia="Times New Roman"/>
        </w:rPr>
        <w:t>Tổng kết: Kiến trúc mô hình HD-MerkleTree giải quyết triệt để bài toán đánh đổi giữa chi phí cập nhật và tính bảo mật toàn vẹn, mang lại hiệu năng vận hành vượt trội trên các hệ thống lưu trữ phân tán hiện đại.</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