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QUY CHẾ AN TOÀN THÔNG TIN DOANH NGHIỆP #223</w:t>
      </w:r>
    </w:p>
    <w:p>
      <w:r>
        <w:rPr>
          <w:b/>
        </w:rPr>
        <w:t>Mã chính sách: SEC-POL-2026-223 (Ban hành nội bộ)</w:t>
        <w:br/>
      </w:r>
      <w:r>
        <w:t>Điều 1: Mọi tệp dữ liệu quan trọng đều phải được định danh bằng mã băm SHA-256.</w:t>
        <w:br/>
      </w:r>
      <w:r>
        <w:t>Điều 2: Xác thực nguồn gốc bằng chữ ký HMAC có khóa bí mật lưu giữ an toàn.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