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#80</w:t>
      </w:r>
    </w:p>
    <w:p>
      <w:r>
        <w:rPr>
          <w:b/>
        </w:rPr>
        <w:t>Mã chính sách: SEC-POL-2026-080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