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E6E8C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EC5D1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Education Conference 2026</w:t>
            </w:r>
          </w:p>
          <w:p>
            <w:r>
              <w:rPr>
                <w:i/>
                <w:color w:val="C2DAE2"/>
                <w:sz w:val="24"/>
              </w:rPr>
              <w:t>Mekong Travel – Can Tho</w:t>
            </w:r>
          </w:p>
        </w:tc>
      </w:tr>
    </w:tbl>
    <w:p/>
    <w:tbl>
      <w:tblPr>
        <w:tblW w:type="auto" w:w="0"/>
        <w:tblBorders>
          <w:top w:val="single" w:sz="4" w:space="0" w:color="86B6C5"/>
          <w:left w:val="single" w:sz="4" w:space="0" w:color="86B6C5"/>
          <w:bottom w:val="single" w:sz="4" w:space="0" w:color="86B6C5"/>
          <w:right w:val="single" w:sz="4" w:space="0" w:color="86B6C5"/>
          <w:insideH w:val="single" w:sz="4" w:space="0" w:color="86B6C5"/>
          <w:insideV w:val="single" w:sz="4" w:space="0" w:color="86B6C5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Date</w:t>
            </w:r>
          </w:p>
        </w:tc>
        <w:tc>
          <w:tcPr>
            <w:tcW w:type="dxa" w:w="6768"/>
          </w:tcPr>
          <w:p>
            <w:r>
              <w:t>Sunday, 8 November 2026</w:t>
            </w:r>
          </w:p>
        </w:tc>
      </w:tr>
      <w:t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Time</w:t>
            </w:r>
          </w:p>
        </w:tc>
        <w:tc>
          <w:tcPr>
            <w:tcW w:type="dxa" w:w="6768"/>
          </w:tcPr>
          <w:p>
            <w:r>
              <w:t>18:00 - 21:30</w:t>
            </w:r>
          </w:p>
        </w:tc>
      </w:tr>
      <w:t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Venue</w:t>
            </w:r>
          </w:p>
        </w:tc>
        <w:tc>
          <w:tcPr>
            <w:tcW w:type="dxa" w:w="6768"/>
          </w:tcPr>
          <w:p>
            <w:r>
              <w:t>Main Hall, Mekong Travel</w:t>
            </w:r>
          </w:p>
        </w:tc>
      </w:tr>
      <w:t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Contact</w:t>
            </w:r>
          </w:p>
        </w:tc>
        <w:tc>
          <w:tcPr>
            <w:tcW w:type="dxa" w:w="6768"/>
          </w:tcPr>
          <w:p>
            <w:r>
              <w:t>info@mekongtravel.vn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Mission</w:t>
      </w:r>
    </w:p>
    <w:p>
      <w:r xmlns:a="http://schemas.openxmlformats.org/drawingml/2006/main">
        <w:t xml:space="preserve">Mekong Travel organizes an annual conference that brings together teachers, school leaders, and researchers from across Southeast Asia.</w:t>
      </w:r>
    </w:p>
    <w:p>
      <w:r xmlns:a="http://schemas.openxmlformats.org/drawingml/2006/main">
        <w:t xml:space="preserve">Our goal is to share practical ideas that improve learning in every classroom, from primary schools to universities.</w:t>
      </w:r>
    </w:p>
    <w:p>
      <w:pPr>
        <w:pStyle w:val="Heading1"/>
      </w:pPr>
      <w:r xmlns:a="http://schemas.openxmlformats.org/drawingml/2006/main">
        <w:t xml:space="preserve">Conference Topics</w:t>
      </w:r>
    </w:p>
    <w:p>
      <w:r xmlns:a="http://schemas.openxmlformats.org/drawingml/2006/main">
        <w:t xml:space="preserve">Applying Psychological Theories to Classroom Instruction</w:t>
      </w:r>
    </w:p>
    <w:p>
      <w:r xmlns:a="http://schemas.openxmlformats.org/drawingml/2006/main">
        <w:t xml:space="preserve">Designing Project-Based Learning Activities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E6E8C"/>
          </w:tcPr>
          <w:p>
            <w:r>
              <w:rPr>
                <w:b/>
                <w:color w:val="FFFFFF"/>
              </w:rPr>
              <w:t>Session</w:t>
            </w:r>
          </w:p>
        </w:tc>
        <w:tc>
          <w:tcPr>
            <w:tcW w:type="dxa" w:w="3120"/>
            <w:shd w:val="clear" w:color="auto" w:fill="0E6E8C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3120"/>
            <w:shd w:val="clear" w:color="auto" w:fill="0E6E8C"/>
          </w:tcPr>
          <w:p>
            <w:r>
              <w:rPr>
                <w:b/>
                <w:color w:val="FFFFFF"/>
              </w:rPr>
              <w:t>Room</w:t>
            </w:r>
          </w:p>
        </w:tc>
      </w:tr>
      <w:tr>
        <w:tc>
          <w:tcPr>
            <w:tcW w:type="dxa" w:w="3120"/>
          </w:tcPr>
          <w:p>
            <w:r>
              <w:t>Opening Keynote</w:t>
            </w:r>
          </w:p>
        </w:tc>
        <w:tc>
          <w:tcPr>
            <w:tcW w:type="dxa" w:w="3120"/>
          </w:tcPr>
          <w:p>
            <w:r>
              <w:t>General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A1</w:t>
            </w:r>
          </w:p>
        </w:tc>
      </w:tr>
      <w:tr>
        <w:tc>
          <w:tcPr>
            <w:tcW w:type="dxa" w:w="3120"/>
            <w:shd w:val="clear" w:color="auto" w:fill="E2EDF1"/>
          </w:tcPr>
          <w:p>
            <w:r>
              <w:t>Classroom Technology</w:t>
            </w:r>
          </w:p>
        </w:tc>
        <w:tc>
          <w:tcPr>
            <w:tcW w:type="dxa" w:w="3120"/>
            <w:shd w:val="clear" w:color="auto" w:fill="E2EDF1"/>
          </w:tcPr>
          <w:p>
            <w:r>
              <w:t>Digital</w:t>
            </w:r>
          </w:p>
        </w:tc>
        <w:tc>
          <w:tcPr>
            <w:tcW w:type="dxa" w:w="3120"/>
            <w:shd w:val="clear" w:color="auto" w:fill="E2EDF1"/>
          </w:tcPr>
          <w:p>
            <w:pPr>
              <w:jc w:val="right"/>
            </w:pPr>
            <w:r>
              <w:t>B2</w:t>
            </w:r>
          </w:p>
        </w:tc>
      </w:tr>
      <w:tr>
        <w:tc>
          <w:tcPr>
            <w:tcW w:type="dxa" w:w="3120"/>
          </w:tcPr>
          <w:p>
            <w:r>
              <w:t>Assessment Design</w:t>
            </w:r>
          </w:p>
        </w:tc>
        <w:tc>
          <w:tcPr>
            <w:tcW w:type="dxa" w:w="3120"/>
          </w:tcPr>
          <w:p>
            <w:r>
              <w:t>Pedagogy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C3</w:t>
            </w:r>
          </w:p>
        </w:tc>
      </w:tr>
      <w:tr>
        <w:tc>
          <w:tcPr>
            <w:tcW w:type="dxa" w:w="3120"/>
            <w:shd w:val="clear" w:color="auto" w:fill="E2EDF1"/>
          </w:tcPr>
          <w:p>
            <w:r>
              <w:t>AI in Schools</w:t>
            </w:r>
          </w:p>
        </w:tc>
        <w:tc>
          <w:tcPr>
            <w:tcW w:type="dxa" w:w="3120"/>
            <w:shd w:val="clear" w:color="auto" w:fill="E2EDF1"/>
          </w:tcPr>
          <w:p>
            <w:r>
              <w:t>Digital</w:t>
            </w:r>
          </w:p>
        </w:tc>
        <w:tc>
          <w:tcPr>
            <w:tcW w:type="dxa" w:w="3120"/>
            <w:shd w:val="clear" w:color="auto" w:fill="E2EDF1"/>
          </w:tcPr>
          <w:p>
            <w:pPr>
              <w:jc w:val="right"/>
            </w:pPr>
            <w:r>
              <w:t>B1</w:t>
            </w:r>
          </w:p>
        </w:tc>
      </w:tr>
      <w:tr>
        <w:tc>
          <w:tcPr>
            <w:tcW w:type="dxa" w:w="3120"/>
          </w:tcPr>
          <w:p>
            <w:r>
              <w:t>Inclusive Teaching</w:t>
            </w:r>
          </w:p>
        </w:tc>
        <w:tc>
          <w:tcPr>
            <w:tcW w:type="dxa" w:w="3120"/>
          </w:tcPr>
          <w:p>
            <w:r>
              <w:t>Pedagogy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C1</w:t>
            </w:r>
          </w:p>
        </w:tc>
      </w:tr>
      <w:tr>
        <w:tc>
          <w:tcPr>
            <w:tcW w:type="dxa" w:w="3120"/>
            <w:shd w:val="clear" w:color="auto" w:fill="E2EDF1"/>
          </w:tcPr>
          <w:p>
            <w:r>
              <w:t>Closing Panel</w:t>
            </w:r>
          </w:p>
        </w:tc>
        <w:tc>
          <w:tcPr>
            <w:tcW w:type="dxa" w:w="3120"/>
            <w:shd w:val="clear" w:color="auto" w:fill="E2EDF1"/>
          </w:tcPr>
          <w:p>
            <w:r>
              <w:t>General</w:t>
            </w:r>
          </w:p>
        </w:tc>
        <w:tc>
          <w:tcPr>
            <w:tcW w:type="dxa" w:w="3120"/>
            <w:shd w:val="clear" w:color="auto" w:fill="E2EDF1"/>
          </w:tcPr>
          <w:p>
            <w:pPr>
              <w:jc w:val="right"/>
            </w:pPr>
            <w:r>
              <w:t>A1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registrations by session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Venue</w:t>
      </w:r>
    </w:p>
    <w:p>
      <w:r xmlns:a="http://schemas.openxmlformats.org/drawingml/2006/main">
        <w:t xml:space="preserve">The conference takes place at the riverside convention center in Can Tho. The venue offers modern meeting rooms, a large exhibition hall, and free wireless internet.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Mekong Travel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Mekong Travel</w:t>
      </w:r>
    </w:p>
    <w:p>
      <w:r xmlns:a="http://schemas.openxmlformats.org/drawingml/2006/main">
        <w:t xml:space="preserve">Mekong Travel provides shuttle buses from the airport and partner hotels every thirty minutes.</w:t>
      </w:r>
    </w:p>
    <w:p>
      <w:pPr>
        <w:pStyle w:val="Heading1"/>
      </w:pPr>
      <w:r xmlns:a="http://schemas.openxmlformats.org/drawingml/2006/main">
        <w:t xml:space="preserve">Schedule</w:t>
      </w:r>
    </w:p>
    <w:p>
      <w:r xmlns:a="http://schemas.openxmlformats.org/drawingml/2006/main">
        <w:t xml:space="preserve">Registration opens at 7:30 each morning. Keynote speeches begin at 8:30, followed by workshops and panel discussions throughout the day.</w:t>
      </w:r>
    </w:p>
    <w:p>
      <w:r xmlns:a="http://schemas.openxmlformats.org/drawingml/2006/main">
        <w:t xml:space="preserve">Evening events include a boat tour on the Mekong River and a cultural performance with traditional music.</w:t>
      </w:r>
    </w:p>
    <w:p>
      <w:pPr>
        <w:pStyle w:val="Heading1"/>
      </w:pPr>
      <w:r xmlns:a="http://schemas.openxmlformats.org/drawingml/2006/main">
        <w:t xml:space="preserve">Registration</w:t>
      </w:r>
    </w:p>
    <w:p>
      <w:r xmlns:a="http://schemas.openxmlformats.org/drawingml/2006/main">
        <w:t xml:space="preserve">Early registration closes on the last day of June. Participants who register early receive a discount and a printed copy of the conference guide.</w:t>
      </w:r>
    </w:p>
    <w:p>
      <w:r xmlns:a="http://schemas.openxmlformats.org/drawingml/2006/main">
        <w:t xml:space="preserve">Groups of five or more teachers from the same school receive an additional group discount.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Travel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Contact Us</w:t>
      </w:r>
    </w:p>
    <w:p>
      <w:r xmlns:a="http://schemas.openxmlformats.org/drawingml/2006/main">
        <w:t xml:space="preserve">For more information, email the Mekong Travel events team or call our office during business hours.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AE9ED"/>
                        </a:solidFill>
                        <a:ln w="12700">
                          <a:solidFill>
                            <a:srgbClr val="DAE9E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E6E8C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E6E8C"/>
                                <w:sz w:val="28"/>
                              </w:rPr>
                              <w:t xml:space="preserve">Did you know? Applying Psychological Theories to Classroom Instruction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We look forward to welcoming you to an inspiring and memorable conference.</w:t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Mekong Travel  |  Education Conference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Registrations by Session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Registrations</c:v>
                </c:pt>
              </c:strCache>
            </c:strRef>
          </c:tx>
          <c:spPr>
            <a:solidFill>
              <a:srgbClr val="0E6E8C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Opening Keynote</c:v>
                </c:pt>
                <c:pt idx="1">
                  <c:v>Classroom Technology</c:v>
                </c:pt>
                <c:pt idx="2">
                  <c:v>Assessment Design</c:v>
                </c:pt>
                <c:pt idx="3">
                  <c:v>AI in Schools</c:v>
                </c:pt>
                <c:pt idx="4">
                  <c:v>Inclusive Teaching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311.0</c:v>
                </c:pt>
                <c:pt idx="1">
                  <c:v>120.0</c:v>
                </c:pt>
                <c:pt idx="2">
                  <c:v>126.0</c:v>
                </c:pt>
                <c:pt idx="3">
                  <c:v>239.0</c:v>
                </c:pt>
                <c:pt idx="4">
                  <c:v>235.0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E49BE6D-55FE-4B63-A73B-7709461616E3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E844EC5-E63D-42AA-A517-A11E5F9E8D8B}">
      <dgm:prSet phldrT="[Text]"/>
      <dgm:spPr/>
      <dgm:t>
        <a:bodyPr/>
        <a:lstStyle/>
        <a:p>
          <a:r>
            <a:rPr lang="en-US" dirty="0"/>
            <a:t>Applying Psychological Theories to Classroom Instruction</a:t>
          </a:r>
        </a:p>
      </dgm:t>
    </dgm:pt>
    <dgm:pt modelId="{D8240847-30FC-4107-9477-76AFBBEB7471}" type="parTrans" cxnId="{B8AB213C-1E74-43C3-A302-4CDD93456798}">
      <dgm:prSet/>
      <dgm:spPr/>
      <dgm:t>
        <a:bodyPr/>
        <a:lstStyle/>
        <a:p>
          <a:endParaRPr lang="en-US"/>
        </a:p>
      </dgm:t>
    </dgm:pt>
    <dgm:pt modelId="{4952BC68-9A05-44A7-865D-97DF2A8EE336}" type="sibTrans" cxnId="{B8AB213C-1E74-43C3-A302-4CDD93456798}">
      <dgm:prSet/>
      <dgm:spPr/>
      <dgm:t>
        <a:bodyPr/>
        <a:lstStyle/>
        <a:p>
          <a:endParaRPr lang="en-US"/>
        </a:p>
      </dgm:t>
    </dgm:pt>
    <dgm:pt modelId="{A46B0585-78B9-4971-A789-1B945B6D7CD7}">
      <dgm:prSet phldrT="[Text]"/>
      <dgm:spPr/>
      <dgm:t>
        <a:bodyPr/>
        <a:lstStyle/>
        <a:p>
          <a:r>
            <a:rPr lang="en-US" dirty="0"/>
            <a:t>Designing Project-Based Learning Activities</a:t>
          </a:r>
        </a:p>
      </dgm:t>
    </dgm:pt>
    <dgm:pt modelId="{B2B48885-747B-4C87-B648-5119831B4657}" type="parTrans" cxnId="{04F9059E-C7F8-4F0E-B064-972C00D0AFD1}">
      <dgm:prSet/>
      <dgm:spPr/>
      <dgm:t>
        <a:bodyPr/>
        <a:lstStyle/>
        <a:p>
          <a:endParaRPr lang="en-US"/>
        </a:p>
      </dgm:t>
    </dgm:pt>
    <dgm:pt modelId="{9CC3F6C2-DF1C-445B-A218-0684F4B59B89}" type="sibTrans" cxnId="{04F9059E-C7F8-4F0E-B064-972C00D0AFD1}">
      <dgm:prSet/>
      <dgm:spPr/>
      <dgm:t>
        <a:bodyPr/>
        <a:lstStyle/>
        <a:p>
          <a:endParaRPr lang="en-US"/>
        </a:p>
      </dgm:t>
    </dgm:pt>
    <dgm:pt modelId="{86F6B346-C122-4B0D-A979-A09C4D43B7EA}">
      <dgm:prSet phldrT="[Text]"/>
      <dgm:spPr/>
      <dgm:t>
        <a:bodyPr/>
        <a:lstStyle/>
        <a:p>
          <a:r>
            <a:rPr lang="en-US" dirty="0"/>
            <a:t>Using Technology to Support Reading</a:t>
          </a:r>
        </a:p>
      </dgm:t>
    </dgm:pt>
    <dgm:pt modelId="{4951960D-BC4F-4A74-9EC9-5E84BA35AABB}" type="parTrans" cxnId="{55B2E612-6562-4AB9-AE19-FDEA73770777}">
      <dgm:prSet/>
      <dgm:spPr/>
      <dgm:t>
        <a:bodyPr/>
        <a:lstStyle/>
        <a:p>
          <a:endParaRPr lang="en-US"/>
        </a:p>
      </dgm:t>
    </dgm:pt>
    <dgm:pt modelId="{74ED5647-9A32-4EAE-9642-6BE20270E48B}" type="sibTrans" cxnId="{55B2E612-6562-4AB9-AE19-FDEA73770777}">
      <dgm:prSet/>
      <dgm:spPr/>
      <dgm:t>
        <a:bodyPr/>
        <a:lstStyle/>
        <a:p>
          <a:endParaRPr lang="en-US"/>
        </a:p>
      </dgm:t>
    </dgm:pt>
    <dgm:pt modelId="{85F179D4-CB70-422B-9988-5DE578DA244E}">
      <dgm:prSet phldrT="[Text]"/>
      <dgm:spPr/>
      <dgm:t>
        <a:bodyPr/>
        <a:lstStyle/>
        <a:p>
          <a:r>
            <a:rPr lang="en-US" dirty="0"/>
            <a:t>Building Positive Classroom Communities</a:t>
          </a:r>
        </a:p>
      </dgm:t>
    </dgm:pt>
    <dgm:pt modelId="{28413266-E245-4243-98A4-54646D274F4D}" type="parTrans" cxnId="{BD3FEEE5-D00D-493D-B535-A7B12B5DFB70}">
      <dgm:prSet/>
      <dgm:spPr/>
      <dgm:t>
        <a:bodyPr/>
        <a:lstStyle/>
        <a:p>
          <a:endParaRPr lang="en-US"/>
        </a:p>
      </dgm:t>
    </dgm:pt>
    <dgm:pt modelId="{D4C1DC99-D156-4694-A923-CF76D05251B2}" type="sibTrans" cxnId="{BD3FEEE5-D00D-493D-B535-A7B12B5DFB70}">
      <dgm:prSet/>
      <dgm:spPr/>
      <dgm:t>
        <a:bodyPr/>
        <a:lstStyle/>
        <a:p>
          <a:endParaRPr lang="en-US"/>
        </a:p>
      </dgm:t>
    </dgm:pt>
  </dgm:ptLst>
  <dgm:cxnLst>
    <dgm:cxn modelId="{B8AB213C-1E74-43C3-A302-4CDD93456798}" srcId="{9E49BE6D-55FE-4B63-A73B-7709461616E3}" destId="{BE844EC5-E63D-42AA-A517-A11E5F9E8D8B}" srcOrd="0" destOrd="0" parTransId="{D8240847-30FC-4107-9477-76AFBBEB7471}" sibTransId="{4952BC68-9A05-44A7-865D-97DF2A8EE336}"/>
    <dgm:cxn modelId="{04F9059E-C7F8-4F0E-B064-972C00D0AFD1}" srcId="{9E49BE6D-55FE-4B63-A73B-7709461616E3}" destId="{A46B0585-78B9-4971-A789-1B945B6D7CD7}" srcOrd="1" destOrd="0" parTransId="{B2B48885-747B-4C87-B648-5119831B4657}" sibTransId="{9CC3F6C2-DF1C-445B-A218-0684F4B59B89}"/>
    <dgm:cxn modelId="{55B2E612-6562-4AB9-AE19-FDEA73770777}" srcId="{9E49BE6D-55FE-4B63-A73B-7709461616E3}" destId="{86F6B346-C122-4B0D-A979-A09C4D43B7EA}" srcOrd="2" destOrd="0" parTransId="{4951960D-BC4F-4A74-9EC9-5E84BA35AABB}" sibTransId="{74ED5647-9A32-4EAE-9642-6BE20270E48B}"/>
    <dgm:cxn modelId="{BD3FEEE5-D00D-493D-B535-A7B12B5DFB70}" srcId="{9E49BE6D-55FE-4B63-A73B-7709461616E3}" destId="{85F179D4-CB70-422B-9988-5DE578DA244E}" srcOrd="3" destOrd="0" parTransId="{28413266-E245-4243-98A4-54646D274F4D}" sibTransId="{D4C1DC99-D156-4694-A923-CF76D05251B2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E844EC5-E63D-42AA-A517-A11E5F9E8D8B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Applying Psychological Theories to Classroom Instruction</a:t>
          </a:r>
        </a:p>
      </dsp:txBody>
      <dsp:txXfrm>
        <a:off x="2322576" y="-21945"/>
        <a:ext cx="658368" cy="658368"/>
      </dsp:txXfrm>
    </dsp:sp>
    <dsp:sp modelId="{A46B0585-78B9-4971-A789-1B945B6D7CD7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Designing Project-Based Learning Activities</a:t>
          </a:r>
        </a:p>
      </dsp:txBody>
      <dsp:txXfrm>
        <a:off x="3112617" y="768096"/>
        <a:ext cx="658368" cy="658368"/>
      </dsp:txXfrm>
    </dsp:sp>
    <dsp:sp modelId="{86F6B346-C122-4B0D-A979-A09C4D43B7EA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Using Technology to Support Reading</a:t>
          </a:r>
        </a:p>
      </dsp:txBody>
      <dsp:txXfrm>
        <a:off x="2322576" y="1558137"/>
        <a:ext cx="658368" cy="658368"/>
      </dsp:txXfrm>
    </dsp:sp>
    <dsp:sp modelId="{85F179D4-CB70-422B-9988-5DE578DA244E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Building Positive Classroom Communities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Conference 2026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