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Borders>
          <w:top w:val="nil"/>
          <w:left w:val="nil"/>
          <w:bottom w:val="nil"/>
          <w:right w:val="nil"/>
          <w:insideH w:val="nil"/>
          <w:insideV w:val="nil"/>
        </w:tblBorders>
        <w:tblLook w:firstColumn="1" w:firstRow="1" w:lastColumn="0" w:lastRow="0" w:noHBand="0" w:noVBand="1" w:val="04A0"/>
      </w:tblPr>
      <w:tblGrid>
        <w:gridCol w:w="9360"/>
      </w:tblGrid>
      <w:tr>
        <w:trPr>
          <w:tblHeader/>
        </w:trPr>
        <w:tc>
          <w:tcPr>
            <w:tcW w:type="dxa" w:w="9360"/>
            <w:shd w:val="clear" w:color="auto" w:fill="BF8F00"/>
            <w:tcMar>
              <w:top w:w="200" w:type="dxa"/>
              <w:left w:w="240" w:type="dxa"/>
              <w:bottom w:w="200" w:type="dxa"/>
              <w:right w:w="240" w:type="dxa"/>
            </w:tcMar>
          </w:tcPr>
          <w:p>
            <w:r>
              <w:rPr>
                <w:b/>
                <w:color w:val="E5D299"/>
                <w:sz w:val="18"/>
              </w:rPr>
              <w:t>ANNUAL REPORT 2026</w:t>
            </w:r>
          </w:p>
          <w:p>
            <w:pPr>
              <w:pStyle w:val="Title"/>
              <w:pBdr>
                <w:bottom w:val="nil"/>
              </w:pBdr>
            </w:pPr>
            <w:r>
              <w:rPr>
                <w:b/>
                <w:color w:val="FFFFFF"/>
              </w:rPr>
              <w:t>Prep Year Support Material</w:t>
            </w:r>
          </w:p>
          <w:p>
            <w:r>
              <w:rPr>
                <w:i/>
                <w:color w:val="EFE3BF"/>
                <w:sz w:val="24"/>
              </w:rPr>
              <w:t>Sunrise Primary School – Hanoi</w:t>
            </w:r>
          </w:p>
        </w:tc>
      </w:tr>
    </w:tbl>
    <w:p/>
    <w:tbl>
      <w:tblPr>
        <w:tblW w:type="auto" w:w="0"/>
        <w:tblBorders>
          <w:top w:val="single" w:sz="4" w:space="0" w:color="DFC77F"/>
          <w:left w:val="single" w:sz="4" w:space="0" w:color="DFC77F"/>
          <w:bottom w:val="single" w:sz="4" w:space="0" w:color="DFC77F"/>
          <w:right w:val="single" w:sz="4" w:space="0" w:color="DFC77F"/>
          <w:insideH w:val="single" w:sz="4" w:space="0" w:color="DFC77F"/>
          <w:insideV w:val="single" w:sz="4" w:space="0" w:color="DFC77F"/>
        </w:tblBorders>
        <w:tblLook w:firstColumn="1" w:firstRow="1" w:lastColumn="0" w:lastRow="0" w:noHBand="0" w:noVBand="1" w:val="04A0"/>
      </w:tblPr>
      <w:tblGrid>
        <w:gridCol w:w="2592"/>
        <w:gridCol w:w="6768"/>
      </w:tblGrid>
      <w:tr>
        <w:trPr>
          <w:tblHeader/>
        </w:trPr>
        <w:tc>
          <w:tcPr>
            <w:tcW w:type="dxa" w:w="2592"/>
            <w:shd w:val="clear" w:color="auto" w:fill="F5EED8"/>
          </w:tcPr>
          <w:p>
            <w:r>
              <w:rPr>
                <w:b/>
                <w:color w:val="BF8F00"/>
              </w:rPr>
              <w:t>Organization</w:t>
            </w:r>
          </w:p>
        </w:tc>
        <w:tc>
          <w:tcPr>
            <w:tcW w:type="dxa" w:w="6768"/>
          </w:tcPr>
          <w:p>
            <w:r>
              <w:t>Sunrise Primary School</w:t>
            </w:r>
          </w:p>
        </w:tc>
      </w:tr>
      <w:tr>
        <w:tc>
          <w:tcPr>
            <w:tcW w:type="dxa" w:w="2592"/>
            <w:shd w:val="clear" w:color="auto" w:fill="F5EED8"/>
          </w:tcPr>
          <w:p>
            <w:r>
              <w:rPr>
                <w:b/>
                <w:color w:val="BF8F00"/>
              </w:rPr>
              <w:t>Prepared by</w:t>
            </w:r>
          </w:p>
        </w:tc>
        <w:tc>
          <w:tcPr>
            <w:tcW w:type="dxa" w:w="6768"/>
          </w:tcPr>
          <w:p>
            <w:r>
              <w:t>Nguyen Van An</w:t>
            </w:r>
          </w:p>
        </w:tc>
      </w:tr>
      <w:tr>
        <w:tc>
          <w:tcPr>
            <w:tcW w:type="dxa" w:w="2592"/>
            <w:shd w:val="clear" w:color="auto" w:fill="F5EED8"/>
          </w:tcPr>
          <w:p>
            <w:r>
              <w:rPr>
                <w:b/>
                <w:color w:val="BF8F00"/>
              </w:rPr>
              <w:t>Date</w:t>
            </w:r>
          </w:p>
        </w:tc>
        <w:tc>
          <w:tcPr>
            <w:tcW w:type="dxa" w:w="6768"/>
          </w:tcPr>
          <w:p>
            <w:r>
              <w:t>September 2026</w:t>
            </w:r>
          </w:p>
        </w:tc>
      </w:tr>
      <w:tr>
        <w:tc>
          <w:tcPr>
            <w:tcW w:type="dxa" w:w="2592"/>
            <w:shd w:val="clear" w:color="auto" w:fill="F5EED8"/>
          </w:tcPr>
          <w:p>
            <w:r>
              <w:rPr>
                <w:b/>
                <w:color w:val="BF8F00"/>
              </w:rPr>
              <w:t>Status</w:t>
            </w:r>
          </w:p>
        </w:tc>
        <w:tc>
          <w:tcPr>
            <w:tcW w:type="dxa" w:w="6768"/>
          </w:tcPr>
          <w:p>
            <w:r>
              <w:t>Final draft</w:t>
            </w:r>
          </w:p>
        </w:tc>
      </w:tr>
    </w:tbl>
    <w:p/>
    <w:p>
      <w:pPr>
        <w:pStyle w:val="Heading1"/>
      </w:pPr>
      <w:r xmlns:a="http://schemas.openxmlformats.org/drawingml/2006/main">
        <w:t xml:space="preserve">This Support Material</w:t>
      </w:r>
    </w:p>
    <w:p>
      <w:r xmlns:a="http://schemas.openxmlformats.org/drawingml/2006/main">
        <w:t xml:space="preserve">This document helps teachers plan a positive start to school for children in the Prep Year at Sunrise Primary School.</w:t>
      </w:r>
    </w:p>
    <w:p>
      <w:r xmlns:a="http://schemas.openxmlformats.org/drawingml/2006/main">
        <w:t xml:space="preserve">It includes questions that teachers can use when reflecting on their classroom routines. Ms. Linh Tran leads this work, and Miss Linh Tran will present the results.</w:t>
      </w:r>
    </w:p>
    <w:p>
      <w:pPr>
        <w:pStyle w:val="Heading1"/>
      </w:pPr>
      <w:r xmlns:a="http://schemas.openxmlformats.org/drawingml/2006/main">
        <w:t xml:space="preserve">A Typical Day</w:t>
      </w:r>
    </w:p>
    <w:p>
      <w:r xmlns:a="http://schemas.openxmlformats.org/drawingml/2006/main">
        <w:t xml:space="preserve">Children begin the day with a morning circle, followed by reading, play-based learning, and outdoor activities.</w:t>
      </w:r>
    </w:p>
    <w:p>
      <w:pPr>
        <w:jc w:val="center"/>
      </w:pPr>
      <w:r>
        <w:drawing>
          <wp:inline xmlns:a="http://schemas.openxmlformats.org/drawingml/2006/main" xmlns:pic="http://schemas.openxmlformats.org/drawingml/2006/picture">
            <wp:extent cx="2377440" cy="1532128"/>
            <wp:docPr id="1" name="Picture 1" descr="Sunrise Primary School photo"/>
            <wp:cNvGraphicFramePr>
              <a:graphicFrameLocks noChangeAspect="1"/>
            </wp:cNvGraphicFramePr>
            <a:graphic>
              <a:graphicData uri="http://schemas.openxmlformats.org/drawingml/2006/picture">
                <pic:pic>
                  <pic:nvPicPr>
                    <pic:cNvPr id="0" name="School_0.png"/>
                    <pic:cNvPicPr/>
                  </pic:nvPicPr>
                  <pic:blipFill>
                    <a:blip r:embed="rId9"/>
                    <a:stretch>
                      <a:fillRect/>
                    </a:stretch>
                  </pic:blipFill>
                  <pic:spPr>
                    <a:xfrm>
                      <a:off x="0" y="0"/>
                      <a:ext cx="2377440" cy="1532128"/>
                    </a:xfrm>
                    <a:prstGeom prst="rect"/>
                  </pic:spPr>
                </pic:pic>
              </a:graphicData>
            </a:graphic>
          </wp:inline>
        </w:drawing>
      </w:r>
    </w:p>
    <w:p>
      <w:pPr>
        <w:jc w:val="center"/>
      </w:pPr>
      <w:r>
        <w:rPr>
          <w:i/>
          <w:color w:val="595959"/>
          <w:sz w:val="18"/>
        </w:rPr>
        <w:t>Above: Sunrise Primary School</w:t>
      </w:r>
    </w:p>
    <w:p>
      <w:r xmlns:a="http://schemas.openxmlformats.org/drawingml/2006/main">
        <w:t xml:space="preserve">Short breaks between activities help young learners stay focused and happy.</w:t>
      </w:r>
    </w:p>
    <w:p>
      <w:r xmlns:a="http://schemas.openxmlformats.org/drawingml/2006/main">
        <mc:AlternateContent>
          <mc:Choice Requires="wps">
            <w:drawing>
              <wp:anchor distT="45720" distB="45720" distL="114300" distR="114300" simplePos="0" relativeHeight="251659365" behindDoc="0" locked="0" layoutInCell="1" allowOverlap="1">
                <wp:simplePos x="0" y="0"/>
                <wp:positionH relativeFrom="margin">
                  <wp:align>right</wp:align>
                </wp:positionH>
                <wp:positionV relativeFrom="paragraph">
                  <wp:posOffset>0</wp:posOffset>
                </wp:positionV>
                <wp:extent cx="2377440" cy="1005840"/>
                <wp:effectExtent l="0" t="0" r="0" b="0"/>
                <wp:wrapSquare wrapText="bothSides"/>
                <wp:docPr id="101" name="Text Box 101"/>
                <wp:cNvGraphicFramePr/>
                <a:graphic>
                  <a:graphicData uri="http://schemas.microsoft.com/office/word/2010/wordprocessingShape">
                    <wps:wsp>
                      <wps:cNvSpPr txBox="1"/>
                      <wps:spPr>
                        <a:xfrm>
                          <a:off x="0" y="0"/>
                          <a:ext cx="2377440" cy="1005840"/>
                        </a:xfrm>
                        <a:prstGeom prst="rect">
                          <a:avLst/>
                        </a:prstGeom>
                        <a:solidFill>
                          <a:srgbClr val="DEEBF7"/>
                        </a:solidFill>
                        <a:ln w="12700">
                          <a:solidFill>
                            <a:srgbClr val="DEEBF7"/>
                          </a:solidFill>
                        </a:ln>
                      </wps:spPr>
                      <wps:txbx>
                        <w:txbxContent>
                          <w:p>
                            <w:pPr>
                              <w:jc w:val="center"/>
                              <w:rPr>
                                <w:b/>
                                <w:color w:val="1F3864"/>
                                <w:sz w:val="28"/>
                              </w:rPr>
                            </w:pPr>
                            <w:r>
                              <w:rPr>
                                <w:b/>
                                <w:color w:val="1F3864"/>
                                <w:sz w:val="28"/>
                              </w:rPr>
                              <w:t xml:space="preserve">This document helps teachers plan a positive start to school for children in the Prep Year at Sunrise Primary School. It includes questions that teachers can use when reflecting on their classroom routines. Children begin the day with a morning circle, followed by reading, play-based learning, and outdoor activities. Short breaks between activities help young learners stay focused and happy.</w:t>
                            </w:r>
                          </w:p>
                        </w:txbxContent>
                      </wps:txbx>
                      <wps:bodyPr rot="0" vert="horz" wrap="square" lIns="91440" tIns="45720" rIns="91440" bIns="45720" anchor="ctr" anchorCtr="0">
                        <a:noAutofit/>
                      </wps:bodyPr>
                    </wps:wsp>
                  </a:graphicData>
                </a:graphic>
              </wp:anchor>
            </w:drawing>
          </mc:Choice>
        </mc:AlternateContent>
      </w:r>
    </w:p>
    <w:p>
      <w:pPr>
        <w:pStyle w:val="Heading1"/>
      </w:pPr>
      <w:r xmlns:a="http://schemas.openxmlformats.org/drawingml/2006/main">
        <w:t xml:space="preserve">The Examples Highlight</w:t>
      </w:r>
    </w:p>
    <w:p>
      <w:r xmlns:a="http://schemas.openxmlformats.org/drawingml/2006/main">
        <w:t xml:space="preserve">The examples in this section highlight how teachers can connect learning to everyday life. Contact Ms. Linh Tran for details.</w:t>
      </w:r>
    </w:p>
    <w:p>
      <w:r xmlns:a="http://schemas.openxmlformats.org/drawingml/2006/main">
        <w:t xml:space="preserve">Children learn best when activities are practical, playful, and linked to their interests.</w:t>
      </w:r>
    </w:p>
    <w:p>
      <w:pPr>
        <w:jc w:val="center"/>
      </w:pPr>
      <w:r xmlns:a="http://schemas.openxmlformats.org/drawingml/2006/main" xmlns:c="http://schemas.openxmlformats.org/drawingml/2006/chart" xmlns:dgm="http://schemas.openxmlformats.org/drawingml/2006/diagram">
        <w:drawing>
          <wp:inline distT="0" distB="0" distL="0" distR="0">
            <wp:extent cx="5303520" cy="2194560"/>
            <wp:effectExtent l="0" t="0" r="0" b="0"/>
            <wp:docPr id="5001" name="Diagram 1" descr="School process diagram"/>
            <wp:cNvGraphicFramePr/>
            <a:graphic>
              <a:graphicData uri="http://schemas.openxmlformats.org/drawingml/2006/diagram">
                <dgm:relIds r:dm="rId11" r:lo="rId12" r:qs="rId13" r:cs="rId14"/>
              </a:graphicData>
            </a:graphic>
          </wp:inline>
        </w:drawing>
      </w:r>
    </w:p>
    <w:p/>
    <w:p>
      <w:pPr>
        <w:pStyle w:val="Heading1"/>
      </w:pPr>
      <w:r xmlns:a="http://schemas.openxmlformats.org/drawingml/2006/main">
        <w:t xml:space="preserve">Working with Families</w:t>
      </w:r>
    </w:p>
    <w:p>
      <w:r xmlns:a="http://schemas.openxmlformats.org/drawingml/2006/main">
        <w:t xml:space="preserve">Sunrise Primary School invites families to share their knowledge, culture, and language with the class.</w:t>
      </w:r>
    </w:p>
    <w:p>
      <w:r xmlns:a="http://schemas.openxmlformats.org/drawingml/2006/main">
        <w:t xml:space="preserve">Regular communication helps parents support learning at home.</w:t>
      </w:r>
    </w:p>
    <w:p>
      <w:r xmlns:a="http://schemas.openxmlformats.org/drawingml/2006/main">
        <mc:AlternateContent>
          <mc:Choice Requires="wps">
            <w:drawing>
              <wp:anchor distT="45720" distB="45720" distL="114300" distR="114300" simplePos="0" relativeHeight="251659366" behindDoc="0" locked="0" layoutInCell="1" allowOverlap="1">
                <wp:simplePos x="0" y="0"/>
                <wp:positionH relativeFrom="margin">
                  <wp:align>right</wp:align>
                </wp:positionH>
                <wp:positionV relativeFrom="paragraph">
                  <wp:posOffset>0</wp:posOffset>
                </wp:positionV>
                <wp:extent cx="2377440" cy="1005840"/>
                <wp:effectExtent l="0" t="0" r="0" b="0"/>
                <wp:wrapSquare wrapText="bothSides"/>
                <wp:docPr id="102" name="Text Box 102"/>
                <wp:cNvGraphicFramePr/>
                <a:graphic>
                  <a:graphicData uri="http://schemas.microsoft.com/office/word/2010/wordprocessingShape">
                    <wps:wsp>
                      <wps:cNvSpPr txBox="1"/>
                      <wps:spPr>
                        <a:xfrm>
                          <a:off x="0" y="0"/>
                          <a:ext cx="2377440" cy="1005840"/>
                        </a:xfrm>
                        <a:prstGeom prst="rect">
                          <a:avLst/>
                        </a:prstGeom>
                        <a:solidFill>
                          <a:srgbClr val="DEEBF7"/>
                        </a:solidFill>
                        <a:ln w="12700">
                          <a:solidFill>
                            <a:srgbClr val="DEEBF7"/>
                          </a:solidFill>
                        </a:ln>
                      </wps:spPr>
                      <wps:txbx>
                        <w:txbxContent>
                          <w:p>
                            <w:pPr>
                              <w:jc w:val="center"/>
                              <w:rPr>
                                <w:b/>
                                <w:color w:val="1F3864"/>
                                <w:sz w:val="28"/>
                              </w:rPr>
                            </w:pPr>
                          </w:p>
                        </w:txbxContent>
                      </wps:txbx>
                      <wps:bodyPr rot="0" vert="horz" wrap="square" lIns="91440" tIns="45720" rIns="91440" bIns="45720" anchor="ctr" anchorCtr="0">
                        <a:noAutofit/>
                      </wps:bodyPr>
                    </wps:wsp>
                  </a:graphicData>
                </a:graphic>
              </wp:anchor>
            </w:drawing>
          </mc:Choice>
        </mc:AlternateContent>
      </w:r>
    </w:p>
    <w:p>
      <w:pPr>
        <w:pStyle w:val="Heading1"/>
      </w:pPr>
      <w:r xmlns:a="http://schemas.openxmlformats.org/drawingml/2006/main">
        <w:t xml:space="preserve">Assessment</w:t>
      </w:r>
    </w:p>
    <w:p>
      <w:r xmlns:a="http://schemas.openxmlformats.org/drawingml/2006/main">
        <w:t xml:space="preserve">Teachers observe children during play and record progress in simple learning journals.</w:t>
      </w:r>
    </w:p>
    <w:p>
      <w:r xmlns:a="http://schemas.openxmlformats.org/drawingml/2006/main">
        <mc:AlternateContent>
          <mc:Choice Requires="wps">
            <w:drawing>
              <wp:anchor distT="45720" distB="45720" distL="114300" distR="114300" simplePos="0" relativeHeight="251659367" behindDoc="0" locked="0" layoutInCell="1" allowOverlap="1">
                <wp:simplePos x="0" y="0"/>
                <wp:positionH relativeFrom="margin">
                  <wp:align>right</wp:align>
                </wp:positionH>
                <wp:positionV relativeFrom="paragraph">
                  <wp:posOffset>0</wp:posOffset>
                </wp:positionV>
                <wp:extent cx="2194560" cy="1097280"/>
                <wp:effectExtent l="0" t="0" r="0" b="0"/>
                <wp:wrapSquare wrapText="bothSides"/>
                <wp:docPr id="103" name="Text Box 103"/>
                <wp:cNvGraphicFramePr/>
                <a:graphic>
                  <a:graphicData uri="http://schemas.microsoft.com/office/word/2010/wordprocessingShape">
                    <wps:wsp>
                      <wps:cNvSpPr txBox="1"/>
                      <wps:spPr>
                        <a:xfrm>
                          <a:off x="0" y="0"/>
                          <a:ext cx="2194560" cy="1097280"/>
                        </a:xfrm>
                        <a:prstGeom prst="rect">
                          <a:avLst/>
                        </a:prstGeom>
                        <a:solidFill>
                          <a:srgbClr val="F5EED8"/>
                        </a:solidFill>
                        <a:ln w="12700">
                          <a:solidFill>
                            <a:srgbClr val="F5EED8"/>
                          </a:solidFill>
                        </a:ln>
                      </wps:spPr>
                      <wps:txbx>
                        <w:txbxContent>
                          <w:p>
                            <w:pPr>
                              <w:jc w:val="center"/>
                              <w:rPr>
                                <w:b/>
                                <w:color w:val="BF8F00"/>
                                <w:sz w:val="28"/>
                              </w:rPr>
                            </w:pPr>
                            <w:r>
                              <w:rPr>
                                <w:b/>
                                <w:color w:val="BF8F00"/>
                                <w:sz w:val="28"/>
                              </w:rPr>
                              <w:t xml:space="preserve">Tip: How does a typical day of a Prep Year child look? is one of our key topics this year.</w:t>
                            </w:r>
                          </w:p>
                        </w:txbxContent>
                      </wps:txbx>
                      <wps:bodyPr rot="0" vert="horz" wrap="square" lIns="91440" tIns="45720" rIns="91440" bIns="45720" anchor="ctr" anchorCtr="0">
                        <a:noAutofit/>
                      </wps:bodyPr>
                    </wps:wsp>
                  </a:graphicData>
                </a:graphic>
              </wp:anchor>
            </w:drawing>
          </mc:Choice>
        </mc:AlternateContent>
      </w:r>
    </w:p>
    <w:p>
      <w:r xmlns:a="http://schemas.openxmlformats.org/drawingml/2006/main">
        <w:t xml:space="preserve">Assessment focuses on growth rather than comparison between children.</w:t>
      </w:r>
    </w:p>
    <w:p>
      <w:pPr>
        <w:pStyle w:val="Heading1"/>
      </w:pPr>
      <w:r xmlns:a="http://schemas.openxmlformats.org/drawingml/2006/main">
        <w:t xml:space="preserve">Professional Learning</w:t>
      </w:r>
    </w:p>
    <w:p>
      <w:r xmlns:a="http://schemas.openxmlformats.org/drawingml/2006/main">
        <w:t xml:space="preserve">Teachers meet every two weeks to share ideas and review student work together.</w:t>
      </w:r>
    </w:p>
    <w:p>
      <w:r xmlns:a="http://schemas.openxmlformats.org/drawingml/2006/main">
        <w:t xml:space="preserve">Sunrise Primary School also offers online courses for new teachers.</w:t>
      </w:r>
    </w:p>
    <w:tbl>
      <w:tblPr>
        <w:tblStyle w:val="TableGrid"/>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120"/>
        <w:gridCol w:w="3120"/>
        <w:gridCol w:w="3120"/>
      </w:tblGrid>
      <w:tr>
        <w:trPr>
          <w:tblHeader/>
        </w:trPr>
        <w:tc>
          <w:tcPr>
            <w:tcW w:type="dxa" w:w="3120"/>
            <w:shd w:val="clear" w:color="auto" w:fill="BF8F00"/>
          </w:tcPr>
          <w:p>
            <w:r>
              <w:rPr>
                <w:b/>
                <w:color w:val="FFFFFF"/>
              </w:rPr>
              <w:t>Activity</w:t>
            </w:r>
          </w:p>
        </w:tc>
        <w:tc>
          <w:tcPr>
            <w:tcW w:type="dxa" w:w="3120"/>
            <w:shd w:val="clear" w:color="auto" w:fill="BF8F00"/>
          </w:tcPr>
          <w:p>
            <w:r>
              <w:rPr>
                <w:b/>
                <w:color w:val="FFFFFF"/>
              </w:rPr>
              <w:t>Area</w:t>
            </w:r>
          </w:p>
        </w:tc>
        <w:tc>
          <w:tcPr>
            <w:tcW w:type="dxa" w:w="3120"/>
            <w:shd w:val="clear" w:color="auto" w:fill="BF8F00"/>
          </w:tcPr>
          <w:p>
            <w:r>
              <w:rPr>
                <w:b/>
                <w:color w:val="FFFFFF"/>
              </w:rPr>
              <w:t>Minutes</w:t>
            </w:r>
          </w:p>
        </w:tc>
      </w:tr>
      <w:tr>
        <w:tc>
          <w:tcPr>
            <w:tcW w:type="dxa" w:w="3120"/>
          </w:tcPr>
          <w:p>
            <w:r>
              <w:t>Morning circle</w:t>
            </w:r>
          </w:p>
        </w:tc>
        <w:tc>
          <w:tcPr>
            <w:tcW w:type="dxa" w:w="3120"/>
          </w:tcPr>
          <w:p>
            <w:r>
              <w:t>Social</w:t>
            </w:r>
          </w:p>
        </w:tc>
        <w:tc>
          <w:tcPr>
            <w:tcW w:type="dxa" w:w="3120"/>
          </w:tcPr>
          <w:p>
            <w:pPr>
              <w:jc w:val="right"/>
            </w:pPr>
            <w:r>
              <w:t>15</w:t>
            </w:r>
          </w:p>
        </w:tc>
      </w:tr>
      <w:tr>
        <w:tc>
          <w:tcPr>
            <w:tcW w:type="dxa" w:w="3120"/>
            <w:shd w:val="clear" w:color="auto" w:fill="F7F1E0"/>
          </w:tcPr>
          <w:p>
            <w:r>
              <w:t>Reading</w:t>
            </w:r>
          </w:p>
        </w:tc>
        <w:tc>
          <w:tcPr>
            <w:tcW w:type="dxa" w:w="3120"/>
            <w:shd w:val="clear" w:color="auto" w:fill="F7F1E0"/>
          </w:tcPr>
          <w:p>
            <w:r>
              <w:t>Literacy</w:t>
            </w:r>
          </w:p>
        </w:tc>
        <w:tc>
          <w:tcPr>
            <w:tcW w:type="dxa" w:w="3120"/>
            <w:shd w:val="clear" w:color="auto" w:fill="F7F1E0"/>
          </w:tcPr>
          <w:p>
            <w:pPr>
              <w:jc w:val="right"/>
            </w:pPr>
            <w:r>
              <w:t>30</w:t>
            </w:r>
          </w:p>
        </w:tc>
      </w:tr>
      <w:tr>
        <w:tc>
          <w:tcPr>
            <w:tcW w:type="dxa" w:w="3120"/>
          </w:tcPr>
          <w:p>
            <w:r>
              <w:t>Counting games</w:t>
            </w:r>
          </w:p>
        </w:tc>
        <w:tc>
          <w:tcPr>
            <w:tcW w:type="dxa" w:w="3120"/>
          </w:tcPr>
          <w:p>
            <w:r>
              <w:t>Numeracy</w:t>
            </w:r>
          </w:p>
        </w:tc>
        <w:tc>
          <w:tcPr>
            <w:tcW w:type="dxa" w:w="3120"/>
          </w:tcPr>
          <w:p>
            <w:pPr>
              <w:jc w:val="right"/>
            </w:pPr>
            <w:r>
              <w:t>25</w:t>
            </w:r>
          </w:p>
        </w:tc>
      </w:tr>
      <w:tr>
        <w:tc>
          <w:tcPr>
            <w:tcW w:type="dxa" w:w="3120"/>
            <w:shd w:val="clear" w:color="auto" w:fill="F7F1E0"/>
          </w:tcPr>
          <w:p>
            <w:r>
              <w:t>Outdoor play</w:t>
            </w:r>
          </w:p>
        </w:tc>
        <w:tc>
          <w:tcPr>
            <w:tcW w:type="dxa" w:w="3120"/>
            <w:shd w:val="clear" w:color="auto" w:fill="F7F1E0"/>
          </w:tcPr>
          <w:p>
            <w:r>
              <w:t>Physical</w:t>
            </w:r>
          </w:p>
        </w:tc>
        <w:tc>
          <w:tcPr>
            <w:tcW w:type="dxa" w:w="3120"/>
            <w:shd w:val="clear" w:color="auto" w:fill="F7F1E0"/>
          </w:tcPr>
          <w:p>
            <w:pPr>
              <w:jc w:val="right"/>
            </w:pPr>
            <w:r>
              <w:t>40</w:t>
            </w:r>
          </w:p>
        </w:tc>
      </w:tr>
      <w:tr>
        <w:tc>
          <w:tcPr>
            <w:tcW w:type="dxa" w:w="3120"/>
          </w:tcPr>
          <w:p>
            <w:r>
              <w:t>Story writing</w:t>
            </w:r>
          </w:p>
        </w:tc>
        <w:tc>
          <w:tcPr>
            <w:tcW w:type="dxa" w:w="3120"/>
          </w:tcPr>
          <w:p>
            <w:r>
              <w:t>Literacy</w:t>
            </w:r>
          </w:p>
        </w:tc>
        <w:tc>
          <w:tcPr>
            <w:tcW w:type="dxa" w:w="3120"/>
          </w:tcPr>
          <w:p>
            <w:pPr>
              <w:jc w:val="right"/>
            </w:pPr>
            <w:r>
              <w:t>20</w:t>
            </w:r>
          </w:p>
        </w:tc>
      </w:tr>
      <w:tr>
        <w:tc>
          <w:tcPr>
            <w:tcW w:type="dxa" w:w="3120"/>
            <w:shd w:val="clear" w:color="auto" w:fill="F7F1E0"/>
          </w:tcPr>
          <w:p>
            <w:r>
              <w:t>Music</w:t>
            </w:r>
          </w:p>
        </w:tc>
        <w:tc>
          <w:tcPr>
            <w:tcW w:type="dxa" w:w="3120"/>
            <w:shd w:val="clear" w:color="auto" w:fill="F7F1E0"/>
          </w:tcPr>
          <w:p>
            <w:r>
              <w:t>Arts</w:t>
            </w:r>
          </w:p>
        </w:tc>
        <w:tc>
          <w:tcPr>
            <w:tcW w:type="dxa" w:w="3120"/>
            <w:shd w:val="clear" w:color="auto" w:fill="F7F1E0"/>
          </w:tcPr>
          <w:p>
            <w:pPr>
              <w:jc w:val="right"/>
            </w:pPr>
            <w:r>
              <w:t>30</w:t>
            </w:r>
          </w:p>
        </w:tc>
      </w:tr>
    </w:tbl>
    <w:p/>
    <w:p>
      <w:pPr>
        <w:jc w:val="center"/>
      </w:pPr>
      <w:r xmlns:a="http://schemas.openxmlformats.org/drawingml/2006/main" xmlns:c="http://schemas.openxmlformats.org/drawingml/2006/chart" xmlns:dgm="http://schemas.openxmlformats.org/drawingml/2006/diagram">
        <w:drawing>
          <wp:inline distT="0" distB="0" distL="0" distR="0">
            <wp:extent cx="5029200" cy="2743200"/>
            <wp:effectExtent l="0" t="0" r="0" b="0"/>
            <wp:docPr id="5002" name="Chart 1" descr="Chart showing minutes by activity"/>
            <wp:cNvGraphicFramePr/>
            <a:graphic>
              <a:graphicData uri="http://schemas.openxmlformats.org/drawingml/2006/chart">
                <c:chart r:id="rId15"/>
              </a:graphicData>
            </a:graphic>
          </wp:inline>
        </w:drawing>
      </w:r>
    </w:p>
    <w:p/>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2026 Sunrise Primary School  |  Prep Year Support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microsoft.com/office/2007/relationships/diagramDrawing" Target="diagrams/drawing1.xml"/><Relationship Id="rId11" Type="http://schemas.openxmlformats.org/officeDocument/2006/relationships/diagramData" Target="diagrams/data1.xml"/><Relationship Id="rId12" Type="http://schemas.openxmlformats.org/officeDocument/2006/relationships/diagramLayout" Target="diagrams/layout1.xml"/><Relationship Id="rId13" Type="http://schemas.openxmlformats.org/officeDocument/2006/relationships/diagramQuickStyle" Target="diagrams/quickStyle1.xml"/><Relationship Id="rId14" Type="http://schemas.openxmlformats.org/officeDocument/2006/relationships/diagramColors" Target="diagrams/colors1.xml"/><Relationship Id="rId15" Type="http://schemas.openxmlformats.org/officeDocument/2006/relationships/chart" Target="charts/chart1.xml"/><Relationship Id="rId1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pPr>
            <a:r>
              <a:rPr lang="en-US" sz="1400" b="0"/>
              <a:t>Minutes by Activity</a:t>
            </a:r>
          </a:p>
        </c:rich>
      </c:tx>
      <c:overlay val="0"/>
    </c:title>
    <c:autoTitleDeleted val="0"/>
    <c:plotArea>
      <c:layout/>
      <c:pieChart>
        <c:varyColors val="1"/>
        <c:ser>
          <c:idx val="0"/>
          <c:order val="0"/>
          <c:tx>
            <c:strRef>
              <c:f>Sheet1!$B$1</c:f>
              <c:strCache>
                <c:ptCount val="1"/>
                <c:pt idx="0">
                  <c:v>Minutes</c:v>
                </c:pt>
              </c:strCache>
            </c:strRef>
          </c:tx>
          <c:cat>
            <c:strRef>
              <c:f>Sheet1!$A$2:$A$6</c:f>
              <c:strCache>
                <c:ptCount val="5"/>
                <c:pt idx="0">
                  <c:v>Morning circle</c:v>
                </c:pt>
                <c:pt idx="1">
                  <c:v>Reading</c:v>
                </c:pt>
                <c:pt idx="2">
                  <c:v>Counting games</c:v>
                </c:pt>
                <c:pt idx="3">
                  <c:v>Outdoor play</c:v>
                </c:pt>
                <c:pt idx="4">
                  <c:v>Story writing</c:v>
                </c:pt>
              </c:strCache>
            </c:strRef>
          </c:cat>
          <c:val>
            <c:numRef>
              <c:f>Sheet1!$B$2:$B$6</c:f>
              <c:numCache>
                <c:formatCode>General</c:formatCode>
                <c:ptCount val="5"/>
                <c:pt idx="0">
                  <c:v>15.0</c:v>
                </c:pt>
                <c:pt idx="1">
                  <c:v>30.0</c:v>
                </c:pt>
                <c:pt idx="2">
                  <c:v>25.0</c:v>
                </c:pt>
                <c:pt idx="3">
                  <c:v>40.0</c:v>
                </c:pt>
                <c:pt idx="4">
                  <c:v>20.0</c:v>
                </c:pt>
              </c:numCache>
            </c:numRef>
          </c:val>
        </c:ser>
        <c:firstSliceAng val="0"/>
      </c:pieChart>
    </c:plotArea>
    <c:legend>
      <c:legendPos val="r"/>
      <c:overlay val="0"/>
    </c:legend>
    <c:plotVisOnly val="1"/>
    <c:dispBlanksAs val="gap"/>
  </c:chart>
  <c:txPr>
    <a:bodyPr/>
    <a:lstStyle/>
    <a:p>
      <a:pPr>
        <a:defRPr sz="1000"/>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C793D6F-9682-4CF1-A548-3AD98483842D}"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3DD69044-7A2A-4DA7-A411-706004630B73}">
      <dgm:prSet phldrT="[Text]"/>
      <dgm:spPr/>
      <dgm:t>
        <a:bodyPr/>
        <a:lstStyle/>
        <a:p>
          <a:r>
            <a:rPr lang="en-US" dirty="0"/>
            <a:t>How does a typical day of a Prep Year child look?</a:t>
          </a:r>
        </a:p>
      </dgm:t>
    </dgm:pt>
    <dgm:pt modelId="{077E3E9D-A6CD-4A1E-B7F9-787A684EC573}" type="parTrans" cxnId="{7C0568CE-71D4-4927-BDD8-86068259A866}">
      <dgm:prSet/>
      <dgm:spPr/>
      <dgm:t>
        <a:bodyPr/>
        <a:lstStyle/>
        <a:p>
          <a:endParaRPr lang="en-US"/>
        </a:p>
      </dgm:t>
    </dgm:pt>
    <dgm:pt modelId="{C0990FD0-71CA-4D4B-B0CD-3BCC25E1F0BB}" type="sibTrans" cxnId="{7C0568CE-71D4-4927-BDD8-86068259A866}">
      <dgm:prSet/>
      <dgm:spPr/>
      <dgm:t>
        <a:bodyPr/>
        <a:lstStyle/>
        <a:p>
          <a:endParaRPr lang="en-US"/>
        </a:p>
      </dgm:t>
    </dgm:pt>
    <dgm:pt modelId="{D2544480-F91E-45BA-A389-55ABEFCA8F4D}">
      <dgm:prSet phldrT="[Text]"/>
      <dgm:spPr/>
      <dgm:t>
        <a:bodyPr/>
        <a:lstStyle/>
        <a:p>
          <a:r>
            <a:rPr lang="en-US" dirty="0"/>
            <a:t>How do children move between activities?</a:t>
          </a:r>
        </a:p>
      </dgm:t>
    </dgm:pt>
    <dgm:pt modelId="{9DE88337-655D-44DF-B2E2-949CAB53D3E3}" type="parTrans" cxnId="{702EDDE4-0994-4560-BED1-95FB1BDB0EFA}">
      <dgm:prSet/>
      <dgm:spPr/>
      <dgm:t>
        <a:bodyPr/>
        <a:lstStyle/>
        <a:p>
          <a:endParaRPr lang="en-US"/>
        </a:p>
      </dgm:t>
    </dgm:pt>
    <dgm:pt modelId="{51E7A458-E7C4-4CD9-BB24-08092AB06B5C}" type="sibTrans" cxnId="{702EDDE4-0994-4560-BED1-95FB1BDB0EFA}">
      <dgm:prSet/>
      <dgm:spPr/>
      <dgm:t>
        <a:bodyPr/>
        <a:lstStyle/>
        <a:p>
          <a:endParaRPr lang="en-US"/>
        </a:p>
      </dgm:t>
    </dgm:pt>
    <dgm:pt modelId="{C7573598-6FF4-4954-820F-76EAB3CF53F8}">
      <dgm:prSet phldrT="[Text]"/>
      <dgm:spPr/>
      <dgm:t>
        <a:bodyPr/>
        <a:lstStyle/>
        <a:p>
          <a:r>
            <a:rPr lang="en-US" dirty="0"/>
            <a:t>What routines help children feel safe?</a:t>
          </a:r>
        </a:p>
      </dgm:t>
    </dgm:pt>
    <dgm:pt modelId="{1D13795C-141A-4EFD-A610-867B80107732}" type="parTrans" cxnId="{CB727623-6484-4245-B976-F8CE3FF41DCC}">
      <dgm:prSet/>
      <dgm:spPr/>
      <dgm:t>
        <a:bodyPr/>
        <a:lstStyle/>
        <a:p>
          <a:endParaRPr lang="en-US"/>
        </a:p>
      </dgm:t>
    </dgm:pt>
    <dgm:pt modelId="{8A56E50E-C6D0-49B6-A146-7A3F109F5E39}" type="sibTrans" cxnId="{CB727623-6484-4245-B976-F8CE3FF41DCC}">
      <dgm:prSet/>
      <dgm:spPr/>
      <dgm:t>
        <a:bodyPr/>
        <a:lstStyle/>
        <a:p>
          <a:endParaRPr lang="en-US"/>
        </a:p>
      </dgm:t>
    </dgm:pt>
    <dgm:pt modelId="{30E427AE-CBE8-41A0-903E-962B1BC85A95}">
      <dgm:prSet phldrT="[Text]"/>
      <dgm:spPr/>
      <dgm:t>
        <a:bodyPr/>
        <a:lstStyle/>
        <a:p>
          <a:r>
            <a:rPr lang="en-US" dirty="0"/>
            <a:t>How are families involved in learning?</a:t>
          </a:r>
        </a:p>
      </dgm:t>
    </dgm:pt>
    <dgm:pt modelId="{6D852919-6751-42D7-9F19-F527D00891A5}" type="parTrans" cxnId="{9408D19E-46E7-4B85-BB62-BBF010CAF578}">
      <dgm:prSet/>
      <dgm:spPr/>
      <dgm:t>
        <a:bodyPr/>
        <a:lstStyle/>
        <a:p>
          <a:endParaRPr lang="en-US"/>
        </a:p>
      </dgm:t>
    </dgm:pt>
    <dgm:pt modelId="{98388DCB-A275-41E9-AD4D-1662A3884044}" type="sibTrans" cxnId="{9408D19E-46E7-4B85-BB62-BBF010CAF578}">
      <dgm:prSet/>
      <dgm:spPr/>
      <dgm:t>
        <a:bodyPr/>
        <a:lstStyle/>
        <a:p>
          <a:endParaRPr lang="en-US"/>
        </a:p>
      </dgm:t>
    </dgm:pt>
    <dgm:pt modelId="{46574638-835E-41A7-8511-E79BE4A53405}">
      <dgm:prSet phldrT="[Text]"/>
      <dgm:spPr/>
      <dgm:t>
        <a:bodyPr/>
        <a:lstStyle/>
        <a:p>
          <a:r>
            <a:rPr lang="en-US" dirty="0"/>
            <a:t>Which adults and children are external to the classroom?</a:t>
          </a:r>
        </a:p>
      </dgm:t>
    </dgm:pt>
    <dgm:pt modelId="{997432A9-4784-4C5A-B18F-A333F949E298}" type="parTrans" cxnId="{D0690132-4BB1-48E3-8562-F2744E7EB6EC}">
      <dgm:prSet/>
      <dgm:spPr/>
      <dgm:t>
        <a:bodyPr/>
        <a:lstStyle/>
        <a:p>
          <a:endParaRPr lang="en-US"/>
        </a:p>
      </dgm:t>
    </dgm:pt>
    <dgm:pt modelId="{9F08D891-7C47-4D59-96B9-353F162B5CF6}" type="sibTrans" cxnId="{D0690132-4BB1-48E3-8562-F2744E7EB6EC}">
      <dgm:prSet/>
      <dgm:spPr/>
      <dgm:t>
        <a:bodyPr/>
        <a:lstStyle/>
        <a:p>
          <a:endParaRPr lang="en-US"/>
        </a:p>
      </dgm:t>
    </dgm:pt>
  </dgm:ptLst>
  <dgm:cxnLst>
    <dgm:cxn modelId="{7C0568CE-71D4-4927-BDD8-86068259A866}" srcId="{2C793D6F-9682-4CF1-A548-3AD98483842D}" destId="{3DD69044-7A2A-4DA7-A411-706004630B73}" srcOrd="0" destOrd="0" parTransId="{077E3E9D-A6CD-4A1E-B7F9-787A684EC573}" sibTransId="{C0990FD0-71CA-4D4B-B0CD-3BCC25E1F0BB}"/>
    <dgm:cxn modelId="{702EDDE4-0994-4560-BED1-95FB1BDB0EFA}" srcId="{2C793D6F-9682-4CF1-A548-3AD98483842D}" destId="{D2544480-F91E-45BA-A389-55ABEFCA8F4D}" srcOrd="1" destOrd="0" parTransId="{9DE88337-655D-44DF-B2E2-949CAB53D3E3}" sibTransId="{51E7A458-E7C4-4CD9-BB24-08092AB06B5C}"/>
    <dgm:cxn modelId="{CB727623-6484-4245-B976-F8CE3FF41DCC}" srcId="{2C793D6F-9682-4CF1-A548-3AD98483842D}" destId="{C7573598-6FF4-4954-820F-76EAB3CF53F8}" srcOrd="2" destOrd="0" parTransId="{1D13795C-141A-4EFD-A610-867B80107732}" sibTransId="{8A56E50E-C6D0-49B6-A146-7A3F109F5E39}"/>
    <dgm:cxn modelId="{9408D19E-46E7-4B85-BB62-BBF010CAF578}" srcId="{2C793D6F-9682-4CF1-A548-3AD98483842D}" destId="{30E427AE-CBE8-41A0-903E-962B1BC85A95}" srcOrd="3" destOrd="0" parTransId="{6D852919-6751-42D7-9F19-F527D00891A5}" sibTransId="{98388DCB-A275-41E9-AD4D-1662A3884044}"/>
    <dgm:cxn modelId="{D0690132-4BB1-48E3-8562-F2744E7EB6EC}" srcId="{2C793D6F-9682-4CF1-A548-3AD98483842D}" destId="{46574638-835E-41A7-8511-E79BE4A53405}" srcOrd="4" destOrd="0" parTransId="{997432A9-4784-4C5A-B18F-A333F949E298}" sibTransId="{9F08D891-7C47-4D59-96B9-353F162B5CF6}"/>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D69044-7A2A-4DA7-A411-706004630B73}">
      <dsp:nvSpPr>
        <dsp:cNvPr id="0" name=""/>
        <dsp:cNvSpPr/>
      </dsp:nvSpPr>
      <dsp:spPr>
        <a:xfrm>
          <a:off x="0" y="0"/>
          <a:ext cx="1661770" cy="997062"/>
        </a:xfrm>
        <a:prstGeom prst="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How does a typical day of a Prep Year child look?</a:t>
          </a:r>
        </a:p>
      </dsp:txBody>
      <dsp:txXfrm>
        <a:off x="0" y="0"/>
        <a:ext cx="1661770" cy="997062"/>
      </dsp:txXfrm>
    </dsp:sp>
    <dsp:sp modelId="{D2544480-F91E-45BA-A389-55ABEFCA8F4D}">
      <dsp:nvSpPr>
        <dsp:cNvPr id="0" name=""/>
        <dsp:cNvSpPr/>
      </dsp:nvSpPr>
      <dsp:spPr>
        <a:xfrm>
          <a:off x="1820875" y="0"/>
          <a:ext cx="1661770" cy="997062"/>
        </a:xfrm>
        <a:prstGeom prst="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How do children move between activities?</a:t>
          </a:r>
        </a:p>
      </dsp:txBody>
      <dsp:txXfrm>
        <a:off x="1820875" y="0"/>
        <a:ext cx="1661770" cy="997062"/>
      </dsp:txXfrm>
    </dsp:sp>
    <dsp:sp modelId="{C7573598-6FF4-4954-820F-76EAB3CF53F8}">
      <dsp:nvSpPr>
        <dsp:cNvPr id="0" name=""/>
        <dsp:cNvSpPr/>
      </dsp:nvSpPr>
      <dsp:spPr>
        <a:xfrm>
          <a:off x="3641750" y="0"/>
          <a:ext cx="1661770" cy="997062"/>
        </a:xfrm>
        <a:prstGeom prst="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What routines help children feel safe?</a:t>
          </a:r>
        </a:p>
      </dsp:txBody>
      <dsp:txXfrm>
        <a:off x="3641750" y="0"/>
        <a:ext cx="1661770" cy="997062"/>
      </dsp:txXfrm>
    </dsp:sp>
    <dsp:sp modelId="{30E427AE-CBE8-41A0-903E-962B1BC85A95}">
      <dsp:nvSpPr>
        <dsp:cNvPr id="0" name=""/>
        <dsp:cNvSpPr/>
      </dsp:nvSpPr>
      <dsp:spPr>
        <a:xfrm>
          <a:off x="0" y="1156167"/>
          <a:ext cx="1661770" cy="997062"/>
        </a:xfrm>
        <a:prstGeom prst="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How are families involved in learning?</a:t>
          </a:r>
        </a:p>
      </dsp:txBody>
      <dsp:txXfrm>
        <a:off x="0" y="1156167"/>
        <a:ext cx="1661770" cy="997062"/>
      </dsp:txXfrm>
    </dsp:sp>
    <dsp:sp modelId="{46574638-835E-41A7-8511-E79BE4A53405}">
      <dsp:nvSpPr>
        <dsp:cNvPr id="0" name=""/>
        <dsp:cNvSpPr/>
      </dsp:nvSpPr>
      <dsp:spPr>
        <a:xfrm>
          <a:off x="1820875" y="1156167"/>
          <a:ext cx="1661770" cy="997062"/>
        </a:xfrm>
        <a:prstGeom prst="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Which adults and children are external to the classroom?</a:t>
          </a:r>
        </a:p>
      </dsp:txBody>
      <dsp:txXfrm>
        <a:off x="1820875" y="1156167"/>
        <a:ext cx="1661770" cy="997062"/>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Year Support Material</dc:title>
  <dc:subject/>
  <dc:creator>Nguyen Van An</dc:creator>
  <cp:keywords/>
  <dc:description/>
  <cp:lastModifiedBy>Nguyen Van An</cp:lastModifiedBy>
  <cp:revision>1</cp:revision>
  <dcterms:created xsi:type="dcterms:W3CDTF">2026-09-01T08:00:00Z</dcterms:created>
  <dcterms:modified xsi:type="dcterms:W3CDTF">2026-09-20T09:00:00Z</dcterms:modified>
  <cp:category/>
</cp:coreProperties>
</file>