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iagrams/colors1.xml" ContentType="application/vnd.openxmlformats-officedocument.drawingml.diagramColors+xml"/>
  <Override PartName="/word/diagrams/data1.xml" ContentType="application/vnd.openxmlformats-officedocument.drawingml.diagramData+xml"/>
  <Override PartName="/word/diagrams/drawing1.xml" ContentType="application/vnd.ms-office.drawingml.diagramDrawing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9360"/>
      </w:tblGrid>
      <w:tr>
        <w:trPr>
          <w:tblHeader/>
        </w:trPr>
        <w:tc>
          <w:tcPr>
            <w:tcW w:type="dxa" w:w="9360"/>
            <w:shd w:val="clear" w:color="auto" w:fill="00B0F0"/>
            <w:tcMar>
              <w:top w:w="200" w:type="dxa"/>
              <w:left w:w="240" w:type="dxa"/>
              <w:bottom w:w="200" w:type="dxa"/>
              <w:right w:w="240" w:type="dxa"/>
            </w:tcMar>
          </w:tcPr>
          <w:p>
            <w:r>
              <w:rPr>
                <w:b/>
                <w:color w:val="99DFF9"/>
                <w:sz w:val="18"/>
              </w:rPr>
              <w:t>EVENT INFORMATION</w:t>
            </w:r>
          </w:p>
          <w:p>
            <w:pPr>
              <w:pStyle w:val="Title"/>
              <w:pBdr>
                <w:bottom w:val="nil"/>
              </w:pBdr>
            </w:pPr>
            <w:r>
              <w:rPr>
                <w:b/>
                <w:color w:val="FFFFFF"/>
              </w:rPr>
              <w:t>Recycling Made Simple</w:t>
            </w:r>
          </w:p>
          <w:p>
            <w:r>
              <w:rPr>
                <w:i/>
                <w:color w:val="BFEBFB"/>
                <w:sz w:val="24"/>
              </w:rPr>
              <w:t>Clean City Initiative – Ho Chi Minh City</w:t>
            </w:r>
          </w:p>
        </w:tc>
      </w:tr>
    </w:tbl>
    <w:p/>
    <w:tbl>
      <w:tblPr>
        <w:tblW w:type="auto" w:w="0"/>
        <w:tblBorders>
          <w:top w:val="single" w:sz="4" w:space="0" w:color="7FD7F7"/>
          <w:left w:val="single" w:sz="4" w:space="0" w:color="7FD7F7"/>
          <w:bottom w:val="single" w:sz="4" w:space="0" w:color="7FD7F7"/>
          <w:right w:val="single" w:sz="4" w:space="0" w:color="7FD7F7"/>
          <w:insideH w:val="single" w:sz="4" w:space="0" w:color="7FD7F7"/>
          <w:insideV w:val="single" w:sz="4" w:space="0" w:color="7FD7F7"/>
        </w:tblBorders>
        <w:tblLook w:firstColumn="1" w:firstRow="1" w:lastColumn="0" w:lastRow="0" w:noHBand="0" w:noVBand="1" w:val="04A0"/>
      </w:tblPr>
      <w:tblGrid>
        <w:gridCol w:w="2592"/>
        <w:gridCol w:w="6768"/>
      </w:tblGrid>
      <w:tr>
        <w:trPr>
          <w:tblHeader/>
        </w:trPr>
        <w:tc>
          <w:tcPr>
            <w:tcW w:type="dxa" w:w="2592"/>
            <w:shd w:val="clear" w:color="auto" w:fill="D8F3FC"/>
          </w:tcPr>
          <w:p>
            <w:r>
              <w:rPr>
                <w:b/>
                <w:color w:val="00B0F0"/>
              </w:rPr>
              <w:t>Date</w:t>
            </w:r>
          </w:p>
        </w:tc>
        <w:tc>
          <w:tcPr>
            <w:tcW w:type="dxa" w:w="6768"/>
          </w:tcPr>
          <w:p>
            <w:r>
              <w:t>Friday, 20 November 2026</w:t>
            </w:r>
          </w:p>
        </w:tc>
      </w:tr>
      <w:tr>
        <w:tc>
          <w:tcPr>
            <w:tcW w:type="dxa" w:w="2592"/>
            <w:shd w:val="clear" w:color="auto" w:fill="D8F3FC"/>
          </w:tcPr>
          <w:p>
            <w:r>
              <w:rPr>
                <w:b/>
                <w:color w:val="00B0F0"/>
              </w:rPr>
              <w:t>Time</w:t>
            </w:r>
          </w:p>
        </w:tc>
        <w:tc>
          <w:tcPr>
            <w:tcW w:type="dxa" w:w="6768"/>
          </w:tcPr>
          <w:p>
            <w:r>
              <w:t>18:00 - 21:30</w:t>
            </w:r>
          </w:p>
        </w:tc>
      </w:tr>
      <w:tr>
        <w:tc>
          <w:tcPr>
            <w:tcW w:type="dxa" w:w="2592"/>
            <w:shd w:val="clear" w:color="auto" w:fill="D8F3FC"/>
          </w:tcPr>
          <w:p>
            <w:r>
              <w:rPr>
                <w:b/>
                <w:color w:val="00B0F0"/>
              </w:rPr>
              <w:t>Venue</w:t>
            </w:r>
          </w:p>
        </w:tc>
        <w:tc>
          <w:tcPr>
            <w:tcW w:type="dxa" w:w="6768"/>
          </w:tcPr>
          <w:p>
            <w:r>
              <w:t>Main Hall, Clean City Initiative</w:t>
            </w:r>
          </w:p>
        </w:tc>
      </w:tr>
      <w:tr>
        <w:tc>
          <w:tcPr>
            <w:tcW w:type="dxa" w:w="2592"/>
            <w:shd w:val="clear" w:color="auto" w:fill="D8F3FC"/>
          </w:tcPr>
          <w:p>
            <w:r>
              <w:rPr>
                <w:b/>
                <w:color w:val="00B0F0"/>
              </w:rPr>
              <w:t>Contact</w:t>
            </w:r>
          </w:p>
        </w:tc>
        <w:tc>
          <w:tcPr>
            <w:tcW w:type="dxa" w:w="6768"/>
          </w:tcPr>
          <w:p>
            <w:r>
              <w:t>info@cleancityinitiative.vn</w:t>
            </w:r>
          </w:p>
        </w:tc>
      </w:tr>
    </w:tbl>
    <w:p/>
    <w:p>
      <w:pPr>
        <w:pStyle w:val="Heading1"/>
      </w:pPr>
      <w:r xmlns:a="http://schemas.openxmlformats.org/drawingml/2006/main">
        <w:t xml:space="preserve">Why Recycle?</w:t>
      </w:r>
    </w:p>
    <w:p>
      <w:r xmlns:a="http://schemas.openxmlformats.org/drawingml/2006/main">
        <w:t xml:space="preserve">Recycling reduces waste, saves energy, and protects natural resources. Clean City Initiative wants every household to recycle.</w:t>
      </w:r>
    </w:p>
    <w:p>
      <w:r xmlns:a="http://schemas.openxmlformats.org/drawingml/2006/main">
        <w:t xml:space="preserve">Each ton of recycled paper saves about seventeen trees.</w:t>
      </w:r>
    </w:p>
    <w:p>
      <w:pPr>
        <w:pStyle w:val="Heading1"/>
      </w:pPr>
      <w:r xmlns:a="http://schemas.openxmlformats.org/drawingml/2006/main">
        <w:t xml:space="preserve">What Can Be Recycled?</w:t>
      </w:r>
    </w:p>
    <w:p>
      <w:r xmlns:a="http://schemas.openxmlformats.org/drawingml/2006/main">
        <w:t xml:space="preserve">Paper, cardboard, glass bottles, metal cans, and many plastic containers can be recycled.</w:t>
      </w:r>
    </w:p>
    <w:p>
      <w:r xmlns:a="http://schemas.openxmlformats.org/drawingml/2006/main">
        <w:t xml:space="preserve">Items should be clean and dry before they are placed in the recycling bin.</w:t>
      </w:r>
    </w:p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303520" cy="2194560"/>
            <wp:effectExtent l="0" t="0" r="0" b="0"/>
            <wp:docPr id="5001" name="Diagram 1" descr="Recycle process diagram"/>
            <wp:cNvGraphicFramePr/>
            <a:graphic>
              <a:graphicData uri="http://schemas.openxmlformats.org/drawingml/2006/diagram">
                <dgm:relIds r:dm="rId10" r:lo="rId11" r:qs="rId12" r:cs="rId13"/>
              </a:graphicData>
            </a:graphic>
          </wp:inline>
        </w:drawing>
      </w:r>
    </w:p>
    <w:p/>
    <w:p>
      <w:pPr>
        <w:pStyle w:val="Heading1"/>
      </w:pPr>
      <w:r xmlns:a="http://schemas.openxmlformats.org/drawingml/2006/main">
        <w:t xml:space="preserve">What Cannot Be Recycled?</w:t>
      </w:r>
    </w:p>
    <w:p>
      <w:r xmlns:a="http://schemas.openxmlformats.org/drawingml/2006/main">
        <w:t xml:space="preserve">Food waste, dirty tissues, and broken ceramics should not be placed in recycling bins.</w:t>
      </w:r>
    </w:p>
    <w:p>
      <w:r xmlns:a="http://schemas.openxmlformats.org/drawingml/2006/main">
        <mc:AlternateContent>
          <mc:Choice Requires="wps">
            <w:drawing>
              <wp:anchor distT="45720" distB="45720" distL="114300" distR="114300" simplePos="0" relativeHeight="251659365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2194560" cy="1097280"/>
                <wp:effectExtent l="0" t="0" r="0" b="0"/>
                <wp:wrapSquare wrapText="bothSides"/>
                <wp:docPr id="101" name="Text Box 10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4560" cy="1097280"/>
                        </a:xfrm>
                        <a:prstGeom prst="rect">
                          <a:avLst/>
                        </a:prstGeom>
                        <a:solidFill>
                          <a:srgbClr val="D8F3FC"/>
                        </a:solidFill>
                        <a:ln w="12700">
                          <a:solidFill>
                            <a:srgbClr val="D8F3FC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b/>
                                <w:color w:val="00B0F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00B0F0"/>
                                <w:sz w:val="28"/>
                              </w:rPr>
                              <w:t xml:space="preserve">Remember: Paper is one of our key topics this year.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r xmlns:a="http://schemas.openxmlformats.org/drawingml/2006/main">
        <w:t xml:space="preserve">Batteries and electronics must be taken to special collection points.</w:t>
      </w:r>
    </w:p>
    <w:p>
      <w:pPr>
        <w:pStyle w:val="Heading1"/>
      </w:pPr>
      <w:r xmlns:a="http://schemas.openxmlformats.org/drawingml/2006/main">
        <w:t xml:space="preserve">Collection Schedule</w:t>
      </w:r>
    </w:p>
    <w:p>
      <w:r xmlns:a="http://schemas.openxmlformats.org/drawingml/2006/main">
        <w:t xml:space="preserve">Recycling is collected once a week in every district. Check the schedule for your street.</w:t>
      </w:r>
    </w:p>
    <w:p>
      <w:r xmlns:a="http://schemas.openxmlformats.org/drawingml/2006/main">
        <w:t xml:space="preserve">Bins should be placed outside before 7:00 on collection day.</w:t>
      </w:r>
    </w:p>
    <w:tbl>
      <w:tblPr>
        <w:tblStyle w:val="TableGrid"/>
        <w:tblW w:type="auto" w:w="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val="clear" w:color="auto" w:fill="00B0F0"/>
          </w:tcPr>
          <w:p>
            <w:r>
              <w:rPr>
                <w:b/>
                <w:color w:val="FFFFFF"/>
              </w:rPr>
              <w:t>Material</w:t>
            </w:r>
          </w:p>
        </w:tc>
        <w:tc>
          <w:tcPr>
            <w:tcW w:type="dxa" w:w="3120"/>
            <w:shd w:val="clear" w:color="auto" w:fill="00B0F0"/>
          </w:tcPr>
          <w:p>
            <w:r>
              <w:rPr>
                <w:b/>
                <w:color w:val="FFFFFF"/>
              </w:rPr>
              <w:t>Bin color</w:t>
            </w:r>
          </w:p>
        </w:tc>
        <w:tc>
          <w:tcPr>
            <w:tcW w:type="dxa" w:w="3120"/>
            <w:shd w:val="clear" w:color="auto" w:fill="00B0F0"/>
          </w:tcPr>
          <w:p>
            <w:r>
              <w:rPr>
                <w:b/>
                <w:color w:val="FFFFFF"/>
              </w:rPr>
              <w:t>Recycling rate (%)</w:t>
            </w:r>
          </w:p>
        </w:tc>
      </w:tr>
      <w:tr>
        <w:tc>
          <w:tcPr>
            <w:tcW w:type="dxa" w:w="3120"/>
          </w:tcPr>
          <w:p>
            <w:r>
              <w:t>Paper</w:t>
            </w:r>
          </w:p>
        </w:tc>
        <w:tc>
          <w:tcPr>
            <w:tcW w:type="dxa" w:w="3120"/>
          </w:tcPr>
          <w:p>
            <w:r>
              <w:t>Blue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68</w:t>
            </w:r>
          </w:p>
        </w:tc>
      </w:tr>
      <w:tr>
        <w:tc>
          <w:tcPr>
            <w:tcW w:type="dxa" w:w="3120"/>
            <w:shd w:val="clear" w:color="auto" w:fill="E0F5FD"/>
          </w:tcPr>
          <w:p>
            <w:r>
              <w:t>Glass</w:t>
            </w:r>
          </w:p>
        </w:tc>
        <w:tc>
          <w:tcPr>
            <w:tcW w:type="dxa" w:w="3120"/>
            <w:shd w:val="clear" w:color="auto" w:fill="E0F5FD"/>
          </w:tcPr>
          <w:p>
            <w:r>
              <w:t>Green</w:t>
            </w:r>
          </w:p>
        </w:tc>
        <w:tc>
          <w:tcPr>
            <w:tcW w:type="dxa" w:w="3120"/>
            <w:shd w:val="clear" w:color="auto" w:fill="E0F5FD"/>
          </w:tcPr>
          <w:p>
            <w:pPr>
              <w:jc w:val="right"/>
            </w:pPr>
            <w:r>
              <w:t>45</w:t>
            </w:r>
          </w:p>
        </w:tc>
      </w:tr>
      <w:tr>
        <w:tc>
          <w:tcPr>
            <w:tcW w:type="dxa" w:w="3120"/>
          </w:tcPr>
          <w:p>
            <w:r>
              <w:t>Plastic</w:t>
            </w:r>
          </w:p>
        </w:tc>
        <w:tc>
          <w:tcPr>
            <w:tcW w:type="dxa" w:w="3120"/>
          </w:tcPr>
          <w:p>
            <w:r>
              <w:t>Yellow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30</w:t>
            </w:r>
          </w:p>
        </w:tc>
      </w:tr>
      <w:tr>
        <w:tc>
          <w:tcPr>
            <w:tcW w:type="dxa" w:w="3120"/>
            <w:shd w:val="clear" w:color="auto" w:fill="E0F5FD"/>
          </w:tcPr>
          <w:p>
            <w:r>
              <w:t>Metal</w:t>
            </w:r>
          </w:p>
        </w:tc>
        <w:tc>
          <w:tcPr>
            <w:tcW w:type="dxa" w:w="3120"/>
            <w:shd w:val="clear" w:color="auto" w:fill="E0F5FD"/>
          </w:tcPr>
          <w:p>
            <w:r>
              <w:t>Yellow</w:t>
            </w:r>
          </w:p>
        </w:tc>
        <w:tc>
          <w:tcPr>
            <w:tcW w:type="dxa" w:w="3120"/>
            <w:shd w:val="clear" w:color="auto" w:fill="E0F5FD"/>
          </w:tcPr>
          <w:p>
            <w:pPr>
              <w:jc w:val="right"/>
            </w:pPr>
            <w:r>
              <w:t>55</w:t>
            </w:r>
          </w:p>
        </w:tc>
      </w:tr>
      <w:tr>
        <w:tc>
          <w:tcPr>
            <w:tcW w:type="dxa" w:w="3120"/>
          </w:tcPr>
          <w:p>
            <w:r>
              <w:t>Cardboard</w:t>
            </w:r>
          </w:p>
        </w:tc>
        <w:tc>
          <w:tcPr>
            <w:tcW w:type="dxa" w:w="3120"/>
          </w:tcPr>
          <w:p>
            <w:r>
              <w:t>Blue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72</w:t>
            </w:r>
          </w:p>
        </w:tc>
      </w:tr>
      <w:tr>
        <w:tc>
          <w:tcPr>
            <w:tcW w:type="dxa" w:w="3120"/>
            <w:shd w:val="clear" w:color="auto" w:fill="E0F5FD"/>
          </w:tcPr>
          <w:p>
            <w:r>
              <w:t>Food waste</w:t>
            </w:r>
          </w:p>
        </w:tc>
        <w:tc>
          <w:tcPr>
            <w:tcW w:type="dxa" w:w="3120"/>
            <w:shd w:val="clear" w:color="auto" w:fill="E0F5FD"/>
          </w:tcPr>
          <w:p>
            <w:r>
              <w:t>Brown</w:t>
            </w:r>
          </w:p>
        </w:tc>
        <w:tc>
          <w:tcPr>
            <w:tcW w:type="dxa" w:w="3120"/>
            <w:shd w:val="clear" w:color="auto" w:fill="E0F5FD"/>
          </w:tcPr>
          <w:p>
            <w:pPr>
              <w:jc w:val="right"/>
            </w:pPr>
            <w:r>
              <w:t>20</w:t>
            </w:r>
          </w:p>
        </w:tc>
      </w:tr>
    </w:tbl>
    <w:p/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029200" cy="2743200"/>
            <wp:effectExtent l="0" t="0" r="0" b="0"/>
            <wp:docPr id="5002" name="Chart 1" descr="Chart showing recycling rate (%) by material"/>
            <wp:cNvGraphicFramePr/>
            <a:graphic>
              <a:graphicData uri="http://schemas.openxmlformats.org/drawingml/2006/chart">
                <c:chart r:id="rId14"/>
              </a:graphicData>
            </a:graphic>
          </wp:inline>
        </w:drawing>
      </w:r>
    </w:p>
    <w:p/>
    <w:p>
      <w:pPr>
        <w:pStyle w:val="Heading1"/>
      </w:pPr>
      <w:r xmlns:a="http://schemas.openxmlformats.org/drawingml/2006/main">
        <w:t xml:space="preserve">Composting at Home</w:t>
      </w:r>
    </w:p>
    <w:p>
      <w:r xmlns:a="http://schemas.openxmlformats.org/drawingml/2006/main">
        <w:t xml:space="preserve">Food scraps and garden waste can be turned into compost for plants.</w:t>
      </w:r>
    </w:p>
    <w:p>
      <w:r xmlns:a="http://schemas.openxmlformats.org/drawingml/2006/main">
        <w:t xml:space="preserve">Clean City Initiative gives free compost bins to families who attend a short workshop.</w:t>
      </w:r>
    </w:p>
    <w:p>
      <w:pPr>
        <w:pStyle w:val="Heading1"/>
      </w:pPr>
      <w:r xmlns:a="http://schemas.openxmlformats.org/drawingml/2006/main">
        <w:t xml:space="preserve">Get Involved</w:t>
      </w:r>
    </w:p>
    <w:p>
      <w:r xmlns:a="http://schemas.openxmlformats.org/drawingml/2006/main">
        <w:t xml:space="preserve">Join a neighborhood clean-up day or become a recycling volunteer.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1767840"/>
            <wp:docPr id="5003" name="Picture 5003" descr="Clean City Initiative phot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ycle_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767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Above: Clean City Initiative</w:t>
      </w:r>
    </w:p>
    <w:p>
      <w:r xmlns:a="http://schemas.openxmlformats.org/drawingml/2006/main">
        <w:t xml:space="preserve">Together we can make our city cleaner and greener.</w:t>
      </w:r>
    </w:p>
    <w:p/>
    <w:sectPr w:rsidR="00FC693F" w:rsidRPr="0006063C" w:rsidSect="00034616">
      <w:footerReference w:type="default" r:id="rId1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© 2026 Clean City Initiative  |  Recycling Made Simple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microsoft.com/office/2007/relationships/diagramDrawing" Target="diagrams/drawing1.xml"/><Relationship Id="rId10" Type="http://schemas.openxmlformats.org/officeDocument/2006/relationships/diagramData" Target="diagrams/data1.xml"/><Relationship Id="rId11" Type="http://schemas.openxmlformats.org/officeDocument/2006/relationships/diagramLayout" Target="diagrams/layout1.xml"/><Relationship Id="rId12" Type="http://schemas.openxmlformats.org/officeDocument/2006/relationships/diagramQuickStyle" Target="diagrams/quickStyle1.xml"/><Relationship Id="rId13" Type="http://schemas.openxmlformats.org/officeDocument/2006/relationships/diagramColors" Target="diagrams/colors1.xml"/><Relationship Id="rId14" Type="http://schemas.openxmlformats.org/officeDocument/2006/relationships/chart" Target="charts/chart1.xml"/><Relationship Id="rId15" Type="http://schemas.openxmlformats.org/officeDocument/2006/relationships/image" Target="media/image1.png"/><Relationship Id="rId16" Type="http://schemas.openxmlformats.org/officeDocument/2006/relationships/footer" Target="footer1.xml"/></Relationships>
</file>

<file path=word/charts/_rels/chart1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c:chart>
    <c:title>
      <c:tx>
        <c:rich>
          <a:bodyPr/>
          <a:lstStyle/>
          <a:p>
            <a:pPr>
              <a:defRPr sz="1400" b="0"/>
            </a:pPr>
            <a:r>
              <a:rPr lang="en-US" sz="1400" b="0"/>
              <a:t>Recycling rate (%) by Material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2025</c:v>
                </c:pt>
              </c:strCache>
            </c:strRef>
          </c:tx>
          <c:spPr>
            <a:solidFill>
              <a:srgbClr val="00B0F0"/>
            </a:solidFill>
          </c:spPr>
          <c:invertIfNegative val="0"/>
          <c:cat>
            <c:strRef>
              <c:f>Sheet1!$A$2:$A$6</c:f>
              <c:strCache>
                <c:ptCount val="5"/>
                <c:pt idx="0">
                  <c:v>Paper</c:v>
                </c:pt>
                <c:pt idx="1">
                  <c:v>Glass</c:v>
                </c:pt>
                <c:pt idx="2">
                  <c:v>Plastic</c:v>
                </c:pt>
                <c:pt idx="3">
                  <c:v>Metal</c:v>
                </c:pt>
                <c:pt idx="4">
                  <c:v>Cardboard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56.0</c:v>
                </c:pt>
                <c:pt idx="1">
                  <c:v>42.0</c:v>
                </c:pt>
                <c:pt idx="2">
                  <c:v>28.0</c:v>
                </c:pt>
                <c:pt idx="3">
                  <c:v>52.0</c:v>
                </c:pt>
                <c:pt idx="4">
                  <c:v>65.0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2026</c:v>
                </c:pt>
              </c:strCache>
            </c:strRef>
          </c:tx>
          <c:spPr>
            <a:solidFill>
              <a:srgbClr val="ED7D31"/>
            </a:solidFill>
          </c:spPr>
          <c:invertIfNegative val="0"/>
          <c:cat>
            <c:strRef>
              <c:f>Sheet1!$A$2:$A$6</c:f>
              <c:strCache>
                <c:ptCount val="5"/>
                <c:pt idx="0">
                  <c:v>Paper</c:v>
                </c:pt>
                <c:pt idx="1">
                  <c:v>Glass</c:v>
                </c:pt>
                <c:pt idx="2">
                  <c:v>Plastic</c:v>
                </c:pt>
                <c:pt idx="3">
                  <c:v>Metal</c:v>
                </c:pt>
                <c:pt idx="4">
                  <c:v>Cardboard</c:v>
                </c:pt>
              </c:strCache>
            </c:strRef>
          </c:cat>
          <c:val>
            <c:numRef>
              <c:f>Sheet1!$C$2:$C$6</c:f>
              <c:numCache>
                <c:formatCode>General</c:formatCode>
                <c:ptCount val="5"/>
                <c:pt idx="0">
                  <c:v>68.0</c:v>
                </c:pt>
                <c:pt idx="1">
                  <c:v>45.0</c:v>
                </c:pt>
                <c:pt idx="2">
                  <c:v>30.0</c:v>
                </c:pt>
                <c:pt idx="3">
                  <c:v>55.0</c:v>
                </c:pt>
                <c:pt idx="4">
                  <c:v>72.0</c:v>
                </c:pt>
              </c:numCache>
            </c:numRef>
          </c:val>
        </c:ser>
        <c:gapWidth val="182"/>
        <c:overlap val="-27"/>
        <c:axId val="50010001"/>
        <c:axId val="50010002"/>
      </c:barChart>
      <c:catAx>
        <c:axId val="5001000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crossAx val="50010002"/>
        <c:crosses val="autoZero"/>
        <c:auto val="1"/>
        <c:lblAlgn val="ctr"/>
        <c:lblOffset val="100"/>
        <c:noMultiLvlLbl val="0"/>
      </c:catAx>
      <c:valAx>
        <c:axId val="50010002"/>
        <c:scaling>
          <c:orientation val="minMax"/>
        </c:scaling>
        <c:delete val="0"/>
        <c:axPos val="l"/>
        <c:majorGridlines>
          <c:spPr>
            <a:ln w="9525">
              <a:solidFill>
                <a:srgbClr val="D9D9D9"/>
              </a:solidFill>
            </a:ln>
          </c:spPr>
        </c:majorGridlines>
        <c:numFmt formatCode="General" sourceLinked="1"/>
        <c:majorTickMark val="none"/>
        <c:minorTickMark val="none"/>
        <c:tickLblPos val="nextTo"/>
        <c:crossAx val="50010001"/>
        <c:crosses val="autoZero"/>
        <c:crossBetween val="between"/>
      </c:valAx>
    </c:plotArea>
    <c:legend>
      <c:legendPos val="r"/>
      <c:overlay val="0"/>
    </c:legend>
    <c:plotVisOnly val="1"/>
    <c:dispBlanksAs val="gap"/>
  </c:chart>
  <c:txPr>
    <a:bodyPr/>
    <a:lstStyle/>
    <a:p>
      <a:pPr>
        <a:defRPr sz="1000"/>
      </a:pPr>
      <a:endParaRPr lang="en-US"/>
    </a:p>
  </c:txPr>
  <c:externalData r:id="rId1">
    <c:autoUpdate val="0"/>
  </c:externalData>
</c:chartSpace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E9E28A81-E155-44B8-AB88-4A0FA4D8DDD7}" type="doc">
      <dgm:prSet loTypeId="urn:microsoft.com/office/officeart/2005/8/layout/cycle2" loCatId="cycle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4D714AA1-1C9A-4A45-979C-0EB0584DD073}">
      <dgm:prSet phldrT="[Text]"/>
      <dgm:spPr/>
      <dgm:t>
        <a:bodyPr/>
        <a:lstStyle/>
        <a:p>
          <a:r>
            <a:rPr lang="en-US" dirty="0"/>
            <a:t>Paper</a:t>
          </a:r>
        </a:p>
      </dgm:t>
    </dgm:pt>
    <dgm:pt modelId="{75FD102E-1DB2-49DD-A391-9A90C8E56FD4}" type="parTrans" cxnId="{84FDB982-44A1-4664-8598-87F97AD2548F}">
      <dgm:prSet/>
      <dgm:spPr/>
      <dgm:t>
        <a:bodyPr/>
        <a:lstStyle/>
        <a:p>
          <a:endParaRPr lang="en-US"/>
        </a:p>
      </dgm:t>
    </dgm:pt>
    <dgm:pt modelId="{BCD6C153-0112-4EE4-A8EB-CF40B69E1B54}" type="sibTrans" cxnId="{84FDB982-44A1-4664-8598-87F97AD2548F}">
      <dgm:prSet/>
      <dgm:spPr/>
      <dgm:t>
        <a:bodyPr/>
        <a:lstStyle/>
        <a:p>
          <a:endParaRPr lang="en-US"/>
        </a:p>
      </dgm:t>
    </dgm:pt>
    <dgm:pt modelId="{6EB8C820-6B99-4264-A76E-B325F4DF61CF}">
      <dgm:prSet phldrT="[Text]"/>
      <dgm:spPr/>
      <dgm:t>
        <a:bodyPr/>
        <a:lstStyle/>
        <a:p>
          <a:r>
            <a:rPr lang="en-US" dirty="0"/>
            <a:t>Cardboard</a:t>
          </a:r>
        </a:p>
      </dgm:t>
    </dgm:pt>
    <dgm:pt modelId="{C15B7485-49D4-4911-8E62-B57B59431AE3}" type="parTrans" cxnId="{67FD1386-6F77-4811-90C2-48FC69CA1CB8}">
      <dgm:prSet/>
      <dgm:spPr/>
      <dgm:t>
        <a:bodyPr/>
        <a:lstStyle/>
        <a:p>
          <a:endParaRPr lang="en-US"/>
        </a:p>
      </dgm:t>
    </dgm:pt>
    <dgm:pt modelId="{999FEDD7-FCAF-4ACC-AB75-5113244A93EB}" type="sibTrans" cxnId="{67FD1386-6F77-4811-90C2-48FC69CA1CB8}">
      <dgm:prSet/>
      <dgm:spPr/>
      <dgm:t>
        <a:bodyPr/>
        <a:lstStyle/>
        <a:p>
          <a:endParaRPr lang="en-US"/>
        </a:p>
      </dgm:t>
    </dgm:pt>
    <dgm:pt modelId="{74E669C3-85A1-4D90-BA75-6FC2B0DED754}">
      <dgm:prSet phldrT="[Text]"/>
      <dgm:spPr/>
      <dgm:t>
        <a:bodyPr/>
        <a:lstStyle/>
        <a:p>
          <a:r>
            <a:rPr lang="en-US" dirty="0"/>
            <a:t>Glass bottles</a:t>
          </a:r>
        </a:p>
      </dgm:t>
    </dgm:pt>
    <dgm:pt modelId="{C528C893-9220-480C-AC49-42B68BC95907}" type="parTrans" cxnId="{66B2910E-0C9E-4B79-B452-68C04642671F}">
      <dgm:prSet/>
      <dgm:spPr/>
      <dgm:t>
        <a:bodyPr/>
        <a:lstStyle/>
        <a:p>
          <a:endParaRPr lang="en-US"/>
        </a:p>
      </dgm:t>
    </dgm:pt>
    <dgm:pt modelId="{9E773E1D-EF6B-4D54-B701-C1E001FE8919}" type="sibTrans" cxnId="{66B2910E-0C9E-4B79-B452-68C04642671F}">
      <dgm:prSet/>
      <dgm:spPr/>
      <dgm:t>
        <a:bodyPr/>
        <a:lstStyle/>
        <a:p>
          <a:endParaRPr lang="en-US"/>
        </a:p>
      </dgm:t>
    </dgm:pt>
    <dgm:pt modelId="{8B57AAA9-D801-4AE9-8893-46B49201F551}">
      <dgm:prSet phldrT="[Text]"/>
      <dgm:spPr/>
      <dgm:t>
        <a:bodyPr/>
        <a:lstStyle/>
        <a:p>
          <a:r>
            <a:rPr lang="en-US" dirty="0"/>
            <a:t>Metal cans</a:t>
          </a:r>
        </a:p>
      </dgm:t>
    </dgm:pt>
    <dgm:pt modelId="{61A28CC5-DA68-4093-A69A-419DF7A685FE}" type="parTrans" cxnId="{4C6CB502-C78A-4031-B3B4-8E7C907ECAAD}">
      <dgm:prSet/>
      <dgm:spPr/>
      <dgm:t>
        <a:bodyPr/>
        <a:lstStyle/>
        <a:p>
          <a:endParaRPr lang="en-US"/>
        </a:p>
      </dgm:t>
    </dgm:pt>
    <dgm:pt modelId="{075EA669-9B4C-4928-A1B1-6A7AFB41125C}" type="sibTrans" cxnId="{4C6CB502-C78A-4031-B3B4-8E7C907ECAAD}">
      <dgm:prSet/>
      <dgm:spPr/>
      <dgm:t>
        <a:bodyPr/>
        <a:lstStyle/>
        <a:p>
          <a:endParaRPr lang="en-US"/>
        </a:p>
      </dgm:t>
    </dgm:pt>
  </dgm:ptLst>
  <dgm:cxnLst>
    <dgm:cxn modelId="{84FDB982-44A1-4664-8598-87F97AD2548F}" srcId="{E9E28A81-E155-44B8-AB88-4A0FA4D8DDD7}" destId="{4D714AA1-1C9A-4A45-979C-0EB0584DD073}" srcOrd="0" destOrd="0" parTransId="{75FD102E-1DB2-49DD-A391-9A90C8E56FD4}" sibTransId="{BCD6C153-0112-4EE4-A8EB-CF40B69E1B54}"/>
    <dgm:cxn modelId="{67FD1386-6F77-4811-90C2-48FC69CA1CB8}" srcId="{E9E28A81-E155-44B8-AB88-4A0FA4D8DDD7}" destId="{6EB8C820-6B99-4264-A76E-B325F4DF61CF}" srcOrd="1" destOrd="0" parTransId="{C15B7485-49D4-4911-8E62-B57B59431AE3}" sibTransId="{999FEDD7-FCAF-4ACC-AB75-5113244A93EB}"/>
    <dgm:cxn modelId="{66B2910E-0C9E-4B79-B452-68C04642671F}" srcId="{E9E28A81-E155-44B8-AB88-4A0FA4D8DDD7}" destId="{74E669C3-85A1-4D90-BA75-6FC2B0DED754}" srcOrd="2" destOrd="0" parTransId="{C528C893-9220-480C-AC49-42B68BC95907}" sibTransId="{9E773E1D-EF6B-4D54-B701-C1E001FE8919}"/>
    <dgm:cxn modelId="{4C6CB502-C78A-4031-B3B4-8E7C907ECAAD}" srcId="{E9E28A81-E155-44B8-AB88-4A0FA4D8DDD7}" destId="{8B57AAA9-D801-4AE9-8893-46B49201F551}" srcOrd="3" destOrd="0" parTransId="{61A28CC5-DA68-4093-A69A-419DF7A685FE}" sibTransId="{075EA669-9B4C-4928-A1B1-6A7AFB41125C}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4D714AA1-1C9A-4A45-979C-0EB0584DD073}">
      <dsp:nvSpPr>
        <dsp:cNvPr id="0" name=""/>
        <dsp:cNvSpPr/>
      </dsp:nvSpPr>
      <dsp:spPr>
        <a:xfrm>
          <a:off x="2322576" y="-21945"/>
          <a:ext cx="658368" cy="658368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Paper</a:t>
          </a:r>
        </a:p>
      </dsp:txBody>
      <dsp:txXfrm>
        <a:off x="2322576" y="-21945"/>
        <a:ext cx="658368" cy="658368"/>
      </dsp:txXfrm>
    </dsp:sp>
    <dsp:sp modelId="{6EB8C820-6B99-4264-A76E-B325F4DF61CF}">
      <dsp:nvSpPr>
        <dsp:cNvPr id="0" name=""/>
        <dsp:cNvSpPr/>
      </dsp:nvSpPr>
      <dsp:spPr>
        <a:xfrm>
          <a:off x="3112617" y="768096"/>
          <a:ext cx="658368" cy="658368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Cardboard</a:t>
          </a:r>
        </a:p>
      </dsp:txBody>
      <dsp:txXfrm>
        <a:off x="3112617" y="768096"/>
        <a:ext cx="658368" cy="658368"/>
      </dsp:txXfrm>
    </dsp:sp>
    <dsp:sp modelId="{74E669C3-85A1-4D90-BA75-6FC2B0DED754}">
      <dsp:nvSpPr>
        <dsp:cNvPr id="0" name=""/>
        <dsp:cNvSpPr/>
      </dsp:nvSpPr>
      <dsp:spPr>
        <a:xfrm>
          <a:off x="2322576" y="1558137"/>
          <a:ext cx="658368" cy="658368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Glass bottles</a:t>
          </a:r>
        </a:p>
      </dsp:txBody>
      <dsp:txXfrm>
        <a:off x="2322576" y="1558137"/>
        <a:ext cx="658368" cy="658368"/>
      </dsp:txXfrm>
    </dsp:sp>
    <dsp:sp modelId="{8B57AAA9-D801-4AE9-8893-46B49201F551}">
      <dsp:nvSpPr>
        <dsp:cNvPr id="0" name=""/>
        <dsp:cNvSpPr/>
      </dsp:nvSpPr>
      <dsp:spPr>
        <a:xfrm>
          <a:off x="1532534" y="768096"/>
          <a:ext cx="658368" cy="658368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Metal cans</a:t>
          </a:r>
        </a:p>
      </dsp:txBody>
      <dsp:txXfrm>
        <a:off x="1532534" y="768096"/>
        <a:ext cx="658368" cy="65836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cycle2">
  <dgm:title val=""/>
  <dgm:desc val=""/>
  <dgm:catLst>
    <dgm:cat type="cycle" pri="1000"/>
    <dgm:cat type="convert" pri="10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  <dgm:pt modelId="3"/>
      </dgm:ptLst>
      <dgm:cxnLst>
        <dgm:cxn modelId="4" srcId="0" destId="1" srcOrd="0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cycle">
    <dgm:varLst>
      <dgm:dir/>
      <dgm:resizeHandles val="exact"/>
    </dgm:varLst>
    <dgm:choose name="Name0">
      <dgm:if name="Name1" func="var" arg="dir" op="equ" val="norm">
        <dgm:choose name="Name2">
          <dgm:if name="Name3" axis="ch" ptType="node" func="cnt" op="gt" val="2">
            <dgm:alg type="cycle">
              <dgm:param type="stAng" val="0"/>
              <dgm:param type="spanAng" val="360"/>
            </dgm:alg>
          </dgm:if>
          <dgm:else name="Name4">
            <dgm:alg type="cycle">
              <dgm:param type="stAng" val="-90"/>
              <dgm:param type="spanAng" val="360"/>
            </dgm:alg>
          </dgm:else>
        </dgm:choose>
      </dgm:if>
      <dgm:else name="Name5">
        <dgm:choose name="Name6">
          <dgm:if name="Name7" axis="ch" ptType="node" func="cnt" op="gt" val="2">
            <dgm:alg type="cycle">
              <dgm:param type="stAng" val="0"/>
              <dgm:param type="spanAng" val="-360"/>
            </dgm:alg>
          </dgm:if>
          <dgm:else name="Name8">
            <dgm:alg type="cycle">
              <dgm:param type="stAng" val="90"/>
              <dgm:param type="spanAng" val="-360"/>
            </dgm:alg>
          </dgm:else>
        </dgm:choose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w" for="ch" ptType="sibTrans" refType="w" refFor="ch" refPtType="node" op="equ" fact="0.25"/>
      <dgm:constr type="sibSp" refType="w" refFor="ch" refPtType="node" fact="0.5"/>
      <dgm:constr type="primFontSz" for="ch" ptType="node" op="equ" val="65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>
          <dgm:param type="txAnchorVertCh" val="mid"/>
        </dgm:alg>
        <dgm:shape xmlns:r="http://schemas.openxmlformats.org/officeDocument/2006/relationships" type="ellipse" r:blip="">
          <dgm:adjLst/>
        </dgm:shape>
        <dgm:presOf axis="desOrSelf" ptType="node"/>
        <dgm:constrLst>
          <dgm:constr type="h" refType="w"/>
          <dgm:constr type="lMarg" refType="primFontSz" fact="0.1"/>
          <dgm:constr type="rMarg" refType="primFontSz" fact="0.1"/>
          <dgm:constr type="tMarg" refType="primFontSz" fact="0.1"/>
          <dgm:constr type="bMarg" refType="primFontSz" fact="0.1"/>
        </dgm:constrLst>
        <dgm:ruleLst>
          <dgm:rule type="primFontSz" val="5" fact="NaN" max="NaN"/>
        </dgm:ruleLst>
      </dgm:layoutNode>
      <dgm:choose name="Name9">
        <dgm:if name="Name10" axis="par ch" ptType="doc node" func="cnt" op="gt" val="1">
          <dgm:forEach name="sibTransForEach" axis="followSib" ptType="sibTrans" hideLastTrans="0" cnt="1">
            <dgm:layoutNode name="sibTrans">
              <dgm:choose name="Name11">
                <dgm:if name="Name12" axis="par ch" ptType="doc node" func="cnt" op="lt" val="3">
                  <dgm:alg type="conn">
                    <dgm:param type="begPts" val="radial"/>
                    <dgm:param type="endPts" val="radial"/>
                  </dgm:alg>
                </dgm:if>
                <dgm:else name="Name13">
                  <dgm:alg type="conn">
                    <dgm:param type="begPts" val="auto"/>
                    <dgm:param type="endPts" val="auto"/>
                  </dgm:alg>
                </dgm:else>
              </dgm:choose>
              <dgm:shape xmlns:r="http://schemas.openxmlformats.org/officeDocument/2006/relationships" type="conn" r:blip="">
                <dgm:adjLst/>
              </dgm:shape>
              <dgm:presOf axis="self"/>
              <dgm:constrLst>
                <dgm:constr type="h" refType="w" fact="1.35"/>
                <dgm:constr type="connDist"/>
                <dgm:constr type="w" for="ch" refType="connDist" fact="0.45"/>
                <dgm:constr type="h" for="ch" refType="h"/>
              </dgm:constrLst>
              <dgm:ruleLst/>
              <dgm:layoutNode name="connectorText">
                <dgm:alg type="tx">
                  <dgm:param type="autoTxRot" val="grav"/>
                </dgm:alg>
                <dgm:shape xmlns:r="http://schemas.openxmlformats.org/officeDocument/2006/relationships" type="conn" r:blip="" hideGeom="1">
                  <dgm:adjLst/>
                </dgm:shape>
                <dgm:presOf axis="self"/>
                <dgm:constrLst>
                  <dgm:constr type="lMarg"/>
                  <dgm:constr type="rMarg"/>
                  <dgm:constr type="tMarg"/>
                  <dgm:constr type="bMarg"/>
                </dgm:constrLst>
                <dgm:ruleLst>
                  <dgm:rule type="primFontSz" val="5" fact="NaN" max="NaN"/>
                </dgm:ruleLst>
              </dgm:layoutNode>
            </dgm:layoutNode>
          </dgm:forEach>
        </dgm:if>
        <dgm:else name="Name14"/>
      </dgm:choos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Recycling Made Simple</dc:title>
  <dc:subject/>
  <dc:creator>Nguyen Van An</dc:creator>
  <cp:keywords/>
  <dc:description/>
  <cp:lastModifiedBy>Nguyen Van An</cp:lastModifiedBy>
  <cp:revision>1</cp:revision>
  <dcterms:created xsi:type="dcterms:W3CDTF">2026-09-01T08:00:00Z</dcterms:created>
  <dcterms:modified xsi:type="dcterms:W3CDTF">2026-09-20T09:00:00Z</dcterms:modified>
  <cp:category/>
</cp:coreProperties>
</file>