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omments.xml" ContentType="application/vnd.openxmlformats-officedocument.wordprocessingml.comment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1F3864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A5AFC1"/>
                <w:sz w:val="18"/>
              </w:rPr>
              <w:t>CUSTOMER BROCHURE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Choosing the Right Account</w:t>
            </w:r>
          </w:p>
          <w:p>
            <w:r>
              <w:rPr>
                <w:i/>
                <w:color w:val="C7CDD8"/>
                <w:sz w:val="24"/>
              </w:rPr>
              <w:t>Mekong Trust Bank – Can Tho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Welcome</w:t>
      </w:r>
    </w:p>
    <w:p>
      <w:r xmlns:a="http://schemas.openxmlformats.org/drawingml/2006/main">
        <w:t xml:space="preserve">Mekong Trust Bank offers accounts for students, families, and small businesses. This brochure helps you compare the options and choose the account that fits your needs.</w:t>
      </w:r>
    </w:p>
    <w:p>
      <w:r xmlns:a="http://schemas.openxmlformats.org/drawingml/2006/main">
        <w:t xml:space="preserve">Our advisors are available in every branch to answer questions and help you open an account in less than twenty minutes.</w:t>
      </w:r>
    </w:p>
    <w:p>
      <w:pPr>
        <w:pStyle w:val="Heading1"/>
      </w:pPr>
      <w:r xmlns:a="http://schemas.openxmlformats.org/drawingml/2006/main">
        <w:t xml:space="preserve">Checking Account</w:t>
      </w:r>
    </w:p>
    <w:p>
      <w:r xmlns:a="http://schemas.openxmlformats.org/drawingml/2006/main">
        <w:t xml:space="preserve">A checking account is ideal for everyday spending. You receive a debit card, free mobile banking, and unlimited transfers between your own accounts.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DE1E7"/>
                        </a:solidFill>
                        <a:ln w="12700">
                          <a:solidFill>
                            <a:srgbClr val="DDE1E7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1F3864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3864"/>
                                <w:sz w:val="28"/>
                              </w:rPr>
                              <w:t xml:space="preserve">Tip: Free debit card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There is no minimum balance for customers under 25 years old, which makes this account popular with university students.</w:t>
      </w:r>
    </w:p>
    <w:p>
      <w:pPr>
        <w:pStyle w:val="Heading1"/>
      </w:pPr>
      <w:r xmlns:a="http://schemas.openxmlformats.org/drawingml/2006/main">
        <w:t xml:space="preserve">Savings Account</w:t>
      </w:r>
    </w:p>
    <w:p>
      <w:r xmlns:a="http://schemas.openxmlformats.org/drawingml/2006/main">
        <w:t xml:space="preserve">A savings account helps you reach long-term goals. Interest is calculated daily and paid into your account at the end of each month.</w:t>
      </w:r>
    </w:p>
    <w:p>
      <w:r xmlns:a="http://schemas.openxmlformats.org/drawingml/2006/main">
        <w:t xml:space="preserve">You can set up automatic transfers from your checking account so that saving becomes a regular habit.</w:t>
      </w:r>
    </w:p>
    <w:p>
      <w:pPr>
        <w:pStyle w:val="Heading1"/>
      </w:pPr>
      <w:r xmlns:a="http://schemas.openxmlformats.org/drawingml/2006/main">
        <w:t xml:space="preserve">Banking Fees</w:t>
      </w:r>
    </w:p>
    <w:p>
      <w:r xmlns:a="http://schemas.openxmlformats.org/drawingml/2006/main">
        <w:t xml:space="preserve">Mekong Trust Bank keeps fees low and transparent. The list below shows the most common service charges for personal accounts.</w:t>
      </w:r>
    </w:p>
    <w:p>
      <w:r xmlns:a="http://schemas.openxmlformats.org/drawingml/2006/main">
        <w:t xml:space="preserve">Fees are reviewed every year, and customers receive a notice at least thirty days before any </w:t>
      </w:r>
      <w:commentRangeStart w:id="0"/>
      <w:r>
        <w:t>change takes</w:t>
      </w:r>
      <w:commentRangeEnd w:id="0"/>
      <w:r>
        <w:rPr>
          <w:rStyle w:val="CommentReference"/>
        </w:rPr>
        <w:commentReference w:id="0"/>
      </w:r>
      <w:r xmlns:a="http://schemas.openxmlformats.org/drawingml/2006/main">
        <w:t xml:space="preserve"> effect.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Bank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Fast and Convenient</w:t>
      </w:r>
    </w:p>
    <w:p>
      <w:r xmlns:a="http://schemas.openxmlformats.org/drawingml/2006/main">
        <w:t xml:space="preserve">Customers with a balance above $5,000 receive free international transfers and priority service at every branch.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5002" name="Picture 5002" descr="Mekong Trust Bank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k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Mekong Trust Bank</w:t>
      </w:r>
    </w:p>
    <w:p>
      <w:r xmlns:a="http://schemas.openxmlformats.org/drawingml/2006/main">
        <w:t xml:space="preserve">The mobile app lets you pay bills, deposit checks, and lock your card instantly if it is lost.</w:t>
      </w:r>
    </w:p>
    <w:p>
      <w:pPr>
        <w:pStyle w:val="Heading1"/>
      </w:pPr>
      <w:r xmlns:a="http://schemas.openxmlformats.org/drawingml/2006/main">
        <w:t xml:space="preserve">Contact Us</w:t>
      </w:r>
    </w:p>
    <w:p>
      <w:r xmlns:a="http://schemas.openxmlformats.org/drawingml/2006/main">
        <w:t xml:space="preserve">Visit any branch from Monday to Saturday or call our national helpline at any time. Mekong Trust Bank is always ready to help.</w:t>
      </w:r>
    </w:p>
    <w:p>
      <w:r xmlns:a="http://schemas.openxmlformats.org/drawingml/2006/main">
        <w:t xml:space="preserve">You can also send a secure message through online banking and receive a reply within one business day.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1F3864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3120"/>
            <w:shd w:val="clear" w:color="auto" w:fill="1F3864"/>
          </w:tcPr>
          <w:p>
            <w:r>
              <w:rPr>
                <w:b/>
                <w:color w:val="FFFFFF"/>
              </w:rPr>
              <w:t>Account type</w:t>
            </w:r>
          </w:p>
        </w:tc>
        <w:tc>
          <w:tcPr>
            <w:tcW w:type="dxa" w:w="3120"/>
            <w:shd w:val="clear" w:color="auto" w:fill="1F3864"/>
          </w:tcPr>
          <w:p>
            <w:r>
              <w:rPr>
                <w:b/>
                <w:color w:val="FFFFFF"/>
              </w:rPr>
              <w:t>Fee ($)</w:t>
            </w:r>
          </w:p>
        </w:tc>
      </w:tr>
      <w:tr>
        <w:tc>
          <w:tcPr>
            <w:tcW w:type="dxa" w:w="3120"/>
          </w:tcPr>
          <w:p>
            <w:r>
              <w:t>Card replacement</w:t>
            </w:r>
          </w:p>
        </w:tc>
        <w:tc>
          <w:tcPr>
            <w:tcW w:type="dxa" w:w="3120"/>
          </w:tcPr>
          <w:p>
            <w:r>
              <w:t>Checking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3120"/>
            <w:shd w:val="clear" w:color="auto" w:fill="E4E7EC"/>
          </w:tcPr>
          <w:p>
            <w:r>
              <w:t>Paper statement</w:t>
            </w:r>
          </w:p>
        </w:tc>
        <w:tc>
          <w:tcPr>
            <w:tcW w:type="dxa" w:w="3120"/>
            <w:shd w:val="clear" w:color="auto" w:fill="E4E7EC"/>
          </w:tcPr>
          <w:p>
            <w:r>
              <w:t>Savings</w:t>
            </w:r>
          </w:p>
        </w:tc>
        <w:tc>
          <w:tcPr>
            <w:tcW w:type="dxa" w:w="3120"/>
            <w:shd w:val="clear" w:color="auto" w:fill="E4E7EC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3120"/>
          </w:tcPr>
          <w:p>
            <w:r>
              <w:t>Overdraft</w:t>
            </w:r>
          </w:p>
        </w:tc>
        <w:tc>
          <w:tcPr>
            <w:tcW w:type="dxa" w:w="3120"/>
          </w:tcPr>
          <w:p>
            <w:r>
              <w:t>Checking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15</w:t>
            </w:r>
          </w:p>
        </w:tc>
      </w:tr>
      <w:tr>
        <w:tc>
          <w:tcPr>
            <w:tcW w:type="dxa" w:w="3120"/>
            <w:shd w:val="clear" w:color="auto" w:fill="E4E7EC"/>
          </w:tcPr>
          <w:p>
            <w:r>
              <w:t>Wire transfer</w:t>
            </w:r>
          </w:p>
        </w:tc>
        <w:tc>
          <w:tcPr>
            <w:tcW w:type="dxa" w:w="3120"/>
            <w:shd w:val="clear" w:color="auto" w:fill="E4E7EC"/>
          </w:tcPr>
          <w:p>
            <w:r>
              <w:t>Business</w:t>
            </w:r>
          </w:p>
        </w:tc>
        <w:tc>
          <w:tcPr>
            <w:tcW w:type="dxa" w:w="3120"/>
            <w:shd w:val="clear" w:color="auto" w:fill="E4E7EC"/>
          </w:tcPr>
          <w:p>
            <w:pPr>
              <w:jc w:val="right"/>
            </w:pPr>
            <w:r>
              <w:t>20</w:t>
            </w:r>
          </w:p>
        </w:tc>
      </w:tr>
      <w:tr>
        <w:tc>
          <w:tcPr>
            <w:tcW w:type="dxa" w:w="3120"/>
          </w:tcPr>
          <w:p>
            <w:r>
              <w:t>Stop payment</w:t>
            </w:r>
          </w:p>
        </w:tc>
        <w:tc>
          <w:tcPr>
            <w:tcW w:type="dxa" w:w="3120"/>
          </w:tcPr>
          <w:p>
            <w:r>
              <w:t>Checking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3120"/>
            <w:shd w:val="clear" w:color="auto" w:fill="E4E7EC"/>
          </w:tcPr>
          <w:p>
            <w:r>
              <w:t>Account closing</w:t>
            </w:r>
          </w:p>
        </w:tc>
        <w:tc>
          <w:tcPr>
            <w:tcW w:type="dxa" w:w="3120"/>
            <w:shd w:val="clear" w:color="auto" w:fill="E4E7EC"/>
          </w:tcPr>
          <w:p>
            <w:r>
              <w:t>Savings</w:t>
            </w:r>
          </w:p>
        </w:tc>
        <w:tc>
          <w:tcPr>
            <w:tcW w:type="dxa" w:w="3120"/>
            <w:shd w:val="clear" w:color="auto" w:fill="E4E7EC"/>
          </w:tcPr>
          <w:p>
            <w:pPr>
              <w:jc w:val="right"/>
            </w:pPr>
            <w:r>
              <w:t>0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fee ($) by service"/>
            <wp:cNvGraphicFramePr/>
            <a:graphic>
              <a:graphicData uri="http://schemas.openxmlformats.org/drawingml/2006/chart">
                <c:chart r:id="rId16"/>
              </a:graphicData>
            </a:graphic>
          </wp:inline>
        </w:drawing>
      </w:r>
    </w:p>
    <w:p/>
    <w:sectPr w:rsidR="00FC693F" w:rsidRPr="0006063C" w:rsidSect="00034616">
      <w:headerReference w:type="default" r:id="rId17"/>
      <w:footerReference w:type="defaul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Tran Thi Mai" w:initials="TM" w:date="2026-09-25T13:27:33Z">
    <w:p>
      <w:pPr>
        <w:pStyle w:val="CommentText"/>
      </w:pPr>
      <w:r>
        <w:rPr>
          <w:rStyle w:val="CommentReference"/>
        </w:rPr>
        <w:annotationRef/>
      </w:r>
      <w:r>
        <w:t>Is this correct?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Prepared by the Mekong Trust Bank team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Mekong Trust Bank – Internal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image" Target="media/image1.png"/><Relationship Id="rId16" Type="http://schemas.openxmlformats.org/officeDocument/2006/relationships/chart" Target="charts/chart1.xml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Fee ($) by Service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solidFill>
              <a:srgbClr val="1F3864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Card replacement</c:v>
                </c:pt>
                <c:pt idx="1">
                  <c:v>Paper statement</c:v>
                </c:pt>
                <c:pt idx="2">
                  <c:v>Overdraft</c:v>
                </c:pt>
                <c:pt idx="3">
                  <c:v>Wire transfer</c:v>
                </c:pt>
                <c:pt idx="4">
                  <c:v>Stop payment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4.7</c:v>
                </c:pt>
                <c:pt idx="1">
                  <c:v>1.7</c:v>
                </c:pt>
                <c:pt idx="2">
                  <c:v>13.6</c:v>
                </c:pt>
                <c:pt idx="3">
                  <c:v>17.0</c:v>
                </c:pt>
                <c:pt idx="4">
                  <c:v>9.3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solidFill>
              <a:srgbClr val="ED7D3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Card replacement</c:v>
                </c:pt>
                <c:pt idx="1">
                  <c:v>Paper statement</c:v>
                </c:pt>
                <c:pt idx="2">
                  <c:v>Overdraft</c:v>
                </c:pt>
                <c:pt idx="3">
                  <c:v>Wire transfer</c:v>
                </c:pt>
                <c:pt idx="4">
                  <c:v>Stop payment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5.0</c:v>
                </c:pt>
                <c:pt idx="1">
                  <c:v>2.0</c:v>
                </c:pt>
                <c:pt idx="2">
                  <c:v>15.0</c:v>
                </c:pt>
                <c:pt idx="3">
                  <c:v>20.0</c:v>
                </c:pt>
                <c:pt idx="4">
                  <c:v>10.0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E8CBAF9-DE5C-467F-949F-0EDA07F051F5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D0069DCA-24B5-4F2E-B0AA-080E32DCDA47}">
      <dgm:prSet phldrT="[Text]"/>
      <dgm:spPr/>
      <dgm:t>
        <a:bodyPr/>
        <a:lstStyle/>
        <a:p>
          <a:r>
            <a:rPr lang="en-US" dirty="0"/>
            <a:t>Free debit card</a:t>
          </a:r>
        </a:p>
      </dgm:t>
    </dgm:pt>
    <dgm:pt modelId="{FAF903C3-3412-452F-9015-D482D65845B2}" type="parTrans" cxnId="{E1BB7596-B45F-4CB5-AFBA-DF45108EB908}">
      <dgm:prSet/>
      <dgm:spPr/>
      <dgm:t>
        <a:bodyPr/>
        <a:lstStyle/>
        <a:p>
          <a:endParaRPr lang="en-US"/>
        </a:p>
      </dgm:t>
    </dgm:pt>
    <dgm:pt modelId="{6747102A-DB4F-4CB6-86BB-F6B812B30A50}" type="sibTrans" cxnId="{E1BB7596-B45F-4CB5-AFBA-DF45108EB908}">
      <dgm:prSet/>
      <dgm:spPr/>
      <dgm:t>
        <a:bodyPr/>
        <a:lstStyle/>
        <a:p>
          <a:endParaRPr lang="en-US"/>
        </a:p>
      </dgm:t>
    </dgm:pt>
    <dgm:pt modelId="{DB3FE343-E953-4444-8C70-0DF110CDD42A}">
      <dgm:prSet phldrT="[Text]"/>
      <dgm:spPr/>
      <dgm:t>
        <a:bodyPr/>
        <a:lstStyle/>
        <a:p>
          <a:r>
            <a:rPr lang="en-US" dirty="0"/>
            <a:t>Mobile banking</a:t>
          </a:r>
        </a:p>
      </dgm:t>
    </dgm:pt>
    <dgm:pt modelId="{CC0ECBAC-9538-42FF-A75B-66D80D243F87}" type="parTrans" cxnId="{8548A7C1-48D9-48CE-B8AF-36BB84D84F68}">
      <dgm:prSet/>
      <dgm:spPr/>
      <dgm:t>
        <a:bodyPr/>
        <a:lstStyle/>
        <a:p>
          <a:endParaRPr lang="en-US"/>
        </a:p>
      </dgm:t>
    </dgm:pt>
    <dgm:pt modelId="{B2857FD4-AD29-49BF-9DB9-9BE48098AFC7}" type="sibTrans" cxnId="{8548A7C1-48D9-48CE-B8AF-36BB84D84F68}">
      <dgm:prSet/>
      <dgm:spPr/>
      <dgm:t>
        <a:bodyPr/>
        <a:lstStyle/>
        <a:p>
          <a:endParaRPr lang="en-US"/>
        </a:p>
      </dgm:t>
    </dgm:pt>
    <dgm:pt modelId="{0563EE24-F720-4570-9F2F-2AF5D28E8C23}">
      <dgm:prSet phldrT="[Text]"/>
      <dgm:spPr/>
      <dgm:t>
        <a:bodyPr/>
        <a:lstStyle/>
        <a:p>
          <a:r>
            <a:rPr lang="en-US" dirty="0"/>
            <a:t>Daily interest</a:t>
          </a:r>
        </a:p>
      </dgm:t>
    </dgm:pt>
    <dgm:pt modelId="{4FCCCE95-723E-49A0-B554-5709E63573B2}" type="parTrans" cxnId="{87F4BD69-495D-415A-955A-CFDF02CD1C85}">
      <dgm:prSet/>
      <dgm:spPr/>
      <dgm:t>
        <a:bodyPr/>
        <a:lstStyle/>
        <a:p>
          <a:endParaRPr lang="en-US"/>
        </a:p>
      </dgm:t>
    </dgm:pt>
    <dgm:pt modelId="{1A9964E8-7F70-46A7-9F3E-69CED2B93428}" type="sibTrans" cxnId="{87F4BD69-495D-415A-955A-CFDF02CD1C85}">
      <dgm:prSet/>
      <dgm:spPr/>
      <dgm:t>
        <a:bodyPr/>
        <a:lstStyle/>
        <a:p>
          <a:endParaRPr lang="en-US"/>
        </a:p>
      </dgm:t>
    </dgm:pt>
    <dgm:pt modelId="{9CF70507-AF48-42B9-B65B-0A06E5372F39}">
      <dgm:prSet phldrT="[Text]"/>
      <dgm:spPr/>
      <dgm:t>
        <a:bodyPr/>
        <a:lstStyle/>
        <a:p>
          <a:r>
            <a:rPr lang="en-US" dirty="0"/>
            <a:t>Automatic transfers</a:t>
          </a:r>
        </a:p>
      </dgm:t>
    </dgm:pt>
    <dgm:pt modelId="{64ADBC94-0FB9-4638-8F53-06EE4ED9C358}" type="parTrans" cxnId="{4594CC4D-D3CD-404B-BA28-1D4809A08B4F}">
      <dgm:prSet/>
      <dgm:spPr/>
      <dgm:t>
        <a:bodyPr/>
        <a:lstStyle/>
        <a:p>
          <a:endParaRPr lang="en-US"/>
        </a:p>
      </dgm:t>
    </dgm:pt>
    <dgm:pt modelId="{F6C0FEB3-478C-4577-8B9D-7850585D7EE4}" type="sibTrans" cxnId="{4594CC4D-D3CD-404B-BA28-1D4809A08B4F}">
      <dgm:prSet/>
      <dgm:spPr/>
      <dgm:t>
        <a:bodyPr/>
        <a:lstStyle/>
        <a:p>
          <a:endParaRPr lang="en-US"/>
        </a:p>
      </dgm:t>
    </dgm:pt>
    <dgm:pt modelId="{9053E20F-591A-44F9-B784-37E69516E61A}">
      <dgm:prSet phldrT="[Text]"/>
      <dgm:spPr/>
      <dgm:t>
        <a:bodyPr/>
        <a:lstStyle/>
        <a:p>
          <a:r>
            <a:rPr lang="en-US" dirty="0"/>
            <a:t>Priority service</a:t>
          </a:r>
        </a:p>
      </dgm:t>
    </dgm:pt>
    <dgm:pt modelId="{7BC816CA-94B7-4658-BF71-3C56A1211F0D}" type="parTrans" cxnId="{A550406E-5343-489C-B084-2183F6C58D5D}">
      <dgm:prSet/>
      <dgm:spPr/>
      <dgm:t>
        <a:bodyPr/>
        <a:lstStyle/>
        <a:p>
          <a:endParaRPr lang="en-US"/>
        </a:p>
      </dgm:t>
    </dgm:pt>
    <dgm:pt modelId="{CB93F2D5-7A12-45E7-B714-84DB4D1E2017}" type="sibTrans" cxnId="{A550406E-5343-489C-B084-2183F6C58D5D}">
      <dgm:prSet/>
      <dgm:spPr/>
      <dgm:t>
        <a:bodyPr/>
        <a:lstStyle/>
        <a:p>
          <a:endParaRPr lang="en-US"/>
        </a:p>
      </dgm:t>
    </dgm:pt>
  </dgm:ptLst>
  <dgm:cxnLst>
    <dgm:cxn modelId="{E1BB7596-B45F-4CB5-AFBA-DF45108EB908}" srcId="{5E8CBAF9-DE5C-467F-949F-0EDA07F051F5}" destId="{D0069DCA-24B5-4F2E-B0AA-080E32DCDA47}" srcOrd="0" destOrd="0" parTransId="{FAF903C3-3412-452F-9015-D482D65845B2}" sibTransId="{6747102A-DB4F-4CB6-86BB-F6B812B30A50}"/>
    <dgm:cxn modelId="{8548A7C1-48D9-48CE-B8AF-36BB84D84F68}" srcId="{5E8CBAF9-DE5C-467F-949F-0EDA07F051F5}" destId="{DB3FE343-E953-4444-8C70-0DF110CDD42A}" srcOrd="1" destOrd="0" parTransId="{CC0ECBAC-9538-42FF-A75B-66D80D243F87}" sibTransId="{B2857FD4-AD29-49BF-9DB9-9BE48098AFC7}"/>
    <dgm:cxn modelId="{87F4BD69-495D-415A-955A-CFDF02CD1C85}" srcId="{5E8CBAF9-DE5C-467F-949F-0EDA07F051F5}" destId="{0563EE24-F720-4570-9F2F-2AF5D28E8C23}" srcOrd="2" destOrd="0" parTransId="{4FCCCE95-723E-49A0-B554-5709E63573B2}" sibTransId="{1A9964E8-7F70-46A7-9F3E-69CED2B93428}"/>
    <dgm:cxn modelId="{4594CC4D-D3CD-404B-BA28-1D4809A08B4F}" srcId="{5E8CBAF9-DE5C-467F-949F-0EDA07F051F5}" destId="{9CF70507-AF48-42B9-B65B-0A06E5372F39}" srcOrd="3" destOrd="0" parTransId="{64ADBC94-0FB9-4638-8F53-06EE4ED9C358}" sibTransId="{F6C0FEB3-478C-4577-8B9D-7850585D7EE4}"/>
    <dgm:cxn modelId="{A550406E-5343-489C-B084-2183F6C58D5D}" srcId="{5E8CBAF9-DE5C-467F-949F-0EDA07F051F5}" destId="{9053E20F-591A-44F9-B784-37E69516E61A}" srcOrd="4" destOrd="0" parTransId="{7BC816CA-94B7-4658-BF71-3C56A1211F0D}" sibTransId="{CB93F2D5-7A12-45E7-B714-84DB4D1E2017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0069DCA-24B5-4F2E-B0AA-080E32DCDA47}">
      <dsp:nvSpPr>
        <dsp:cNvPr id="0" name=""/>
        <dsp:cNvSpPr/>
      </dsp:nvSpPr>
      <dsp:spPr>
        <a:xfrm>
          <a:off x="0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Free debit card</a:t>
          </a:r>
        </a:p>
      </dsp:txBody>
      <dsp:txXfrm>
        <a:off x="0" y="0"/>
        <a:ext cx="1661770" cy="997062"/>
      </dsp:txXfrm>
    </dsp:sp>
    <dsp:sp modelId="{DB3FE343-E953-4444-8C70-0DF110CDD42A}">
      <dsp:nvSpPr>
        <dsp:cNvPr id="0" name=""/>
        <dsp:cNvSpPr/>
      </dsp:nvSpPr>
      <dsp:spPr>
        <a:xfrm>
          <a:off x="1820875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Mobile banking</a:t>
          </a:r>
        </a:p>
      </dsp:txBody>
      <dsp:txXfrm>
        <a:off x="1820875" y="0"/>
        <a:ext cx="1661770" cy="997062"/>
      </dsp:txXfrm>
    </dsp:sp>
    <dsp:sp modelId="{0563EE24-F720-4570-9F2F-2AF5D28E8C23}">
      <dsp:nvSpPr>
        <dsp:cNvPr id="0" name=""/>
        <dsp:cNvSpPr/>
      </dsp:nvSpPr>
      <dsp:spPr>
        <a:xfrm>
          <a:off x="3641750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Daily interest</a:t>
          </a:r>
        </a:p>
      </dsp:txBody>
      <dsp:txXfrm>
        <a:off x="3641750" y="0"/>
        <a:ext cx="1661770" cy="997062"/>
      </dsp:txXfrm>
    </dsp:sp>
    <dsp:sp modelId="{9CF70507-AF48-42B9-B65B-0A06E5372F39}">
      <dsp:nvSpPr>
        <dsp:cNvPr id="0" name=""/>
        <dsp:cNvSpPr/>
      </dsp:nvSpPr>
      <dsp:spPr>
        <a:xfrm>
          <a:off x="0" y="1156167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Automatic transfers</a:t>
          </a:r>
        </a:p>
      </dsp:txBody>
      <dsp:txXfrm>
        <a:off x="0" y="1156167"/>
        <a:ext cx="1661770" cy="997062"/>
      </dsp:txXfrm>
    </dsp:sp>
    <dsp:sp modelId="{9053E20F-591A-44F9-B784-37E69516E61A}">
      <dsp:nvSpPr>
        <dsp:cNvPr id="0" name=""/>
        <dsp:cNvSpPr/>
      </dsp:nvSpPr>
      <dsp:spPr>
        <a:xfrm>
          <a:off x="1820875" y="1156167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Priority service</a:t>
          </a:r>
        </a:p>
      </dsp:txBody>
      <dsp:txXfrm>
        <a:off x="1820875" y="1156167"/>
        <a:ext cx="1661770" cy="99706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Choosing the Right Account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