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B9BD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DD7EE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Robotics Competition Handbook</w:t>
            </w:r>
          </w:p>
          <w:p>
            <w:r>
              <w:rPr>
                <w:i/>
                <w:color w:val="D6E6F4"/>
                <w:sz w:val="24"/>
              </w:rPr>
              <w:t>Future Makers Club – Hanoi</w:t>
            </w:r>
          </w:p>
        </w:tc>
      </w:tr>
    </w:tbl>
    <w:p/>
    <w:tbl>
      <w:tblPr>
        <w:tblW w:type="auto" w:w="0"/>
        <w:tblBorders>
          <w:top w:val="single" w:sz="4" w:space="0" w:color="ADCDEA"/>
          <w:left w:val="single" w:sz="4" w:space="0" w:color="ADCDEA"/>
          <w:bottom w:val="single" w:sz="4" w:space="0" w:color="ADCDEA"/>
          <w:right w:val="single" w:sz="4" w:space="0" w:color="ADCDEA"/>
          <w:insideH w:val="single" w:sz="4" w:space="0" w:color="ADCDEA"/>
          <w:insideV w:val="single" w:sz="4" w:space="0" w:color="ADCDEA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Department</w:t>
            </w:r>
          </w:p>
        </w:tc>
        <w:tc>
          <w:tcPr>
            <w:tcW w:type="dxa" w:w="6768"/>
          </w:tcPr>
          <w:p>
            <w:r>
              <w:t>Future Makers Club Training Team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Competition Overview</w:t>
      </w:r>
    </w:p>
    <w:p>
      <w:r xmlns:a="http://schemas.openxmlformats.org/drawingml/2006/main">
        <w:t xml:space="preserve">The Future Makers Club robotics competition challenges secondary school students to design, build, and program robots.</w:t>
      </w:r>
    </w:p>
    <w:p>
      <w:r xmlns:a="http://schemas.openxmlformats.org/drawingml/2006/main">
        <w:t xml:space="preserve">Teams of three to five students compete in regional and national rounds.</w:t>
      </w:r>
    </w:p>
    <w:p>
      <w:pPr>
        <w:pStyle w:val="Heading1"/>
      </w:pPr>
      <w:r xmlns:a="http://schemas.openxmlformats.org/drawingml/2006/main">
        <w:t xml:space="preserve">Robot Requirements</w:t>
      </w:r>
    </w:p>
    <w:p>
      <w:r xmlns:a="http://schemas.openxmlformats.org/drawingml/2006/main">
        <w:t xml:space="preserve">Robots must fit inside a 50 cm cube at the start of each match and weigh less than 10 kilograms.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12700">
                          <a:solidFill>
                            <a:srgbClr val="E6F0F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28"/>
                              </w:rPr>
                              <w:t xml:space="preserve">Tip: Design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Only approved motors, </w:t>
      </w:r>
      <w:commentRangeStart w:id="0"/>
      <w:r>
        <w:t>sensors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, and batteries may be used.</w:t>
      </w:r>
    </w:p>
    <w:p>
      <w:pPr>
        <w:pStyle w:val="Heading1"/>
      </w:pPr>
      <w:r xmlns:a="http://schemas.openxmlformats.org/drawingml/2006/main">
        <w:t xml:space="preserve">Game Rules</w:t>
      </w:r>
    </w:p>
    <w:p>
      <w:r xmlns:a="http://schemas.openxmlformats.org/drawingml/2006/main">
        <w:t xml:space="preserve">Each match lasts two and a half minutes. Robots score points by moving colored blocks into goal zones.</w:t>
      </w:r>
    </w:p>
    <w:p>
      <w:r xmlns:a="http://schemas.openxmlformats.org/drawingml/2006/main">
        <w:t xml:space="preserve">Referees may stop a robot that damages the field or other robots.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3120"/>
          </w:tcPr>
          <w:p>
            <w:r>
              <w:t>RoboLions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Circuit Kids</w:t>
            </w:r>
          </w:p>
        </w:tc>
        <w:tc>
          <w:tcPr>
            <w:tcW w:type="dxa" w:w="3120"/>
            <w:shd w:val="clear" w:color="auto" w:fill="EBF3F9"/>
          </w:tcPr>
          <w:p>
            <w:r>
              <w:t>South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204</w:t>
            </w:r>
          </w:p>
        </w:tc>
      </w:tr>
      <w:tr>
        <w:tc>
          <w:tcPr>
            <w:tcW w:type="dxa" w:w="3120"/>
          </w:tcPr>
          <w:p>
            <w:r>
              <w:t>Mekong Bots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175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Hue Hackers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198</w:t>
            </w:r>
          </w:p>
        </w:tc>
      </w:tr>
      <w:tr>
        <w:tc>
          <w:tcPr>
            <w:tcW w:type="dxa" w:w="3120"/>
          </w:tcPr>
          <w:p>
            <w:r>
              <w:t>Red River Tech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Ocean Coders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167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score by team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Judging</w:t>
      </w:r>
    </w:p>
    <w:p>
      <w:r xmlns:a="http://schemas.openxmlformats.org/drawingml/2006/main">
        <w:t xml:space="preserve">Judges award prizes for design, teamwork, programming, and innovation.</w:t>
      </w:r>
    </w:p>
    <w:p>
      <w:r xmlns:a="http://schemas.openxmlformats.org/drawingml/2006/main">
        <w:t xml:space="preserve">Teams must present an engineering notebook that records their work.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obotics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Safety</w:t>
      </w:r>
    </w:p>
    <w:p>
      <w:r xmlns:a="http://schemas.openxmlformats.org/drawingml/2006/main">
        <w:t xml:space="preserve">Students must wear safety glasses when using tools and handle batteries carefully.</w:t>
      </w:r>
    </w:p>
    <w:p>
      <w:r xmlns:a="http://schemas.openxmlformats.org/drawingml/2006/main">
        <w:t xml:space="preserve">Future Makers Club mentors check every robot before it enters the field.</w:t>
      </w:r>
    </w:p>
    <w:p>
      <w:pPr>
        <w:pStyle w:val="Heading1"/>
      </w:pPr>
      <w:r xmlns:a="http://schemas.openxmlformats.org/drawingml/2006/main">
        <w:t xml:space="preserve">Important Dates</w:t>
      </w:r>
    </w:p>
    <w:p>
      <w:r xmlns:a="http://schemas.openxmlformats.org/drawingml/2006/main">
        <w:t xml:space="preserve">Registration closes in October. Regional rounds take place in January and the national final in March.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Future Mak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a="http://schemas.openxmlformats.org/drawingml/2006/main">
        <w:t xml:space="preserve">Winning teams may be invited to an international event.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4Z">
    <w:p>
      <w:pPr>
        <w:pStyle w:val="CommentText"/>
      </w:pPr>
      <w:r>
        <w:rPr>
          <w:rStyle w:val="CommentReference"/>
        </w:rPr>
        <w:annotationRef/>
      </w:r>
      <w:r>
        <w:t>Update before printing.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Future Makers Club  |  Robotics Competition 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image" Target="media/image1.png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Score by Team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164.0</c:v>
                </c:pt>
                <c:pt idx="1">
                  <c:v>161.0</c:v>
                </c:pt>
                <c:pt idx="2">
                  <c:v>136.0</c:v>
                </c:pt>
                <c:pt idx="3">
                  <c:v>155.0</c:v>
                </c:pt>
                <c:pt idx="4">
                  <c:v>187.0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186.0</c:v>
                </c:pt>
                <c:pt idx="1">
                  <c:v>204.0</c:v>
                </c:pt>
                <c:pt idx="2">
                  <c:v>175.0</c:v>
                </c:pt>
                <c:pt idx="3">
                  <c:v>198.0</c:v>
                </c:pt>
                <c:pt idx="4">
                  <c:v>210.0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313ADBB-4F1D-4A88-82A7-DCD316256FFC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38CB6E2-385B-4812-B953-C4E0A277A997}">
      <dgm:prSet phldrT="[Text]"/>
      <dgm:spPr/>
      <dgm:t>
        <a:bodyPr/>
        <a:lstStyle/>
        <a:p>
          <a:r>
            <a:rPr lang="en-US" dirty="0"/>
            <a:t>Design</a:t>
          </a:r>
        </a:p>
      </dgm:t>
    </dgm:pt>
    <dgm:pt modelId="{5C4B7B51-A166-441F-BCA2-F557B5154F72}" type="parTrans" cxnId="{227E7912-4B3E-4A35-B7BA-4DC22EA43B72}">
      <dgm:prSet/>
      <dgm:spPr/>
      <dgm:t>
        <a:bodyPr/>
        <a:lstStyle/>
        <a:p>
          <a:endParaRPr lang="en-US"/>
        </a:p>
      </dgm:t>
    </dgm:pt>
    <dgm:pt modelId="{277E5360-34D1-4D25-B808-5960D1E2D63E}" type="sibTrans" cxnId="{227E7912-4B3E-4A35-B7BA-4DC22EA43B72}">
      <dgm:prSet/>
      <dgm:spPr/>
      <dgm:t>
        <a:bodyPr/>
        <a:lstStyle/>
        <a:p>
          <a:endParaRPr lang="en-US"/>
        </a:p>
      </dgm:t>
    </dgm:pt>
    <dgm:pt modelId="{40451703-CA9E-4AC0-BA4B-C3F6A70C6BE7}">
      <dgm:prSet phldrT="[Text]"/>
      <dgm:spPr/>
      <dgm:t>
        <a:bodyPr/>
        <a:lstStyle/>
        <a:p>
          <a:r>
            <a:rPr lang="en-US" dirty="0"/>
            <a:t>Build</a:t>
          </a:r>
        </a:p>
      </dgm:t>
    </dgm:pt>
    <dgm:pt modelId="{D1B3C4F9-7171-4723-A06E-F0EA69D12F38}" type="parTrans" cxnId="{B473D4C8-A2E7-449A-B4E3-E04A99290F9A}">
      <dgm:prSet/>
      <dgm:spPr/>
      <dgm:t>
        <a:bodyPr/>
        <a:lstStyle/>
        <a:p>
          <a:endParaRPr lang="en-US"/>
        </a:p>
      </dgm:t>
    </dgm:pt>
    <dgm:pt modelId="{F378B5AC-204C-48EF-9E6A-87A1EF37ECF8}" type="sibTrans" cxnId="{B473D4C8-A2E7-449A-B4E3-E04A99290F9A}">
      <dgm:prSet/>
      <dgm:spPr/>
      <dgm:t>
        <a:bodyPr/>
        <a:lstStyle/>
        <a:p>
          <a:endParaRPr lang="en-US"/>
        </a:p>
      </dgm:t>
    </dgm:pt>
    <dgm:pt modelId="{DF5EC184-DC2F-4D55-9C1E-DC0A0492A152}">
      <dgm:prSet phldrT="[Text]"/>
      <dgm:spPr/>
      <dgm:t>
        <a:bodyPr/>
        <a:lstStyle/>
        <a:p>
          <a:r>
            <a:rPr lang="en-US" dirty="0"/>
            <a:t>Program</a:t>
          </a:r>
        </a:p>
      </dgm:t>
    </dgm:pt>
    <dgm:pt modelId="{A6BD78F5-2F03-412E-B00D-058E54A60ADB}" type="parTrans" cxnId="{B76316BC-0901-46F6-B76A-54B4FCF55AA3}">
      <dgm:prSet/>
      <dgm:spPr/>
      <dgm:t>
        <a:bodyPr/>
        <a:lstStyle/>
        <a:p>
          <a:endParaRPr lang="en-US"/>
        </a:p>
      </dgm:t>
    </dgm:pt>
    <dgm:pt modelId="{70E572A2-F7CA-4673-8E9F-ED1FA846C81B}" type="sibTrans" cxnId="{B76316BC-0901-46F6-B76A-54B4FCF55AA3}">
      <dgm:prSet/>
      <dgm:spPr/>
      <dgm:t>
        <a:bodyPr/>
        <a:lstStyle/>
        <a:p>
          <a:endParaRPr lang="en-US"/>
        </a:p>
      </dgm:t>
    </dgm:pt>
    <dgm:pt modelId="{786933D0-51A7-4F08-80B1-6C5DB1C58C2C}">
      <dgm:prSet phldrT="[Text]"/>
      <dgm:spPr/>
      <dgm:t>
        <a:bodyPr/>
        <a:lstStyle/>
        <a:p>
          <a:r>
            <a:rPr lang="en-US" dirty="0"/>
            <a:t>Test</a:t>
          </a:r>
        </a:p>
      </dgm:t>
    </dgm:pt>
    <dgm:pt modelId="{33F437F1-440A-4D9D-B8E7-B677973D8755}" type="parTrans" cxnId="{CF67D22A-BA35-4676-8EDC-7BEB3B46069E}">
      <dgm:prSet/>
      <dgm:spPr/>
      <dgm:t>
        <a:bodyPr/>
        <a:lstStyle/>
        <a:p>
          <a:endParaRPr lang="en-US"/>
        </a:p>
      </dgm:t>
    </dgm:pt>
    <dgm:pt modelId="{EC2BD950-10B2-4597-90EB-7BED3F3C6447}" type="sibTrans" cxnId="{CF67D22A-BA35-4676-8EDC-7BEB3B46069E}">
      <dgm:prSet/>
      <dgm:spPr/>
      <dgm:t>
        <a:bodyPr/>
        <a:lstStyle/>
        <a:p>
          <a:endParaRPr lang="en-US"/>
        </a:p>
      </dgm:t>
    </dgm:pt>
    <dgm:pt modelId="{711FD653-F99D-4BCA-A1F3-7B535536B22B}">
      <dgm:prSet phldrT="[Text]"/>
      <dgm:spPr/>
      <dgm:t>
        <a:bodyPr/>
        <a:lstStyle/>
        <a:p>
          <a:r>
            <a:rPr lang="en-US" dirty="0"/>
            <a:t>Present</a:t>
          </a:r>
        </a:p>
      </dgm:t>
    </dgm:pt>
    <dgm:pt modelId="{591CFF72-FC20-4A56-AC11-DCD6E29F262C}" type="parTrans" cxnId="{58E59BF4-05DA-4F81-A1EF-DF5DBF2F49C3}">
      <dgm:prSet/>
      <dgm:spPr/>
      <dgm:t>
        <a:bodyPr/>
        <a:lstStyle/>
        <a:p>
          <a:endParaRPr lang="en-US"/>
        </a:p>
      </dgm:t>
    </dgm:pt>
    <dgm:pt modelId="{C6DC8FA2-3EF0-457A-96A4-615E3A047FCC}" type="sibTrans" cxnId="{58E59BF4-05DA-4F81-A1EF-DF5DBF2F49C3}">
      <dgm:prSet/>
      <dgm:spPr/>
      <dgm:t>
        <a:bodyPr/>
        <a:lstStyle/>
        <a:p>
          <a:endParaRPr lang="en-US"/>
        </a:p>
      </dgm:t>
    </dgm:pt>
  </dgm:ptLst>
  <dgm:cxnLst>
    <dgm:cxn modelId="{227E7912-4B3E-4A35-B7BA-4DC22EA43B72}" srcId="{4313ADBB-4F1D-4A88-82A7-DCD316256FFC}" destId="{A38CB6E2-385B-4812-B953-C4E0A277A997}" srcOrd="0" destOrd="0" parTransId="{5C4B7B51-A166-441F-BCA2-F557B5154F72}" sibTransId="{277E5360-34D1-4D25-B808-5960D1E2D63E}"/>
    <dgm:cxn modelId="{B473D4C8-A2E7-449A-B4E3-E04A99290F9A}" srcId="{4313ADBB-4F1D-4A88-82A7-DCD316256FFC}" destId="{40451703-CA9E-4AC0-BA4B-C3F6A70C6BE7}" srcOrd="1" destOrd="0" parTransId="{D1B3C4F9-7171-4723-A06E-F0EA69D12F38}" sibTransId="{F378B5AC-204C-48EF-9E6A-87A1EF37ECF8}"/>
    <dgm:cxn modelId="{B76316BC-0901-46F6-B76A-54B4FCF55AA3}" srcId="{4313ADBB-4F1D-4A88-82A7-DCD316256FFC}" destId="{DF5EC184-DC2F-4D55-9C1E-DC0A0492A152}" srcOrd="2" destOrd="0" parTransId="{A6BD78F5-2F03-412E-B00D-058E54A60ADB}" sibTransId="{70E572A2-F7CA-4673-8E9F-ED1FA846C81B}"/>
    <dgm:cxn modelId="{CF67D22A-BA35-4676-8EDC-7BEB3B46069E}" srcId="{4313ADBB-4F1D-4A88-82A7-DCD316256FFC}" destId="{786933D0-51A7-4F08-80B1-6C5DB1C58C2C}" srcOrd="3" destOrd="0" parTransId="{33F437F1-440A-4D9D-B8E7-B677973D8755}" sibTransId="{EC2BD950-10B2-4597-90EB-7BED3F3C6447}"/>
    <dgm:cxn modelId="{58E59BF4-05DA-4F81-A1EF-DF5DBF2F49C3}" srcId="{4313ADBB-4F1D-4A88-82A7-DCD316256FFC}" destId="{711FD653-F99D-4BCA-A1F3-7B535536B22B}" srcOrd="4" destOrd="0" parTransId="{591CFF72-FC20-4A56-AC11-DCD6E29F262C}" sibTransId="{C6DC8FA2-3EF0-457A-96A4-615E3A047FCC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8CB6E2-385B-4812-B953-C4E0A277A997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</a:t>
          </a:r>
        </a:p>
      </dsp:txBody>
      <dsp:txXfrm>
        <a:off x="0" y="425218"/>
        <a:ext cx="933420" cy="840078"/>
      </dsp:txXfrm>
    </dsp:sp>
    <dsp:sp modelId="{40451703-CA9E-4AC0-BA4B-C3F6A70C6BE7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</a:t>
          </a:r>
        </a:p>
      </dsp:txBody>
      <dsp:txXfrm>
        <a:off x="1092525" y="929264"/>
        <a:ext cx="933420" cy="840078"/>
      </dsp:txXfrm>
    </dsp:sp>
    <dsp:sp modelId="{DF5EC184-DC2F-4D55-9C1E-DC0A0492A152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Program</a:t>
          </a:r>
        </a:p>
      </dsp:txBody>
      <dsp:txXfrm>
        <a:off x="2185050" y="425218"/>
        <a:ext cx="933420" cy="840078"/>
      </dsp:txXfrm>
    </dsp:sp>
    <dsp:sp modelId="{786933D0-51A7-4F08-80B1-6C5DB1C58C2C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Test</a:t>
          </a:r>
        </a:p>
      </dsp:txBody>
      <dsp:txXfrm>
        <a:off x="3277575" y="929264"/>
        <a:ext cx="933420" cy="840078"/>
      </dsp:txXfrm>
    </dsp:sp>
    <dsp:sp modelId="{711FD653-F99D-4BCA-A1F3-7B535536B22B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Present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Competition Handbook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