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00B050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99DFB9"/>
                <w:sz w:val="18"/>
              </w:rPr>
              <w:t>ANNUAL REPORT 2026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Clean Energy Partners Report</w:t>
            </w:r>
          </w:p>
          <w:p>
            <w:r>
              <w:rPr>
                <w:i/>
                <w:color w:val="BFEBD3"/>
                <w:sz w:val="24"/>
              </w:rPr>
              <w:t>Green Volt Energy – Da Nang</w:t>
            </w:r>
          </w:p>
        </w:tc>
      </w:tr>
    </w:tbl>
    <w:p/>
    <w:tbl>
      <w:tblPr>
        <w:tblW w:type="auto" w:w="0"/>
        <w:tblBorders>
          <w:top w:val="single" w:sz="4" w:space="0" w:color="7FD7A7"/>
          <w:left w:val="single" w:sz="4" w:space="0" w:color="7FD7A7"/>
          <w:bottom w:val="single" w:sz="4" w:space="0" w:color="7FD7A7"/>
          <w:right w:val="single" w:sz="4" w:space="0" w:color="7FD7A7"/>
          <w:insideH w:val="single" w:sz="4" w:space="0" w:color="7FD7A7"/>
          <w:insideV w:val="single" w:sz="4" w:space="0" w:color="7FD7A7"/>
        </w:tblBorders>
        <w:tblLook w:firstColumn="1" w:firstRow="1" w:lastColumn="0" w:lastRow="0" w:noHBand="0" w:noVBand="1" w:val="04A0"/>
      </w:tblPr>
      <w:tblGrid>
        <w:gridCol w:w="2592"/>
        <w:gridCol w:w="6768"/>
      </w:tblGrid>
      <w:tr>
        <w:trPr>
          <w:tblHeader/>
        </w:trPr>
        <w:tc>
          <w:tcPr>
            <w:tcW w:type="dxa" w:w="2592"/>
            <w:shd w:val="clear" w:color="auto" w:fill="D8F3E4"/>
          </w:tcPr>
          <w:p>
            <w:r>
              <w:rPr>
                <w:b/>
                <w:color w:val="00B050"/>
              </w:rPr>
              <w:t>Organization</w:t>
            </w:r>
          </w:p>
        </w:tc>
        <w:tc>
          <w:tcPr>
            <w:tcW w:type="dxa" w:w="6768"/>
          </w:tcPr>
          <w:p>
            <w:r>
              <w:t>Green Volt Energy</w:t>
            </w:r>
          </w:p>
        </w:tc>
      </w:tr>
      <w:tr>
        <w:tc>
          <w:tcPr>
            <w:tcW w:type="dxa" w:w="2592"/>
            <w:shd w:val="clear" w:color="auto" w:fill="D8F3E4"/>
          </w:tcPr>
          <w:p>
            <w:r>
              <w:rPr>
                <w:b/>
                <w:color w:val="00B050"/>
              </w:rPr>
              <w:t>Prepared by</w:t>
            </w:r>
          </w:p>
        </w:tc>
        <w:tc>
          <w:tcPr>
            <w:tcW w:type="dxa" w:w="6768"/>
          </w:tcPr>
          <w:p>
            <w:r>
              <w:t>Nguyen Van An</w:t>
            </w:r>
          </w:p>
        </w:tc>
      </w:tr>
      <w:tr>
        <w:tc>
          <w:tcPr>
            <w:tcW w:type="dxa" w:w="2592"/>
            <w:shd w:val="clear" w:color="auto" w:fill="D8F3E4"/>
          </w:tcPr>
          <w:p>
            <w:r>
              <w:rPr>
                <w:b/>
                <w:color w:val="00B050"/>
              </w:rPr>
              <w:t>Date</w:t>
            </w:r>
          </w:p>
        </w:tc>
        <w:tc>
          <w:tcPr>
            <w:tcW w:type="dxa" w:w="6768"/>
          </w:tcPr>
          <w:p>
            <w:r>
              <w:t>September 2026</w:t>
            </w:r>
          </w:p>
        </w:tc>
      </w:tr>
      <w:tr>
        <w:tc>
          <w:tcPr>
            <w:tcW w:type="dxa" w:w="2592"/>
            <w:shd w:val="clear" w:color="auto" w:fill="D8F3E4"/>
          </w:tcPr>
          <w:p>
            <w:r>
              <w:rPr>
                <w:b/>
                <w:color w:val="00B050"/>
              </w:rPr>
              <w:t>Status</w:t>
            </w:r>
          </w:p>
        </w:tc>
        <w:tc>
          <w:tcPr>
            <w:tcW w:type="dxa" w:w="6768"/>
          </w:tcPr>
          <w:p>
            <w:r>
              <w:t>Final draft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Introduction</w:t>
      </w:r>
    </w:p>
    <w:p>
      <w:r xmlns:a="http://schemas.openxmlformats.org/drawingml/2006/main">
        <w:t xml:space="preserve">Green Volt Energy builds charging stations and solar systems for homes and businesses across Vietnam.</w:t>
      </w:r>
    </w:p>
    <w:p>
      <w:r xmlns:a="http://schemas.openxmlformats.org/drawingml/2006/main">
        <w:t xml:space="preserve">This report describes our main partners and the progress of our projects in the past year.</w:t>
      </w:r>
    </w:p>
    <w:p>
      <w:pPr>
        <w:pStyle w:val="Heading1"/>
      </w:pPr>
      <w:r xmlns:a="http://schemas.openxmlformats.org/drawingml/2006/main">
        <w:t xml:space="preserve">Partners</w:t>
      </w:r>
    </w:p>
    <w:p>
      <w:r xmlns:a="http://schemas.openxmlformats.org/drawingml/2006/main">
        <w:t xml:space="preserve">Panasonic Energy Company supplies battery cells for our home storage systems. The partnership began in 2022.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767840"/>
            <wp:docPr id="1" name="Picture 1" descr="Green Volt Energy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ergy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6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Above: Green Volt Energy</w:t>
      </w:r>
    </w:p>
    <w:p>
      <w:r xmlns:a="http://schemas.openxmlformats.org/drawingml/2006/main">
        <w:t xml:space="preserve">Green Volt Energy also works with local universities to train technicians.</w:t>
      </w:r>
    </w:p>
    <w:p>
      <w:pPr>
        <w:pStyle w:val="Heading1"/>
      </w:pPr>
      <w:r xmlns:a="http://schemas.openxmlformats.org/drawingml/2006/main">
        <w:t xml:space="preserve">Electric Vehicles</w:t>
      </w:r>
    </w:p>
    <w:p>
      <w:r xmlns:a="http://schemas.openxmlformats.org/drawingml/2006/main">
        <w:t xml:space="preserve">Tesla, Inc. is an American electric vehicle and clean energy company based in Austin, Texas, United States.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D8F3E4"/>
                        </a:solidFill>
                        <a:ln w="12700">
                          <a:solidFill>
                            <a:srgbClr val="D8F3E4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00B05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B050"/>
                                <w:sz w:val="28"/>
                              </w:rPr>
                              <w:t xml:space="preserve">Did you know? Battery storage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Vietnamese brands are also growing quickly and building their own charging networks.</w:t>
      </w:r>
    </w:p>
    <w:p>
      <w:pPr>
        <w:pStyle w:val="Heading1"/>
      </w:pPr>
      <w:r xmlns:a="http://schemas.openxmlformats.org/drawingml/2006/main">
        <w:t xml:space="preserve">Solar Projects</w:t>
      </w:r>
    </w:p>
    <w:p>
      <w:r xmlns:a="http://schemas.openxmlformats.org/drawingml/2006/main">
        <w:t xml:space="preserve">We installed solar panels on more than two hundred factory roofs last year.</w:t>
      </w:r>
    </w:p>
    <w:p>
      <w:r xmlns:a="http://schemas.openxmlformats.org/drawingml/2006/main">
        <w:t xml:space="preserve">These projects reduce electricity costs and cut carbon emissions.</w:t>
      </w:r>
    </w:p>
    <w:p>
      <w:pPr>
        <w:pStyle w:val="ListParagraph"/>
        <w:numPr>
          <w:ilvl w:val="0"/>
          <w:numId w:val="216"/>
        </w:numPr>
      </w:pPr>
      <w:r>
        <w:t>Battery storage</w:t>
      </w:r>
    </w:p>
    <w:p>
      <w:pPr>
        <w:pStyle w:val="ListParagraph"/>
        <w:numPr>
          <w:ilvl w:val="0"/>
          <w:numId w:val="216"/>
        </w:numPr>
      </w:pPr>
      <w:r>
        <w:t>Solar panels</w:t>
      </w:r>
    </w:p>
    <w:p>
      <w:pPr>
        <w:pStyle w:val="ListParagraph"/>
        <w:numPr>
          <w:ilvl w:val="0"/>
          <w:numId w:val="216"/>
        </w:numPr>
      </w:pPr>
      <w:r>
        <w:t>Fast chargers</w:t>
      </w:r>
    </w:p>
    <w:p>
      <w:r xmlns:a="http://schemas.openxmlformats.org/drawingml/2006/main">
        <w:t xml:space="preserve">Additional items:</w:t>
      </w:r>
    </w:p>
    <w:p>
      <w:pPr>
        <w:pStyle w:val="ListParagraph"/>
        <w:numPr>
          <w:ilvl w:val="0"/>
          <w:numId w:val="217"/>
        </w:numPr>
      </w:pPr>
      <w:r>
        <w:t>Smart meters</w:t>
      </w:r>
    </w:p>
    <w:p>
      <w:pPr>
        <w:pStyle w:val="ListParagraph"/>
        <w:numPr>
          <w:ilvl w:val="0"/>
          <w:numId w:val="217"/>
        </w:numPr>
      </w:pPr>
      <w:r>
        <w:t>Energy audits</w:t>
      </w:r>
    </w:p>
    <w:p>
      <w:pPr>
        <w:pStyle w:val="ListParagraph"/>
        <w:numPr>
          <w:ilvl w:val="0"/>
          <w:numId w:val="217"/>
        </w:numPr>
      </w:pPr>
      <w:r>
        <w:t>Recycling</w:t>
      </w:r>
    </w:p>
    <w:p>
      <w:pPr>
        <w:pStyle w:val="Heading1"/>
      </w:pPr>
      <w:r xmlns:a="http://schemas.openxmlformats.org/drawingml/2006/main">
        <w:t xml:space="preserve">Charging Network</w:t>
      </w:r>
    </w:p>
    <w:p>
      <w:r xmlns:a="http://schemas.openxmlformats.org/drawingml/2006/main">
        <w:t xml:space="preserve">Green Volt Energy now operates four hundred fast charging points in twenty provinces.</w:t>
      </w:r>
    </w:p>
    <w:p>
      <w:r xmlns:a="http://schemas.openxmlformats.org/drawingml/2006/main">
        <w:t xml:space="preserve">Most stations are located near highways, shopping malls, and office buildings.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1" name="Diagram 1"/>
            <wp:cNvGraphicFramePr/>
            <a:graphic>
              <a:graphicData uri="http://schemas.openxmlformats.org/drawingml/2006/diagram">
                <dgm:relIds r:dm="rId11" r:lo="rId12" r:qs="rId13" r:cs="rId14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Future Plans</w:t>
      </w:r>
    </w:p>
    <w:p>
      <w:r xmlns:a="http://schemas.openxmlformats.org/drawingml/2006/main">
        <w:t xml:space="preserve">Next year, we plan to double the number of charging points and launch a battery recycling program.</w:t>
      </w:r>
    </w:p>
    <w:p>
      <w:r xmlns:a="http://schemas.openxmlformats.org/drawingml/2006/main">
        <w:t xml:space="preserve">We will continue to look for partners who share our commitment to clean energy.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00B050"/>
          </w:tcPr>
          <w:p>
            <w:r>
              <w:rPr>
                <w:b/>
                <w:color w:val="FFFFFF"/>
              </w:rPr>
              <w:t>Project</w:t>
            </w:r>
          </w:p>
        </w:tc>
        <w:tc>
          <w:tcPr>
            <w:tcW w:type="dxa" w:w="3120"/>
            <w:shd w:val="clear" w:color="auto" w:fill="00B050"/>
          </w:tcPr>
          <w:p>
            <w:r>
              <w:rPr>
                <w:b/>
                <w:color w:val="FFFFFF"/>
              </w:rPr>
              <w:t>Region</w:t>
            </w:r>
          </w:p>
        </w:tc>
        <w:tc>
          <w:tcPr>
            <w:tcW w:type="dxa" w:w="3120"/>
            <w:shd w:val="clear" w:color="auto" w:fill="00B050"/>
          </w:tcPr>
          <w:p>
            <w:r>
              <w:rPr>
                <w:b/>
                <w:color w:val="FFFFFF"/>
              </w:rPr>
              <w:t>Capacity (MW)</w:t>
            </w:r>
          </w:p>
        </w:tc>
      </w:tr>
      <w:tr>
        <w:tc>
          <w:tcPr>
            <w:tcW w:type="dxa" w:w="3120"/>
          </w:tcPr>
          <w:p>
            <w:r>
              <w:t>Binh Duong Factory</w:t>
            </w:r>
          </w:p>
        </w:tc>
        <w:tc>
          <w:tcPr>
            <w:tcW w:type="dxa" w:w="3120"/>
          </w:tcPr>
          <w:p>
            <w:r>
              <w:t>South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12</w:t>
            </w:r>
          </w:p>
        </w:tc>
      </w:tr>
      <w:tr>
        <w:tc>
          <w:tcPr>
            <w:tcW w:type="dxa" w:w="3120"/>
            <w:shd w:val="clear" w:color="auto" w:fill="E0F5EA"/>
          </w:tcPr>
          <w:p>
            <w:r>
              <w:t>Hai Phong Port</w:t>
            </w:r>
          </w:p>
        </w:tc>
        <w:tc>
          <w:tcPr>
            <w:tcW w:type="dxa" w:w="3120"/>
            <w:shd w:val="clear" w:color="auto" w:fill="E0F5EA"/>
          </w:tcPr>
          <w:p>
            <w:r>
              <w:t>North</w:t>
            </w:r>
          </w:p>
        </w:tc>
        <w:tc>
          <w:tcPr>
            <w:tcW w:type="dxa" w:w="3120"/>
            <w:shd w:val="clear" w:color="auto" w:fill="E0F5EA"/>
          </w:tcPr>
          <w:p>
            <w:pPr>
              <w:jc w:val="right"/>
            </w:pPr>
            <w:r>
              <w:t>8</w:t>
            </w:r>
          </w:p>
        </w:tc>
      </w:tr>
      <w:tr>
        <w:tc>
          <w:tcPr>
            <w:tcW w:type="dxa" w:w="3120"/>
          </w:tcPr>
          <w:p>
            <w:r>
              <w:t>Da Nang Mall</w:t>
            </w:r>
          </w:p>
        </w:tc>
        <w:tc>
          <w:tcPr>
            <w:tcW w:type="dxa" w:w="3120"/>
          </w:tcPr>
          <w:p>
            <w:r>
              <w:t>Central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3</w:t>
            </w:r>
          </w:p>
        </w:tc>
      </w:tr>
      <w:tr>
        <w:tc>
          <w:tcPr>
            <w:tcW w:type="dxa" w:w="3120"/>
            <w:shd w:val="clear" w:color="auto" w:fill="E0F5EA"/>
          </w:tcPr>
          <w:p>
            <w:r>
              <w:t>Long An Farm</w:t>
            </w:r>
          </w:p>
        </w:tc>
        <w:tc>
          <w:tcPr>
            <w:tcW w:type="dxa" w:w="3120"/>
            <w:shd w:val="clear" w:color="auto" w:fill="E0F5EA"/>
          </w:tcPr>
          <w:p>
            <w:r>
              <w:t>South</w:t>
            </w:r>
          </w:p>
        </w:tc>
        <w:tc>
          <w:tcPr>
            <w:tcW w:type="dxa" w:w="3120"/>
            <w:shd w:val="clear" w:color="auto" w:fill="E0F5EA"/>
          </w:tcPr>
          <w:p>
            <w:pPr>
              <w:jc w:val="right"/>
            </w:pPr>
            <w:r>
              <w:t>20</w:t>
            </w:r>
          </w:p>
        </w:tc>
      </w:tr>
      <w:tr>
        <w:tc>
          <w:tcPr>
            <w:tcW w:type="dxa" w:w="3120"/>
          </w:tcPr>
          <w:p>
            <w:r>
              <w:t>Bac Ninh Park</w:t>
            </w:r>
          </w:p>
        </w:tc>
        <w:tc>
          <w:tcPr>
            <w:tcW w:type="dxa" w:w="3120"/>
          </w:tcPr>
          <w:p>
            <w:r>
              <w:t>North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15</w:t>
            </w:r>
          </w:p>
        </w:tc>
      </w:tr>
      <w:tr>
        <w:tc>
          <w:tcPr>
            <w:tcW w:type="dxa" w:w="3120"/>
            <w:shd w:val="clear" w:color="auto" w:fill="E0F5EA"/>
          </w:tcPr>
          <w:p>
            <w:r>
              <w:t>Hue Campus</w:t>
            </w:r>
          </w:p>
        </w:tc>
        <w:tc>
          <w:tcPr>
            <w:tcW w:type="dxa" w:w="3120"/>
            <w:shd w:val="clear" w:color="auto" w:fill="E0F5EA"/>
          </w:tcPr>
          <w:p>
            <w:r>
              <w:t>Central</w:t>
            </w:r>
          </w:p>
        </w:tc>
        <w:tc>
          <w:tcPr>
            <w:tcW w:type="dxa" w:w="3120"/>
            <w:shd w:val="clear" w:color="auto" w:fill="E0F5EA"/>
          </w:tcPr>
          <w:p>
            <w:pPr>
              <w:jc w:val="right"/>
            </w:pPr>
            <w:r>
              <w:t>2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2" name="Chart 1" descr="Chart showing capacity (mw) by project"/>
            <wp:cNvGraphicFramePr/>
            <a:graphic>
              <a:graphicData uri="http://schemas.openxmlformats.org/drawingml/2006/chart">
                <c:chart r:id="rId15"/>
              </a:graphicData>
            </a:graphic>
          </wp:inline>
        </w:drawing>
      </w:r>
    </w:p>
    <w:p/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Green Volt Energy  |  Clean Energy Partners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216">
    <w:abstractNumId w:val="91"/>
    <w:lvlOverride w:ilvl="0">
      <w:startOverride w:val="1"/>
    </w:lvlOverride>
  </w:num>
  <w:num w:numId="217">
    <w:abstractNumId w:val="9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microsoft.com/office/2007/relationships/diagramDrawing" Target="diagrams/drawing1.xml"/><Relationship Id="rId11" Type="http://schemas.openxmlformats.org/officeDocument/2006/relationships/diagramData" Target="diagrams/data1.xml"/><Relationship Id="rId12" Type="http://schemas.openxmlformats.org/officeDocument/2006/relationships/diagramLayout" Target="diagrams/layout1.xml"/><Relationship Id="rId13" Type="http://schemas.openxmlformats.org/officeDocument/2006/relationships/diagramQuickStyle" Target="diagrams/quickStyle1.xml"/><Relationship Id="rId14" Type="http://schemas.openxmlformats.org/officeDocument/2006/relationships/diagramColors" Target="diagrams/colors1.xml"/><Relationship Id="rId15" Type="http://schemas.openxmlformats.org/officeDocument/2006/relationships/chart" Target="charts/chart1.xml"/><Relationship Id="rId16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Capacity (MW) by Project</a:t>
            </a:r>
          </a:p>
        </c:rich>
      </c:tx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2025</c:v>
                </c:pt>
              </c:strCache>
            </c:strRef>
          </c:tx>
          <c:spPr>
            <a:ln w="28575" cap="rnd">
              <a:solidFill>
                <a:srgbClr val="00B050"/>
              </a:solidFill>
              <a:round/>
            </a:ln>
          </c:spPr>
          <c:marker>
            <c:symbol val="circle"/>
            <c:size val="6"/>
          </c:marker>
          <c:cat>
            <c:strRef>
              <c:f>Sheet1!$A$2:$A$6</c:f>
              <c:strCache>
                <c:ptCount val="5"/>
                <c:pt idx="0">
                  <c:v>Binh Duong Factory</c:v>
                </c:pt>
                <c:pt idx="1">
                  <c:v>Hai Phong Port</c:v>
                </c:pt>
                <c:pt idx="2">
                  <c:v>Da Nang Mall</c:v>
                </c:pt>
                <c:pt idx="3">
                  <c:v>Long An Farm</c:v>
                </c:pt>
                <c:pt idx="4">
                  <c:v>Bac Ninh Park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9.4</c:v>
                </c:pt>
                <c:pt idx="1">
                  <c:v>7.1</c:v>
                </c:pt>
                <c:pt idx="2">
                  <c:v>2.3</c:v>
                </c:pt>
                <c:pt idx="3">
                  <c:v>18.0</c:v>
                </c:pt>
                <c:pt idx="4">
                  <c:v>13.0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2026</c:v>
                </c:pt>
              </c:strCache>
            </c:strRef>
          </c:tx>
          <c:spPr>
            <a:ln w="28575" cap="rnd">
              <a:solidFill>
                <a:srgbClr val="ED7D31"/>
              </a:solidFill>
              <a:round/>
            </a:ln>
          </c:spPr>
          <c:marker>
            <c:symbol val="circle"/>
            <c:size val="6"/>
          </c:marker>
          <c:cat>
            <c:strRef>
              <c:f>Sheet1!$A$2:$A$6</c:f>
              <c:strCache>
                <c:ptCount val="5"/>
                <c:pt idx="0">
                  <c:v>Binh Duong Factory</c:v>
                </c:pt>
                <c:pt idx="1">
                  <c:v>Hai Phong Port</c:v>
                </c:pt>
                <c:pt idx="2">
                  <c:v>Da Nang Mall</c:v>
                </c:pt>
                <c:pt idx="3">
                  <c:v>Long An Farm</c:v>
                </c:pt>
                <c:pt idx="4">
                  <c:v>Bac Ninh Park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12.0</c:v>
                </c:pt>
                <c:pt idx="1">
                  <c:v>8.0</c:v>
                </c:pt>
                <c:pt idx="2">
                  <c:v>3.0</c:v>
                </c:pt>
                <c:pt idx="3">
                  <c:v>20.0</c:v>
                </c:pt>
                <c:pt idx="4">
                  <c:v>15.0</c:v>
                </c:pt>
              </c:numCache>
            </c:numRef>
          </c:val>
          <c:smooth val="0"/>
        </c:ser>
        <c:marker val="1"/>
        <c:axId val="50010001"/>
        <c:axId val="50010002"/>
      </c:lineChart>
      <c:catAx>
        <c:axId val="50010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l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DBA9D79-C58D-48C0-AA80-77D5CA69DC9A}" type="doc">
      <dgm:prSet loTypeId="urn:microsoft.com/office/officeart/2005/8/layout/cycle2" loCatId="cycl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08A31C43-72AB-48BA-B603-B45C8D62B1AE}">
      <dgm:prSet phldrT="[Text]"/>
      <dgm:spPr/>
      <dgm:t>
        <a:bodyPr/>
        <a:lstStyle/>
        <a:p>
          <a:r>
            <a:rPr lang="en-US" dirty="0"/>
            <a:t>Battery storage</a:t>
          </a:r>
        </a:p>
      </dgm:t>
    </dgm:pt>
    <dgm:pt modelId="{FD68527E-D875-49ED-B239-CA558005115F}" type="parTrans" cxnId="{A4A8C9BF-7B95-4D45-BA5E-7BA730271893}">
      <dgm:prSet/>
      <dgm:spPr/>
      <dgm:t>
        <a:bodyPr/>
        <a:lstStyle/>
        <a:p>
          <a:endParaRPr lang="en-US"/>
        </a:p>
      </dgm:t>
    </dgm:pt>
    <dgm:pt modelId="{C17EC9C9-8561-428D-9E51-C959827702FA}" type="sibTrans" cxnId="{A4A8C9BF-7B95-4D45-BA5E-7BA730271893}">
      <dgm:prSet/>
      <dgm:spPr/>
      <dgm:t>
        <a:bodyPr/>
        <a:lstStyle/>
        <a:p>
          <a:endParaRPr lang="en-US"/>
        </a:p>
      </dgm:t>
    </dgm:pt>
    <dgm:pt modelId="{6EFDE0FC-0790-4BDA-8B31-60D813B1C40B}">
      <dgm:prSet phldrT="[Text]"/>
      <dgm:spPr/>
      <dgm:t>
        <a:bodyPr/>
        <a:lstStyle/>
        <a:p>
          <a:r>
            <a:rPr lang="en-US" dirty="0"/>
            <a:t>Solar panels</a:t>
          </a:r>
        </a:p>
      </dgm:t>
    </dgm:pt>
    <dgm:pt modelId="{1C246D8E-40A8-4A6E-A7FF-A9E3209F7617}" type="parTrans" cxnId="{18964AB4-B814-4DAB-A7AC-F9672BA9742E}">
      <dgm:prSet/>
      <dgm:spPr/>
      <dgm:t>
        <a:bodyPr/>
        <a:lstStyle/>
        <a:p>
          <a:endParaRPr lang="en-US"/>
        </a:p>
      </dgm:t>
    </dgm:pt>
    <dgm:pt modelId="{19D274CA-6E4B-4F66-A4B6-5C147ED7A76B}" type="sibTrans" cxnId="{18964AB4-B814-4DAB-A7AC-F9672BA9742E}">
      <dgm:prSet/>
      <dgm:spPr/>
      <dgm:t>
        <a:bodyPr/>
        <a:lstStyle/>
        <a:p>
          <a:endParaRPr lang="en-US"/>
        </a:p>
      </dgm:t>
    </dgm:pt>
    <dgm:pt modelId="{28D05F17-BB62-498F-9A72-E12228A117A6}">
      <dgm:prSet phldrT="[Text]"/>
      <dgm:spPr/>
      <dgm:t>
        <a:bodyPr/>
        <a:lstStyle/>
        <a:p>
          <a:r>
            <a:rPr lang="en-US" dirty="0"/>
            <a:t>Fast chargers</a:t>
          </a:r>
        </a:p>
      </dgm:t>
    </dgm:pt>
    <dgm:pt modelId="{F86A8BD4-B89E-47EA-BE96-9F368DC61B49}" type="parTrans" cxnId="{201466A1-2E24-43B6-9E92-AB99F5484BCC}">
      <dgm:prSet/>
      <dgm:spPr/>
      <dgm:t>
        <a:bodyPr/>
        <a:lstStyle/>
        <a:p>
          <a:endParaRPr lang="en-US"/>
        </a:p>
      </dgm:t>
    </dgm:pt>
    <dgm:pt modelId="{46FF0797-1FB9-4080-9284-2B7EEFC7EA10}" type="sibTrans" cxnId="{201466A1-2E24-43B6-9E92-AB99F5484BCC}">
      <dgm:prSet/>
      <dgm:spPr/>
      <dgm:t>
        <a:bodyPr/>
        <a:lstStyle/>
        <a:p>
          <a:endParaRPr lang="en-US"/>
        </a:p>
      </dgm:t>
    </dgm:pt>
    <dgm:pt modelId="{90BF5530-2ADB-41B7-96DF-D85D1095219B}">
      <dgm:prSet phldrT="[Text]"/>
      <dgm:spPr/>
      <dgm:t>
        <a:bodyPr/>
        <a:lstStyle/>
        <a:p>
          <a:r>
            <a:rPr lang="en-US" dirty="0"/>
            <a:t>Smart meters</a:t>
          </a:r>
        </a:p>
      </dgm:t>
    </dgm:pt>
    <dgm:pt modelId="{FE60C934-DF08-44C7-BC8E-A95D9C0BC6BF}" type="parTrans" cxnId="{BF40A928-C1F7-4C74-B374-6C6E2ABF29D5}">
      <dgm:prSet/>
      <dgm:spPr/>
      <dgm:t>
        <a:bodyPr/>
        <a:lstStyle/>
        <a:p>
          <a:endParaRPr lang="en-US"/>
        </a:p>
      </dgm:t>
    </dgm:pt>
    <dgm:pt modelId="{CB17A982-CF55-4878-BD8C-1DB22817F00B}" type="sibTrans" cxnId="{BF40A928-C1F7-4C74-B374-6C6E2ABF29D5}">
      <dgm:prSet/>
      <dgm:spPr/>
      <dgm:t>
        <a:bodyPr/>
        <a:lstStyle/>
        <a:p>
          <a:endParaRPr lang="en-US"/>
        </a:p>
      </dgm:t>
    </dgm:pt>
  </dgm:ptLst>
  <dgm:cxnLst>
    <dgm:cxn modelId="{A4A8C9BF-7B95-4D45-BA5E-7BA730271893}" srcId="{3DBA9D79-C58D-48C0-AA80-77D5CA69DC9A}" destId="{08A31C43-72AB-48BA-B603-B45C8D62B1AE}" srcOrd="0" destOrd="0" parTransId="{FD68527E-D875-49ED-B239-CA558005115F}" sibTransId="{C17EC9C9-8561-428D-9E51-C959827702FA}"/>
    <dgm:cxn modelId="{18964AB4-B814-4DAB-A7AC-F9672BA9742E}" srcId="{3DBA9D79-C58D-48C0-AA80-77D5CA69DC9A}" destId="{6EFDE0FC-0790-4BDA-8B31-60D813B1C40B}" srcOrd="1" destOrd="0" parTransId="{1C246D8E-40A8-4A6E-A7FF-A9E3209F7617}" sibTransId="{19D274CA-6E4B-4F66-A4B6-5C147ED7A76B}"/>
    <dgm:cxn modelId="{201466A1-2E24-43B6-9E92-AB99F5484BCC}" srcId="{3DBA9D79-C58D-48C0-AA80-77D5CA69DC9A}" destId="{28D05F17-BB62-498F-9A72-E12228A117A6}" srcOrd="2" destOrd="0" parTransId="{F86A8BD4-B89E-47EA-BE96-9F368DC61B49}" sibTransId="{46FF0797-1FB9-4080-9284-2B7EEFC7EA10}"/>
    <dgm:cxn modelId="{BF40A928-C1F7-4C74-B374-6C6E2ABF29D5}" srcId="{3DBA9D79-C58D-48C0-AA80-77D5CA69DC9A}" destId="{90BF5530-2ADB-41B7-96DF-D85D1095219B}" srcOrd="3" destOrd="0" parTransId="{FE60C934-DF08-44C7-BC8E-A95D9C0BC6BF}" sibTransId="{CB17A982-CF55-4878-BD8C-1DB22817F00B}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8A31C43-72AB-48BA-B603-B45C8D62B1AE}">
      <dsp:nvSpPr>
        <dsp:cNvPr id="0" name=""/>
        <dsp:cNvSpPr/>
      </dsp:nvSpPr>
      <dsp:spPr>
        <a:xfrm>
          <a:off x="2322576" y="-21945"/>
          <a:ext cx="658368" cy="6583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Battery storage</a:t>
          </a:r>
        </a:p>
      </dsp:txBody>
      <dsp:txXfrm>
        <a:off x="2322576" y="-21945"/>
        <a:ext cx="658368" cy="658368"/>
      </dsp:txXfrm>
    </dsp:sp>
    <dsp:sp modelId="{6EFDE0FC-0790-4BDA-8B31-60D813B1C40B}">
      <dsp:nvSpPr>
        <dsp:cNvPr id="0" name=""/>
        <dsp:cNvSpPr/>
      </dsp:nvSpPr>
      <dsp:spPr>
        <a:xfrm>
          <a:off x="3112617" y="768096"/>
          <a:ext cx="658368" cy="6583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Solar panels</a:t>
          </a:r>
        </a:p>
      </dsp:txBody>
      <dsp:txXfrm>
        <a:off x="3112617" y="768096"/>
        <a:ext cx="658368" cy="658368"/>
      </dsp:txXfrm>
    </dsp:sp>
    <dsp:sp modelId="{28D05F17-BB62-498F-9A72-E12228A117A6}">
      <dsp:nvSpPr>
        <dsp:cNvPr id="0" name=""/>
        <dsp:cNvSpPr/>
      </dsp:nvSpPr>
      <dsp:spPr>
        <a:xfrm>
          <a:off x="2322576" y="1558137"/>
          <a:ext cx="658368" cy="6583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Fast chargers</a:t>
          </a:r>
        </a:p>
      </dsp:txBody>
      <dsp:txXfrm>
        <a:off x="2322576" y="1558137"/>
        <a:ext cx="658368" cy="658368"/>
      </dsp:txXfrm>
    </dsp:sp>
    <dsp:sp modelId="{90BF5530-2ADB-41B7-96DF-D85D1095219B}">
      <dsp:nvSpPr>
        <dsp:cNvPr id="0" name=""/>
        <dsp:cNvSpPr/>
      </dsp:nvSpPr>
      <dsp:spPr>
        <a:xfrm>
          <a:off x="1532534" y="768096"/>
          <a:ext cx="658368" cy="6583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Smart meters</a:t>
          </a:r>
        </a:p>
      </dsp:txBody>
      <dsp:txXfrm>
        <a:off x="1532534" y="768096"/>
        <a:ext cx="658368" cy="65836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2">
  <dgm:title val=""/>
  <dgm:desc val=""/>
  <dgm:catLst>
    <dgm:cat type="cycle" pri="1000"/>
    <dgm:cat type="convert" pri="1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ptType="sibTrans" refType="w" refFor="ch" refPtType="node" op="equ" fact="0.25"/>
      <dgm:constr type="sibSp" refType="w" refFor="ch" refPtType="node" fact="0.5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>
          <dgm:param type="txAnchorVertCh" val="mid"/>
        </dgm:alg>
        <dgm:shape xmlns:r="http://schemas.openxmlformats.org/officeDocument/2006/relationships" type="ellipse" r:blip="">
          <dgm:adjLst/>
        </dgm:shape>
        <dgm:presOf axis="desOrSelf" ptType="node"/>
        <dgm:constrLst>
          <dgm:constr type="h" refType="w"/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  <dgm:choose name="Name9">
        <dgm:if name="Name10" axis="par ch" ptType="doc node" func="cnt" op="gt" val="1">
          <dgm:forEach name="sibTransForEach" axis="followSib" ptType="sibTrans" hideLastTrans="0" cnt="1">
            <dgm:layoutNode name="sibTrans">
              <dgm:choose name="Name11">
                <dgm:if name="Name12" axis="par ch" ptType="doc node" func="cnt" op="lt" val="3">
                  <dgm:alg type="conn">
                    <dgm:param type="begPts" val="radial"/>
                    <dgm:param type="endPts" val="radial"/>
                  </dgm:alg>
                </dgm:if>
                <dgm:else name="Name13">
                  <dgm:alg type="conn">
                    <dgm:param type="begPts" val="auto"/>
                    <dgm:param type="endPts" val="auto"/>
                  </dgm:alg>
                </dgm:else>
              </dgm:choose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1.35"/>
                <dgm:constr type="connDist"/>
                <dgm:constr type="w" for="ch" refType="connDist" fact="0.45"/>
                <dgm:constr type="h" for="ch" refType="h"/>
              </dgm:constrLst>
              <dgm:ruleLst/>
              <dgm:layoutNode name="connectorText">
                <dgm:alg type="tx">
                  <dgm:param type="autoTxRot" val="grav"/>
                </dgm:alg>
                <dgm:shape xmlns:r="http://schemas.openxmlformats.org/officeDocument/2006/relationships" type="conn" r:blip="" hideGeom="1">
                  <dgm:adjLst/>
                </dgm:shape>
                <dgm:presOf axis="self"/>
                <dgm:constrLst>
                  <dgm:constr type="lMarg"/>
                  <dgm:constr type="rMarg"/>
                  <dgm:constr type="tMarg"/>
                  <dgm:constr type="bMarg"/>
                </dgm:constrLst>
                <dgm:ruleLst>
                  <dgm:rule type="primFontSz" val="5" fact="NaN" max="NaN"/>
                </dgm:ruleLst>
              </dgm:layoutNode>
            </dgm:layoutNode>
          </dgm:forEach>
        </dgm:if>
        <dgm:else name="Name14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Clean Energy Partners Report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