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BF8F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D29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Prep Year Support Material</w:t>
            </w:r>
          </w:p>
          <w:p>
            <w:r>
              <w:rPr>
                <w:i/>
                <w:color w:val="EFE3BF"/>
                <w:sz w:val="24"/>
              </w:rPr>
              <w:t>Sunrise Primary School – Hanoi</w:t>
            </w:r>
          </w:p>
        </w:tc>
      </w:tr>
    </w:tbl>
    <w:p/>
    <w:tbl>
      <w:tblPr>
        <w:tblW w:type="auto" w:w="0"/>
        <w:tblBorders>
          <w:top w:val="single" w:sz="4" w:space="0" w:color="DFC77F"/>
          <w:left w:val="single" w:sz="4" w:space="0" w:color="DFC77F"/>
          <w:bottom w:val="single" w:sz="4" w:space="0" w:color="DFC77F"/>
          <w:right w:val="single" w:sz="4" w:space="0" w:color="DFC77F"/>
          <w:insideH w:val="single" w:sz="4" w:space="0" w:color="DFC77F"/>
          <w:insideV w:val="single" w:sz="4" w:space="0" w:color="DFC77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F5EED8"/>
          </w:tcPr>
          <w:p>
            <w:r>
              <w:rPr>
                <w:b/>
                <w:color w:val="BF8F00"/>
              </w:rPr>
              <w:t>Organization</w:t>
            </w:r>
          </w:p>
        </w:tc>
        <w:tc>
          <w:tcPr>
            <w:tcW w:type="dxa" w:w="6768"/>
          </w:tcPr>
          <w:p>
            <w:r>
              <w:t>Sunrise Primary School</w:t>
            </w:r>
          </w:p>
        </w:tc>
      </w:tr>
      <w:tr>
        <w:tc>
          <w:tcPr>
            <w:tcW w:type="dxa" w:w="2592"/>
            <w:shd w:val="clear" w:color="auto" w:fill="F5EED8"/>
          </w:tcPr>
          <w:p>
            <w:r>
              <w:rPr>
                <w:b/>
                <w:color w:val="BF8F0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F5EED8"/>
          </w:tcPr>
          <w:p>
            <w:r>
              <w:rPr>
                <w:b/>
                <w:color w:val="BF8F0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F5EED8"/>
          </w:tcPr>
          <w:p>
            <w:r>
              <w:rPr>
                <w:b/>
                <w:color w:val="BF8F0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This Support Material</w:t>
      </w:r>
    </w:p>
    <w:p>
      <w:r xmlns:a="http://schemas.openxmlformats.org/drawingml/2006/main">
        <w:t xml:space="preserve">This document helps teachers plan a positive start to school for children in the Prep Year at Sunrise Primary School.</w:t>
      </w:r>
    </w:p>
    <w:p>
      <w:r xmlns:a="http://schemas.openxmlformats.org/drawingml/2006/main">
        <w:t xml:space="preserve">It includes questions that teachers can use when reflecting on their classroom routines.</w:t>
      </w:r>
    </w:p>
    <w:p>
      <w:pPr>
        <w:pStyle w:val="Heading1"/>
      </w:pPr>
      <w:r xmlns:a="http://schemas.openxmlformats.org/drawingml/2006/main">
        <w:t xml:space="preserve">A Typical Day</w:t>
      </w:r>
    </w:p>
    <w:p>
      <w:r xmlns:a="http://schemas.openxmlformats.org/drawingml/2006/main">
        <w:t xml:space="preserve">Children begin the day with a morning circle, followed by reading, play-based learning, and outdoor activities.</w:t>
      </w:r>
    </w:p>
    <w:p>
      <w:r xmlns:a="http://schemas.openxmlformats.org/drawingml/2006/main">
        <w:t xml:space="preserve">Short breaks between activities help young learners stay focused and happy.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School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The Examples Highlight</w:t>
      </w:r>
    </w:p>
    <w:p>
      <w:r xmlns:a="http://schemas.openxmlformats.org/drawingml/2006/main">
        <w:t xml:space="preserve">The examples in this section highlight how teachers can connect learning to everyday life.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Sunrise Primary School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Sunrise Primary School</w:t>
      </w:r>
    </w:p>
    <w:p>
      <w:r xmlns:a="http://schemas.openxmlformats.org/drawingml/2006/main">
        <w:t xml:space="preserve">Children learn best when activities are practical, playful, and linked to their interests.</w:t>
      </w:r>
    </w:p>
    <w:p>
      <w:pPr>
        <w:pStyle w:val="Heading1"/>
      </w:pPr>
      <w:r xmlns:a="http://schemas.openxmlformats.org/drawingml/2006/main">
        <w:t xml:space="preserve">Working with Families</w:t>
      </w:r>
    </w:p>
    <w:p>
      <w:r xmlns:a="http://schemas.openxmlformats.org/drawingml/2006/main">
        <w:t xml:space="preserve">Sunrise Primary School invites families to share their knowledge, culture, and language with the class.</w:t>
      </w:r>
    </w:p>
    <w:p>
      <w:r xmlns:a="http://schemas.openxmlformats.org/drawingml/2006/main">
        <w:t xml:space="preserve">Regular communication helps parents support learning at home.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BF8F00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120"/>
            <w:shd w:val="clear" w:color="auto" w:fill="BF8F00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120"/>
            <w:shd w:val="clear" w:color="auto" w:fill="BF8F00"/>
          </w:tcPr>
          <w:p>
            <w:r>
              <w:rPr>
                <w:b/>
                <w:color w:val="FFFFFF"/>
              </w:rPr>
              <w:t>Minutes</w:t>
            </w:r>
          </w:p>
        </w:tc>
      </w:tr>
      <w:tr>
        <w:tc>
          <w:tcPr>
            <w:tcW w:type="dxa" w:w="3120"/>
          </w:tcPr>
          <w:p>
            <w:r>
              <w:t>Morning circle</w:t>
            </w:r>
          </w:p>
        </w:tc>
        <w:tc>
          <w:tcPr>
            <w:tcW w:type="dxa" w:w="3120"/>
          </w:tcPr>
          <w:p>
            <w:r>
              <w:t>Social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Reading</w:t>
            </w:r>
          </w:p>
        </w:tc>
        <w:tc>
          <w:tcPr>
            <w:tcW w:type="dxa" w:w="3120"/>
            <w:shd w:val="clear" w:color="auto" w:fill="F7F1E0"/>
          </w:tcPr>
          <w:p>
            <w:r>
              <w:t>Literacy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</w:tcPr>
          <w:p>
            <w:r>
              <w:t>Counting games</w:t>
            </w:r>
          </w:p>
        </w:tc>
        <w:tc>
          <w:tcPr>
            <w:tcW w:type="dxa" w:w="3120"/>
          </w:tcPr>
          <w:p>
            <w:r>
              <w:t>Numeracy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Outdoor play</w:t>
            </w:r>
          </w:p>
        </w:tc>
        <w:tc>
          <w:tcPr>
            <w:tcW w:type="dxa" w:w="3120"/>
            <w:shd w:val="clear" w:color="auto" w:fill="F7F1E0"/>
          </w:tcPr>
          <w:p>
            <w:r>
              <w:t>Physical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40</w:t>
            </w:r>
          </w:p>
        </w:tc>
      </w:tr>
      <w:tr>
        <w:tc>
          <w:tcPr>
            <w:tcW w:type="dxa" w:w="3120"/>
          </w:tcPr>
          <w:p>
            <w:r>
              <w:t>Story writing</w:t>
            </w:r>
          </w:p>
        </w:tc>
        <w:tc>
          <w:tcPr>
            <w:tcW w:type="dxa" w:w="3120"/>
          </w:tcPr>
          <w:p>
            <w:r>
              <w:t>Literacy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  <w:shd w:val="clear" w:color="auto" w:fill="F7F1E0"/>
          </w:tcPr>
          <w:p>
            <w:r>
              <w:t>Music</w:t>
            </w:r>
          </w:p>
        </w:tc>
        <w:tc>
          <w:tcPr>
            <w:tcW w:type="dxa" w:w="3120"/>
            <w:shd w:val="clear" w:color="auto" w:fill="F7F1E0"/>
          </w:tcPr>
          <w:p>
            <w:r>
              <w:t>Arts</w:t>
            </w:r>
          </w:p>
        </w:tc>
        <w:tc>
          <w:tcPr>
            <w:tcW w:type="dxa" w:w="3120"/>
            <w:shd w:val="clear" w:color="auto" w:fill="F7F1E0"/>
          </w:tcPr>
          <w:p>
            <w:pPr>
              <w:jc w:val="right"/>
            </w:pPr>
            <w:r>
              <w:t>30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minutes by activity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Assessment</w:t>
      </w:r>
    </w:p>
    <w:p>
      <w:r xmlns:a="http://schemas.openxmlformats.org/drawingml/2006/main">
        <w:t xml:space="preserve">Teachers observe children during play and record progress in simple learning journals.</w:t>
      </w:r>
    </w:p>
    <w:p>
      <w:r xmlns:a="http://schemas.openxmlformats.org/drawingml/2006/main">
        <w:t xml:space="preserve">Assessment focuses on growth rather than comparison between children.</w:t>
      </w:r>
    </w:p>
    <w:p>
      <w:pPr>
        <w:pStyle w:val="Heading1"/>
      </w:pPr>
      <w:r xmlns:a="http://schemas.openxmlformats.org/drawingml/2006/main">
        <w:t xml:space="preserve">Professional Learning</w:t>
      </w:r>
    </w:p>
    <w:p>
      <w:r xmlns:a="http://schemas.openxmlformats.org/drawingml/2006/main">
        <w:t xml:space="preserve">Teachers meet every two weeks to share ideas and review student work together.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EED8"/>
                        </a:solidFill>
                        <a:ln w="12700">
                          <a:solidFill>
                            <a:srgbClr val="F5EE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BF8F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BF8F00"/>
                                <w:sz w:val="28"/>
                              </w:rPr>
                              <w:t xml:space="preserve">Tip: How does a typical day of a Prep Year child look?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Sunrise Primary School also offers online courses for new teachers.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Sunrise Primary School  |  Prep Year Support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Minutes by Activity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Minutes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Morning circle</c:v>
                </c:pt>
                <c:pt idx="1">
                  <c:v>Reading</c:v>
                </c:pt>
                <c:pt idx="2">
                  <c:v>Counting games</c:v>
                </c:pt>
                <c:pt idx="3">
                  <c:v>Outdoor play</c:v>
                </c:pt>
                <c:pt idx="4">
                  <c:v>Story writing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15.0</c:v>
                </c:pt>
                <c:pt idx="1">
                  <c:v>30.0</c:v>
                </c:pt>
                <c:pt idx="2">
                  <c:v>25.0</c:v>
                </c:pt>
                <c:pt idx="3">
                  <c:v>40.0</c:v>
                </c:pt>
                <c:pt idx="4">
                  <c:v>20.0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EAD3162-504A-4A21-B616-160A48E7E826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F1A15A5-DCE6-479F-822E-FE97BBA897E0}">
      <dgm:prSet phldrT="[Text]"/>
      <dgm:spPr/>
      <dgm:t>
        <a:bodyPr/>
        <a:lstStyle/>
        <a:p>
          <a:r>
            <a:rPr lang="en-US" dirty="0"/>
            <a:t>How does a typical day of a Prep Year child look?</a:t>
          </a:r>
        </a:p>
      </dgm:t>
    </dgm:pt>
    <dgm:pt modelId="{A8095C69-C599-4D47-9687-8C5B8AC2D005}" type="parTrans" cxnId="{1776CB20-1BF7-4CF9-B779-4C1398CCE01A}">
      <dgm:prSet/>
      <dgm:spPr/>
      <dgm:t>
        <a:bodyPr/>
        <a:lstStyle/>
        <a:p>
          <a:endParaRPr lang="en-US"/>
        </a:p>
      </dgm:t>
    </dgm:pt>
    <dgm:pt modelId="{95DDD823-381A-41ED-966C-DBF065BA98B2}" type="sibTrans" cxnId="{1776CB20-1BF7-4CF9-B779-4C1398CCE01A}">
      <dgm:prSet/>
      <dgm:spPr/>
      <dgm:t>
        <a:bodyPr/>
        <a:lstStyle/>
        <a:p>
          <a:endParaRPr lang="en-US"/>
        </a:p>
      </dgm:t>
    </dgm:pt>
    <dgm:pt modelId="{B6A578C3-0DCE-4559-BBC6-566547673FB1}">
      <dgm:prSet phldrT="[Text]"/>
      <dgm:spPr/>
      <dgm:t>
        <a:bodyPr/>
        <a:lstStyle/>
        <a:p>
          <a:r>
            <a:rPr lang="en-US" dirty="0"/>
            <a:t>How do children move between activities?</a:t>
          </a:r>
        </a:p>
      </dgm:t>
    </dgm:pt>
    <dgm:pt modelId="{2311AD43-C25A-4FCD-8B0D-21185DC9B062}" type="parTrans" cxnId="{E9DD8F15-2D24-450A-893F-7AFA66DB832E}">
      <dgm:prSet/>
      <dgm:spPr/>
      <dgm:t>
        <a:bodyPr/>
        <a:lstStyle/>
        <a:p>
          <a:endParaRPr lang="en-US"/>
        </a:p>
      </dgm:t>
    </dgm:pt>
    <dgm:pt modelId="{D7A32BD5-0C2D-459A-B7B4-822A98FD5456}" type="sibTrans" cxnId="{E9DD8F15-2D24-450A-893F-7AFA66DB832E}">
      <dgm:prSet/>
      <dgm:spPr/>
      <dgm:t>
        <a:bodyPr/>
        <a:lstStyle/>
        <a:p>
          <a:endParaRPr lang="en-US"/>
        </a:p>
      </dgm:t>
    </dgm:pt>
    <dgm:pt modelId="{F15CB34B-8409-4AC5-965E-6867C383A90F}">
      <dgm:prSet phldrT="[Text]"/>
      <dgm:spPr/>
      <dgm:t>
        <a:bodyPr/>
        <a:lstStyle/>
        <a:p>
          <a:r>
            <a:rPr lang="en-US" dirty="0"/>
            <a:t>What routines help children feel safe?</a:t>
          </a:r>
        </a:p>
      </dgm:t>
    </dgm:pt>
    <dgm:pt modelId="{42CC82DB-FB7E-4E10-A7F9-C94A03A09FC0}" type="parTrans" cxnId="{97269FE2-D8C7-42E7-A86E-D1971134FF20}">
      <dgm:prSet/>
      <dgm:spPr/>
      <dgm:t>
        <a:bodyPr/>
        <a:lstStyle/>
        <a:p>
          <a:endParaRPr lang="en-US"/>
        </a:p>
      </dgm:t>
    </dgm:pt>
    <dgm:pt modelId="{8AB0F7AB-70D7-46F1-8364-A9EE2CB03D6C}" type="sibTrans" cxnId="{97269FE2-D8C7-42E7-A86E-D1971134FF20}">
      <dgm:prSet/>
      <dgm:spPr/>
      <dgm:t>
        <a:bodyPr/>
        <a:lstStyle/>
        <a:p>
          <a:endParaRPr lang="en-US"/>
        </a:p>
      </dgm:t>
    </dgm:pt>
    <dgm:pt modelId="{D7D8476F-2854-4945-A709-5E557163E91E}">
      <dgm:prSet phldrT="[Text]"/>
      <dgm:spPr/>
      <dgm:t>
        <a:bodyPr/>
        <a:lstStyle/>
        <a:p>
          <a:r>
            <a:rPr lang="en-US" dirty="0"/>
            <a:t>How are families involved in learning?</a:t>
          </a:r>
        </a:p>
      </dgm:t>
    </dgm:pt>
    <dgm:pt modelId="{40FCC35B-7C5B-46D2-A118-EA4EED483F90}" type="parTrans" cxnId="{3AC9022D-55D4-4168-8A2B-42B121A19B0E}">
      <dgm:prSet/>
      <dgm:spPr/>
      <dgm:t>
        <a:bodyPr/>
        <a:lstStyle/>
        <a:p>
          <a:endParaRPr lang="en-US"/>
        </a:p>
      </dgm:t>
    </dgm:pt>
    <dgm:pt modelId="{43222125-ECF1-47EB-9AC7-DC321CCC027B}" type="sibTrans" cxnId="{3AC9022D-55D4-4168-8A2B-42B121A19B0E}">
      <dgm:prSet/>
      <dgm:spPr/>
      <dgm:t>
        <a:bodyPr/>
        <a:lstStyle/>
        <a:p>
          <a:endParaRPr lang="en-US"/>
        </a:p>
      </dgm:t>
    </dgm:pt>
  </dgm:ptLst>
  <dgm:cxnLst>
    <dgm:cxn modelId="{1776CB20-1BF7-4CF9-B779-4C1398CCE01A}" srcId="{DEAD3162-504A-4A21-B616-160A48E7E826}" destId="{0F1A15A5-DCE6-479F-822E-FE97BBA897E0}" srcOrd="0" destOrd="0" parTransId="{A8095C69-C599-4D47-9687-8C5B8AC2D005}" sibTransId="{95DDD823-381A-41ED-966C-DBF065BA98B2}"/>
    <dgm:cxn modelId="{E9DD8F15-2D24-450A-893F-7AFA66DB832E}" srcId="{DEAD3162-504A-4A21-B616-160A48E7E826}" destId="{B6A578C3-0DCE-4559-BBC6-566547673FB1}" srcOrd="1" destOrd="0" parTransId="{2311AD43-C25A-4FCD-8B0D-21185DC9B062}" sibTransId="{D7A32BD5-0C2D-459A-B7B4-822A98FD5456}"/>
    <dgm:cxn modelId="{97269FE2-D8C7-42E7-A86E-D1971134FF20}" srcId="{DEAD3162-504A-4A21-B616-160A48E7E826}" destId="{F15CB34B-8409-4AC5-965E-6867C383A90F}" srcOrd="2" destOrd="0" parTransId="{42CC82DB-FB7E-4E10-A7F9-C94A03A09FC0}" sibTransId="{8AB0F7AB-70D7-46F1-8364-A9EE2CB03D6C}"/>
    <dgm:cxn modelId="{3AC9022D-55D4-4168-8A2B-42B121A19B0E}" srcId="{DEAD3162-504A-4A21-B616-160A48E7E826}" destId="{D7D8476F-2854-4945-A709-5E557163E91E}" srcOrd="3" destOrd="0" parTransId="{40FCC35B-7C5B-46D2-A118-EA4EED483F90}" sibTransId="{43222125-ECF1-47EB-9AC7-DC321CCC027B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1A15A5-DCE6-479F-822E-FE97BBA897E0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How does a typical day of a Prep Year child look?</a:t>
          </a:r>
        </a:p>
      </dsp:txBody>
      <dsp:txXfrm>
        <a:off x="0" y="614660"/>
        <a:ext cx="1206551" cy="965240"/>
      </dsp:txXfrm>
    </dsp:sp>
    <dsp:sp modelId="{B6A578C3-0DCE-4559-BBC6-566547673FB1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How do children move between activities?</a:t>
          </a:r>
        </a:p>
      </dsp:txBody>
      <dsp:txXfrm>
        <a:off x="1365656" y="614660"/>
        <a:ext cx="1206551" cy="965240"/>
      </dsp:txXfrm>
    </dsp:sp>
    <dsp:sp modelId="{F15CB34B-8409-4AC5-965E-6867C383A90F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What routines help children feel safe?</a:t>
          </a:r>
        </a:p>
      </dsp:txBody>
      <dsp:txXfrm>
        <a:off x="2731312" y="614660"/>
        <a:ext cx="1206551" cy="965240"/>
      </dsp:txXfrm>
    </dsp:sp>
    <dsp:sp modelId="{D7D8476F-2854-4945-A709-5E557163E91E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How are families involved in learning?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 Year Support Material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