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360"/>
      </w:tblGrid>
      <w:tr>
        <w:trPr>
          <w:tblHeader/>
        </w:trPr>
        <w:tc>
          <w:tcPr>
            <w:tcW w:type="dxa" w:w="9360"/>
            <w:shd w:val="clear" w:color="auto" w:fill="ED7D31"/>
            <w:tcMar>
              <w:top w:w="200" w:type="dxa"/>
              <w:left w:w="240" w:type="dxa"/>
              <w:bottom w:w="200" w:type="dxa"/>
              <w:right w:w="240" w:type="dxa"/>
            </w:tcMar>
          </w:tcPr>
          <w:p>
            <w:r>
              <w:rPr>
                <w:b/>
                <w:color w:val="F7CBAC"/>
                <w:sz w:val="18"/>
              </w:rPr>
              <w:t>NEWSLETTER · ISSUE 7 · SEPTEMBER 2026</w:t>
            </w:r>
          </w:p>
          <w:p>
            <w:pPr>
              <w:pStyle w:val="Title"/>
              <w:pBdr>
                <w:bottom w:val="nil"/>
              </w:pBdr>
            </w:pPr>
            <w:r>
              <w:rPr>
                <w:b/>
                <w:color w:val="FFFFFF"/>
              </w:rPr>
              <w:t>Handy Home News</w:t>
            </w:r>
          </w:p>
          <w:p>
            <w:r>
              <w:rPr>
                <w:i/>
                <w:color w:val="FADECB"/>
                <w:sz w:val="24"/>
              </w:rPr>
              <w:t>Handy Home Stores – Can Tho</w:t>
            </w:r>
          </w:p>
        </w:tc>
      </w:tr>
    </w:tbl>
    <w:p/>
    <w:p>
      <w:pPr>
        <w:pStyle w:val="Heading1"/>
      </w:pPr>
      <w:r xmlns:a="http://schemas.openxmlformats.org/drawingml/2006/main">
        <w:t xml:space="preserve">New Stores Opening</w:t>
      </w:r>
    </w:p>
    <w:p>
      <w:r xmlns:a="http://schemas.openxmlformats.org/drawingml/2006/main">
        <w:t xml:space="preserve">Handy Home Stores will open two new stores this year in Can Tho and Vung Tau.</w:t>
      </w:r>
    </w:p>
    <w:p>
      <w:r xmlns:a="http://schemas.openxmlformats.org/drawingml/2006/main">
        <w:t xml:space="preserve">Each store will offer a garden center, a paint mixing station, and a free parking area.</w:t>
      </w:r>
    </w:p>
    <w:p>
      <w:pPr>
        <w:pStyle w:val="Heading1"/>
      </w:pPr>
      <w:r xmlns:a="http://schemas.openxmlformats.org/drawingml/2006/main">
        <w:t xml:space="preserve">DIY Seminars</w:t>
      </w:r>
    </w:p>
    <w:p>
      <w:r xmlns:a="http://schemas.openxmlformats.org/drawingml/2006/main">
        <w:t xml:space="preserve">Our free weekend seminars teach customers how to paint walls, fix leaking taps, and build simple shelves.</w:t>
      </w:r>
    </w:p>
    <w:p>
      <w:r xmlns:a="http://schemas.openxmlformats.org/drawingml/2006/main">
        <mc:AlternateContent>
          <mc:Choice Requires="wps">
            <w:drawing>
              <wp:anchor distT="45720" distB="45720" distL="114300" distR="114300" simplePos="0" relativeHeight="251659365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2194560" cy="1097280"/>
                <wp:effectExtent l="0" t="0" r="0" b="0"/>
                <wp:wrapSquare wrapText="bothSides"/>
                <wp:docPr id="101" name="Text Box 1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4560" cy="1097280"/>
                        </a:xfrm>
                        <a:prstGeom prst="rect">
                          <a:avLst/>
                        </a:prstGeom>
                        <a:solidFill>
                          <a:srgbClr val="FCEBE0"/>
                        </a:solidFill>
                        <a:ln w="12700">
                          <a:solidFill>
                            <a:srgbClr val="FCEBE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color w:val="ED7D31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ED7D31"/>
                                <w:sz w:val="28"/>
                              </w:rPr>
                              <w:t xml:space="preserve">Highlight: Paint walls is one of our key topics this year.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r xmlns:a="http://schemas.openxmlformats.org/drawingml/2006/main">
        <w:t xml:space="preserve">Seminars are led by experienced staff and last about ninety minutes.</w:t>
      </w:r>
    </w:p>
    <w:p>
      <w:pPr>
        <w:pStyle w:val="ListParagraph"/>
        <w:numPr>
          <w:ilvl w:val="0"/>
          <w:numId w:val="210"/>
        </w:numPr>
      </w:pPr>
      <w:r>
        <w:t>Paint walls</w:t>
      </w:r>
    </w:p>
    <w:p>
      <w:pPr>
        <w:pStyle w:val="ListParagraph"/>
        <w:numPr>
          <w:ilvl w:val="1"/>
          <w:numId w:val="210"/>
        </w:numPr>
      </w:pPr>
      <w:r>
        <w:t>Fix leaking taps</w:t>
      </w:r>
    </w:p>
    <w:p>
      <w:pPr>
        <w:pStyle w:val="ListParagraph"/>
        <w:numPr>
          <w:ilvl w:val="1"/>
          <w:numId w:val="210"/>
        </w:numPr>
      </w:pPr>
      <w:r>
        <w:t>Build shelves</w:t>
      </w:r>
    </w:p>
    <w:p>
      <w:pPr>
        <w:pStyle w:val="ListParagraph"/>
        <w:numPr>
          <w:ilvl w:val="0"/>
          <w:numId w:val="210"/>
        </w:numPr>
      </w:pPr>
      <w:r>
        <w:t>Lay tiles</w:t>
      </w:r>
    </w:p>
    <w:p>
      <w:pPr>
        <w:pStyle w:val="ListParagraph"/>
        <w:numPr>
          <w:ilvl w:val="1"/>
          <w:numId w:val="210"/>
        </w:numPr>
      </w:pPr>
      <w:r>
        <w:t>Plant gardens</w:t>
      </w:r>
    </w:p>
    <w:p>
      <w:pPr>
        <w:pStyle w:val="ListParagraph"/>
        <w:numPr>
          <w:ilvl w:val="0"/>
          <w:numId w:val="210"/>
        </w:numPr>
      </w:pPr>
      <w:r>
        <w:t>Repair doors</w:t>
      </w:r>
    </w:p>
    <w:p>
      <w:pPr>
        <w:pStyle w:val="Heading1"/>
      </w:pPr>
      <w:r xmlns:a="http://schemas.openxmlformats.org/drawingml/2006/main">
        <w:t xml:space="preserve">Store Locations and Hours</w:t>
      </w:r>
    </w:p>
    <w:p>
      <w:r xmlns:a="http://schemas.openxmlformats.org/drawingml/2006/main">
        <w:t xml:space="preserve">Handy Home Stores are open every day from 8:00 to 21:00.</w:t>
      </w:r>
    </w:p>
    <w:p>
      <w:r xmlns:a="http://schemas.openxmlformats.org/drawingml/2006/main">
        <w:t xml:space="preserve">Holiday opening hours are posted on our website.</w:t>
      </w:r>
    </w:p>
    <w:tbl>
      <w:tblPr>
        <w:tblStyle w:val="TableGrid"/>
        <w:tblW w:type="auto" w:w="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color w:val="ED7D31"/>
                <w:sz w:val="24"/>
              </w:rPr>
              <w:t>DIY Summary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rPr>
          <w:tblHeader/>
        </w:trPr>
        <w:tc>
          <w:tcPr>
            <w:tcW w:type="dxa" w:w="3120"/>
            <w:shd w:val="clear" w:color="auto" w:fill="ED7D31"/>
          </w:tcPr>
          <w:p>
            <w:r>
              <w:rPr>
                <w:b/>
                <w:color w:val="FFFFFF"/>
              </w:rPr>
              <w:t>Seminar</w:t>
            </w:r>
          </w:p>
        </w:tc>
        <w:tc>
          <w:tcPr>
            <w:tcW w:type="dxa" w:w="3120"/>
            <w:shd w:val="clear" w:color="auto" w:fill="ED7D31"/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3120"/>
            <w:shd w:val="clear" w:color="auto" w:fill="ED7D31"/>
          </w:tcPr>
          <w:p>
            <w:r>
              <w:rPr>
                <w:b/>
                <w:color w:val="FFFFFF"/>
              </w:rPr>
              <w:t>Duration (min)</w:t>
            </w:r>
          </w:p>
        </w:tc>
      </w:tr>
      <w:tr>
        <w:tc>
          <w:tcPr>
            <w:tcW w:type="dxa" w:w="3120"/>
          </w:tcPr>
          <w:p>
            <w:r>
              <w:t>Painting Walls</w:t>
            </w:r>
          </w:p>
        </w:tc>
        <w:tc>
          <w:tcPr>
            <w:tcW w:type="dxa" w:w="3120"/>
          </w:tcPr>
          <w:p>
            <w:r>
              <w:t>Decoration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90</w:t>
            </w:r>
          </w:p>
        </w:tc>
      </w:tr>
      <w:tr>
        <w:tc>
          <w:tcPr>
            <w:tcW w:type="dxa" w:w="3120"/>
            <w:shd w:val="clear" w:color="auto" w:fill="FCEFE6"/>
          </w:tcPr>
          <w:p>
            <w:r>
              <w:t>Fixing Taps</w:t>
            </w:r>
          </w:p>
        </w:tc>
        <w:tc>
          <w:tcPr>
            <w:tcW w:type="dxa" w:w="3120"/>
            <w:shd w:val="clear" w:color="auto" w:fill="FCEFE6"/>
          </w:tcPr>
          <w:p>
            <w:r>
              <w:t>Plumbing</w:t>
            </w:r>
          </w:p>
        </w:tc>
        <w:tc>
          <w:tcPr>
            <w:tcW w:type="dxa" w:w="3120"/>
            <w:shd w:val="clear" w:color="auto" w:fill="FCEFE6"/>
          </w:tcPr>
          <w:p>
            <w:pPr>
              <w:jc w:val="right"/>
            </w:pPr>
            <w:r>
              <w:t>60</w:t>
            </w:r>
          </w:p>
        </w:tc>
      </w:tr>
      <w:tr>
        <w:tc>
          <w:tcPr>
            <w:tcW w:type="dxa" w:w="3120"/>
          </w:tcPr>
          <w:p>
            <w:r>
              <w:t>Building Shelves</w:t>
            </w:r>
          </w:p>
        </w:tc>
        <w:tc>
          <w:tcPr>
            <w:tcW w:type="dxa" w:w="3120"/>
          </w:tcPr>
          <w:p>
            <w:r>
              <w:t>Woodwork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120</w:t>
            </w:r>
          </w:p>
        </w:tc>
      </w:tr>
      <w:tr>
        <w:tc>
          <w:tcPr>
            <w:tcW w:type="dxa" w:w="3120"/>
            <w:shd w:val="clear" w:color="auto" w:fill="FCEFE6"/>
          </w:tcPr>
          <w:p>
            <w:r>
              <w:t>Tiling Basics</w:t>
            </w:r>
          </w:p>
        </w:tc>
        <w:tc>
          <w:tcPr>
            <w:tcW w:type="dxa" w:w="3120"/>
            <w:shd w:val="clear" w:color="auto" w:fill="FCEFE6"/>
          </w:tcPr>
          <w:p>
            <w:r>
              <w:t>Decoration</w:t>
            </w:r>
          </w:p>
        </w:tc>
        <w:tc>
          <w:tcPr>
            <w:tcW w:type="dxa" w:w="3120"/>
            <w:shd w:val="clear" w:color="auto" w:fill="FCEFE6"/>
          </w:tcPr>
          <w:p>
            <w:pPr>
              <w:jc w:val="right"/>
            </w:pPr>
            <w:r>
              <w:t>90</w:t>
            </w:r>
          </w:p>
        </w:tc>
      </w:tr>
      <w:tr>
        <w:tc>
          <w:tcPr>
            <w:tcW w:type="dxa" w:w="3120"/>
          </w:tcPr>
          <w:p>
            <w:r>
              <w:t>Garden Beds</w:t>
            </w:r>
          </w:p>
        </w:tc>
        <w:tc>
          <w:tcPr>
            <w:tcW w:type="dxa" w:w="3120"/>
          </w:tcPr>
          <w:p>
            <w:r>
              <w:t>Garden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75</w:t>
            </w:r>
          </w:p>
        </w:tc>
      </w:tr>
      <w:tr>
        <w:tc>
          <w:tcPr>
            <w:tcW w:type="dxa" w:w="3120"/>
            <w:shd w:val="clear" w:color="auto" w:fill="FCEFE6"/>
          </w:tcPr>
          <w:p>
            <w:r>
              <w:t>Door Repair</w:t>
            </w:r>
          </w:p>
        </w:tc>
        <w:tc>
          <w:tcPr>
            <w:tcW w:type="dxa" w:w="3120"/>
            <w:shd w:val="clear" w:color="auto" w:fill="FCEFE6"/>
          </w:tcPr>
          <w:p>
            <w:r>
              <w:t>Woodwork</w:t>
            </w:r>
          </w:p>
        </w:tc>
        <w:tc>
          <w:tcPr>
            <w:tcW w:type="dxa" w:w="3120"/>
            <w:shd w:val="clear" w:color="auto" w:fill="FCEFE6"/>
          </w:tcPr>
          <w:p>
            <w:pPr>
              <w:jc w:val="right"/>
            </w:pPr>
            <w:r>
              <w:t>60</w:t>
            </w:r>
          </w:p>
        </w:tc>
      </w:tr>
    </w:tbl>
    <w:p/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029200" cy="2743200"/>
            <wp:effectExtent l="0" t="0" r="0" b="0"/>
            <wp:docPr id="5001" name="Chart 1" descr="Chart showing duration (min) by seminar"/>
            <wp:cNvGraphicFramePr/>
            <a:graphic>
              <a:graphicData uri="http://schemas.openxmlformats.org/drawingml/2006/chart">
                <c:chart r:id="rId9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Mascot Family Growing, Too!</w:t>
      </w:r>
    </w:p>
    <w:p>
      <w:r xmlns:a="http://schemas.openxmlformats.org/drawingml/2006/main">
        <w:t xml:space="preserve">Our friendly mascot, Handy Hammer, now has a little sister named Paint Brush.</w:t>
      </w:r>
    </w:p>
    <w:p>
      <w:r xmlns:a="http://schemas.openxmlformats.org/drawingml/2006/main">
        <w:t xml:space="preserve">Children can meet the mascots at every store opening event.</w:t>
      </w:r>
    </w:p>
    <w:p>
      <w:r xmlns:a="http://schemas.openxmlformats.org/drawingml/2006/main">
        <w:t xml:space="preserve">Paint walls</w:t>
      </w:r>
    </w:p>
    <w:p>
      <w:r xmlns:a="http://schemas.openxmlformats.org/drawingml/2006/main">
        <w:t xml:space="preserve">Fix leaking taps</w:t>
      </w:r>
    </w:p>
    <w:p>
      <w:r xmlns:a="http://schemas.openxmlformats.org/drawingml/2006/main">
        <w:t xml:space="preserve">Build shelves</w:t>
      </w:r>
    </w:p>
    <w:p>
      <w:r xmlns:a="http://schemas.openxmlformats.org/drawingml/2006/main">
        <w:t xml:space="preserve">Lay tiles</w:t>
      </w:r>
    </w:p>
    <w:p>
      <w:r xmlns:a="http://schemas.openxmlformats.org/drawingml/2006/main">
        <w:t xml:space="preserve">Plant gardens</w:t>
      </w:r>
    </w:p>
    <w:p>
      <w:pPr>
        <w:pStyle w:val="Heading1"/>
      </w:pPr>
      <w:r xmlns:a="http://schemas.openxmlformats.org/drawingml/2006/main">
        <w:t xml:space="preserve">Customer Rewards</w:t>
      </w:r>
    </w:p>
    <w:p>
      <w:r xmlns:a="http://schemas.openxmlformats.org/drawingml/2006/main">
        <w:t xml:space="preserve">Members of the rewards program earn one point for every 10,000 dong spent.</w:t>
      </w:r>
    </w:p>
    <w:p>
      <w:r xmlns:a="http://schemas.openxmlformats.org/drawingml/2006/main">
        <w:t xml:space="preserve">Points can be used for discounts, free delivery, or seminar materials.</w:t>
      </w:r>
    </w:p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303520" cy="2194560"/>
            <wp:effectExtent l="0" t="0" r="0" b="0"/>
            <wp:docPr id="5002" name="Diagram 1" descr="DIY process diagram"/>
            <wp:cNvGraphicFramePr/>
            <a:graphic>
              <a:graphicData uri="http://schemas.openxmlformats.org/drawingml/2006/diagram">
                <dgm:relIds r:dm="rId11" r:lo="rId12" r:qs="rId13" r:cs="rId14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Tips of the Month</w:t>
      </w:r>
    </w:p>
    <w:p>
      <w:r xmlns:a="http://schemas.openxmlformats.org/drawingml/2006/main">
        <w:t xml:space="preserve">Before painting, clean the walls and cover the floor with plastic sheets.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7440" cy="1532128"/>
            <wp:docPr id="5003" name="Picture 5003" descr="Handy Home Stores pho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Y_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532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Above: Handy Home Stores</w:t>
      </w:r>
    </w:p>
    <w:p>
      <w:r xmlns:a="http://schemas.openxmlformats.org/drawingml/2006/main">
        <w:t xml:space="preserve">Always read the safety instructions on paint and cleaning products.</w:t>
      </w:r>
    </w:p>
    <w:p>
      <w:r xmlns:a="http://schemas.openxmlformats.org/drawingml/2006/main">
        <w:t xml:space="preserve">Paint walls</w:t>
      </w:r>
    </w:p>
    <w:p>
      <w:r xmlns:a="http://schemas.openxmlformats.org/drawingml/2006/main">
        <w:t xml:space="preserve">Fix leaking taps</w:t>
      </w:r>
    </w:p>
    <w:p>
      <w:r xmlns:a="http://schemas.openxmlformats.org/drawingml/2006/main">
        <w:t xml:space="preserve">Build shelves</w:t>
      </w:r>
    </w:p>
    <w:p>
      <w:r xmlns:a="http://schemas.openxmlformats.org/drawingml/2006/main">
        <w:t xml:space="preserve">Lay tiles</w:t>
      </w:r>
    </w:p>
    <w:sectPr w:rsidR="00FC693F" w:rsidRPr="0006063C" w:rsidSect="00034616">
      <w:foot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© 2026 Handy Home Stores  |  Handy Home News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210">
    <w:abstractNumId w:val="9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Relationship Id="rId10" Type="http://schemas.microsoft.com/office/2007/relationships/diagramDrawing" Target="diagrams/drawing1.xml"/><Relationship Id="rId11" Type="http://schemas.openxmlformats.org/officeDocument/2006/relationships/diagramData" Target="diagrams/data1.xml"/><Relationship Id="rId12" Type="http://schemas.openxmlformats.org/officeDocument/2006/relationships/diagramLayout" Target="diagrams/layout1.xml"/><Relationship Id="rId13" Type="http://schemas.openxmlformats.org/officeDocument/2006/relationships/diagramQuickStyle" Target="diagrams/quickStyle1.xml"/><Relationship Id="rId14" Type="http://schemas.openxmlformats.org/officeDocument/2006/relationships/diagramColors" Target="diagrams/colors1.xml"/><Relationship Id="rId15" Type="http://schemas.openxmlformats.org/officeDocument/2006/relationships/image" Target="media/image1.png"/><Relationship Id="rId16" Type="http://schemas.openxmlformats.org/officeDocument/2006/relationships/footer" Target="footer1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title>
      <c:tx>
        <c:rich>
          <a:bodyPr/>
          <a:lstStyle/>
          <a:p>
            <a:pPr>
              <a:defRPr sz="1400" b="0"/>
            </a:pPr>
            <a:r>
              <a:rPr lang="en-US" sz="1400" b="0"/>
              <a:t>Duration (min) by Seminar</a:t>
            </a:r>
          </a:p>
        </c:rich>
      </c:tx>
      <c:overlay val="0"/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Duration (min)</c:v>
                </c:pt>
              </c:strCache>
            </c:strRef>
          </c:tx>
          <c:cat>
            <c:strRef>
              <c:f>Sheet1!$A$2:$A$6</c:f>
              <c:strCache>
                <c:ptCount val="5"/>
                <c:pt idx="0">
                  <c:v>Painting Walls</c:v>
                </c:pt>
                <c:pt idx="1">
                  <c:v>Fixing Taps</c:v>
                </c:pt>
                <c:pt idx="2">
                  <c:v>Building Shelves</c:v>
                </c:pt>
                <c:pt idx="3">
                  <c:v>Tiling Basics</c:v>
                </c:pt>
                <c:pt idx="4">
                  <c:v>Garden Beds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90.0</c:v>
                </c:pt>
                <c:pt idx="1">
                  <c:v>60.0</c:v>
                </c:pt>
                <c:pt idx="2">
                  <c:v>120.0</c:v>
                </c:pt>
                <c:pt idx="3">
                  <c:v>90.0</c:v>
                </c:pt>
                <c:pt idx="4">
                  <c:v>75.0</c:v>
                </c:pt>
              </c:numCache>
            </c:numRef>
          </c:val>
        </c:ser>
        <c:firstSliceAng val="0"/>
      </c:pieChart>
    </c:plotArea>
    <c:legend>
      <c:legendPos val="r"/>
      <c:overlay val="0"/>
    </c:legend>
    <c:plotVisOnly val="1"/>
    <c:dispBlanksAs val="gap"/>
  </c:chart>
  <c:txPr>
    <a:bodyPr/>
    <a:lstStyle/>
    <a:p>
      <a:pPr>
        <a:defRPr sz="1000"/>
      </a:pPr>
      <a:endParaRPr lang="en-US"/>
    </a:p>
  </c:txPr>
  <c:externalData r:id="rId1">
    <c:autoUpdate val="0"/>
  </c:externalData>
</c:chartSpac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AD99F202-01A4-4D04-85E3-0E77A8D5ED24}" type="doc">
      <dgm:prSet loTypeId="urn:microsoft.com/office/officeart/2005/8/layout/chevron1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245F95C8-C595-470B-8008-FE25064541DB}">
      <dgm:prSet phldrT="[Text]"/>
      <dgm:spPr/>
      <dgm:t>
        <a:bodyPr/>
        <a:lstStyle/>
        <a:p>
          <a:r>
            <a:rPr lang="en-US" dirty="0"/>
            <a:t>Paint walls</a:t>
          </a:r>
        </a:p>
      </dgm:t>
    </dgm:pt>
    <dgm:pt modelId="{80D4D7CB-6837-4314-8B52-6EE07129C129}" type="parTrans" cxnId="{6AB6E173-29A6-4A3B-92A3-7E329FA1CAB3}">
      <dgm:prSet/>
      <dgm:spPr/>
      <dgm:t>
        <a:bodyPr/>
        <a:lstStyle/>
        <a:p>
          <a:endParaRPr lang="en-US"/>
        </a:p>
      </dgm:t>
    </dgm:pt>
    <dgm:pt modelId="{F1DDA065-41E0-4340-ACFC-A125947CFB10}" type="sibTrans" cxnId="{6AB6E173-29A6-4A3B-92A3-7E329FA1CAB3}">
      <dgm:prSet/>
      <dgm:spPr/>
      <dgm:t>
        <a:bodyPr/>
        <a:lstStyle/>
        <a:p>
          <a:endParaRPr lang="en-US"/>
        </a:p>
      </dgm:t>
    </dgm:pt>
    <dgm:pt modelId="{133AE4B1-791E-49BF-81C1-C0E03C3DB2F6}">
      <dgm:prSet phldrT="[Text]"/>
      <dgm:spPr/>
      <dgm:t>
        <a:bodyPr/>
        <a:lstStyle/>
        <a:p>
          <a:r>
            <a:rPr lang="en-US" dirty="0"/>
            <a:t>Fix leaking taps</a:t>
          </a:r>
        </a:p>
      </dgm:t>
    </dgm:pt>
    <dgm:pt modelId="{BD129662-4E76-408E-A12E-32CDE604A7A0}" type="parTrans" cxnId="{AAF56B84-2879-447D-9E37-574D7A116BA1}">
      <dgm:prSet/>
      <dgm:spPr/>
      <dgm:t>
        <a:bodyPr/>
        <a:lstStyle/>
        <a:p>
          <a:endParaRPr lang="en-US"/>
        </a:p>
      </dgm:t>
    </dgm:pt>
    <dgm:pt modelId="{F210C359-574C-436D-BE23-857D9CC90F09}" type="sibTrans" cxnId="{AAF56B84-2879-447D-9E37-574D7A116BA1}">
      <dgm:prSet/>
      <dgm:spPr/>
      <dgm:t>
        <a:bodyPr/>
        <a:lstStyle/>
        <a:p>
          <a:endParaRPr lang="en-US"/>
        </a:p>
      </dgm:t>
    </dgm:pt>
    <dgm:pt modelId="{04DF4584-81DB-4F59-9F65-0D988619CD01}">
      <dgm:prSet phldrT="[Text]"/>
      <dgm:spPr/>
      <dgm:t>
        <a:bodyPr/>
        <a:lstStyle/>
        <a:p>
          <a:r>
            <a:rPr lang="en-US" dirty="0"/>
            <a:t>Build shelves</a:t>
          </a:r>
        </a:p>
      </dgm:t>
    </dgm:pt>
    <dgm:pt modelId="{C1DC4B32-3ACA-4E0D-B6D9-D7D86C1A2B4E}" type="parTrans" cxnId="{8D73F4AF-AA1D-4F8A-BA36-72A3A3CDAF7B}">
      <dgm:prSet/>
      <dgm:spPr/>
      <dgm:t>
        <a:bodyPr/>
        <a:lstStyle/>
        <a:p>
          <a:endParaRPr lang="en-US"/>
        </a:p>
      </dgm:t>
    </dgm:pt>
    <dgm:pt modelId="{3694EE75-9893-4207-9D0C-8C34799534C3}" type="sibTrans" cxnId="{8D73F4AF-AA1D-4F8A-BA36-72A3A3CDAF7B}">
      <dgm:prSet/>
      <dgm:spPr/>
      <dgm:t>
        <a:bodyPr/>
        <a:lstStyle/>
        <a:p>
          <a:endParaRPr lang="en-US"/>
        </a:p>
      </dgm:t>
    </dgm:pt>
    <dgm:pt modelId="{89E44DA9-1CDC-427C-A52E-2369DBC6BCCC}">
      <dgm:prSet phldrT="[Text]"/>
      <dgm:spPr/>
      <dgm:t>
        <a:bodyPr/>
        <a:lstStyle/>
        <a:p>
          <a:r>
            <a:rPr lang="en-US" dirty="0"/>
            <a:t>Lay tiles</a:t>
          </a:r>
        </a:p>
      </dgm:t>
    </dgm:pt>
    <dgm:pt modelId="{F29E6D74-4AC0-481B-B1D1-4EE9CA84D331}" type="parTrans" cxnId="{045D8516-7BD6-4B84-ABB3-D967476CF681}">
      <dgm:prSet/>
      <dgm:spPr/>
      <dgm:t>
        <a:bodyPr/>
        <a:lstStyle/>
        <a:p>
          <a:endParaRPr lang="en-US"/>
        </a:p>
      </dgm:t>
    </dgm:pt>
    <dgm:pt modelId="{CDB1ACF1-04C8-48D8-8FCD-8044D9A24D78}" type="sibTrans" cxnId="{045D8516-7BD6-4B84-ABB3-D967476CF681}">
      <dgm:prSet/>
      <dgm:spPr/>
      <dgm:t>
        <a:bodyPr/>
        <a:lstStyle/>
        <a:p>
          <a:endParaRPr lang="en-US"/>
        </a:p>
      </dgm:t>
    </dgm:pt>
  </dgm:ptLst>
  <dgm:cxnLst>
    <dgm:cxn modelId="{6AB6E173-29A6-4A3B-92A3-7E329FA1CAB3}" srcId="{AD99F202-01A4-4D04-85E3-0E77A8D5ED24}" destId="{245F95C8-C595-470B-8008-FE25064541DB}" srcOrd="0" destOrd="0" parTransId="{80D4D7CB-6837-4314-8B52-6EE07129C129}" sibTransId="{F1DDA065-41E0-4340-ACFC-A125947CFB10}"/>
    <dgm:cxn modelId="{AAF56B84-2879-447D-9E37-574D7A116BA1}" srcId="{AD99F202-01A4-4D04-85E3-0E77A8D5ED24}" destId="{133AE4B1-791E-49BF-81C1-C0E03C3DB2F6}" srcOrd="1" destOrd="0" parTransId="{BD129662-4E76-408E-A12E-32CDE604A7A0}" sibTransId="{F210C359-574C-436D-BE23-857D9CC90F09}"/>
    <dgm:cxn modelId="{8D73F4AF-AA1D-4F8A-BA36-72A3A3CDAF7B}" srcId="{AD99F202-01A4-4D04-85E3-0E77A8D5ED24}" destId="{04DF4584-81DB-4F59-9F65-0D988619CD01}" srcOrd="2" destOrd="0" parTransId="{C1DC4B32-3ACA-4E0D-B6D9-D7D86C1A2B4E}" sibTransId="{3694EE75-9893-4207-9D0C-8C34799534C3}"/>
    <dgm:cxn modelId="{045D8516-7BD6-4B84-ABB3-D967476CF681}" srcId="{AD99F202-01A4-4D04-85E3-0E77A8D5ED24}" destId="{89E44DA9-1CDC-427C-A52E-2369DBC6BCCC}" srcOrd="3" destOrd="0" parTransId="{F29E6D74-4AC0-481B-B1D1-4EE9CA84D331}" sibTransId="{CDB1ACF1-04C8-48D8-8FCD-8044D9A24D78}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45F95C8-C595-470B-8008-FE25064541DB}">
      <dsp:nvSpPr>
        <dsp:cNvPr id="0" name=""/>
        <dsp:cNvSpPr/>
      </dsp:nvSpPr>
      <dsp:spPr>
        <a:xfrm>
          <a:off x="0" y="535107"/>
          <a:ext cx="1405432" cy="1124345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Paint walls</a:t>
          </a:r>
        </a:p>
      </dsp:txBody>
      <dsp:txXfrm>
        <a:off x="281086" y="535107"/>
        <a:ext cx="843260" cy="1124345"/>
      </dsp:txXfrm>
    </dsp:sp>
    <dsp:sp modelId="{133AE4B1-791E-49BF-81C1-C0E03C3DB2F6}">
      <dsp:nvSpPr>
        <dsp:cNvPr id="0" name=""/>
        <dsp:cNvSpPr/>
      </dsp:nvSpPr>
      <dsp:spPr>
        <a:xfrm>
          <a:off x="1299362" y="535107"/>
          <a:ext cx="1405432" cy="1124345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Fix leaking taps</a:t>
          </a:r>
        </a:p>
      </dsp:txBody>
      <dsp:txXfrm>
        <a:off x="1580448" y="535107"/>
        <a:ext cx="843260" cy="1124345"/>
      </dsp:txXfrm>
    </dsp:sp>
    <dsp:sp modelId="{04DF4584-81DB-4F59-9F65-0D988619CD01}">
      <dsp:nvSpPr>
        <dsp:cNvPr id="0" name=""/>
        <dsp:cNvSpPr/>
      </dsp:nvSpPr>
      <dsp:spPr>
        <a:xfrm>
          <a:off x="2598724" y="535107"/>
          <a:ext cx="1405432" cy="1124345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Build shelves</a:t>
          </a:r>
        </a:p>
      </dsp:txBody>
      <dsp:txXfrm>
        <a:off x="2879810" y="535107"/>
        <a:ext cx="843260" cy="1124345"/>
      </dsp:txXfrm>
    </dsp:sp>
    <dsp:sp modelId="{89E44DA9-1CDC-427C-A52E-2369DBC6BCCC}">
      <dsp:nvSpPr>
        <dsp:cNvPr id="0" name=""/>
        <dsp:cNvSpPr/>
      </dsp:nvSpPr>
      <dsp:spPr>
        <a:xfrm>
          <a:off x="3898086" y="535107"/>
          <a:ext cx="1405432" cy="1124345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Lay tiles</a:t>
          </a:r>
        </a:p>
      </dsp:txBody>
      <dsp:txXfrm>
        <a:off x="4179172" y="535107"/>
        <a:ext cx="843260" cy="112434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hevron1">
  <dgm:title val=""/>
  <dgm:desc val=""/>
  <dgm:catLst>
    <dgm:cat type="process" pri="9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hoose name="Name4">
      <dgm:if name="Name5" axis="des" func="maxDepth" op="gte" val="2">
        <dgm:constrLst>
          <dgm:constr type="h" for="ch" forName="composite" refType="h"/>
          <dgm:constr type="w" for="ch" forName="composite" refType="w"/>
          <dgm:constr type="w" for="des" forName="parTx"/>
          <dgm:constr type="h" for="des" forName="parTx" op="equ"/>
          <dgm:constr type="w" for="des" forName="desTx"/>
          <dgm:constr type="h" for="des" forName="desTx" op="equ"/>
          <dgm:constr type="primFontSz" for="des" forName="parTx" val="65"/>
          <dgm:constr type="secFontSz" for="des" forName="desTx" refType="primFontSz" refFor="des" refForName="parTx" op="equ"/>
          <dgm:constr type="h" for="des" forName="parTx" refType="primFontSz" refFor="des" refForName="parTx" fact="1.5"/>
          <dgm:constr type="h" for="des" forName="desTx" refType="primFontSz" refFor="des" refForName="parTx" fact="0.5"/>
          <dgm:constr type="w" for="ch" forName="space" op="equ" val="-6"/>
        </dgm:constrLst>
        <dgm:ruleLst>
          <dgm:rule type="w" for="ch" forName="composite" val="0" fact="NaN" max="NaN"/>
          <dgm:rule type="primFontSz" for="des" forName="parTx" val="5" fact="NaN" max="NaN"/>
        </dgm:ruleLst>
        <dgm:forEach name="Name6" axis="ch" ptType="node"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hoose name="Name7">
              <dgm:if name="Name8" func="var" arg="dir" op="equ" val="norm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/>
                  <dgm:constr type="w" for="ch" forName="desTx" refType="w" refFor="ch" refForName="parTx" fact="0.8"/>
                  <dgm:constr type="t" for="ch" forName="desTx" refType="h" refFor="ch" refForName="parTx" fact="1.125"/>
                </dgm:constrLst>
              </dgm:if>
              <dgm:else name="Name9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 refType="w" fact="0.2"/>
                  <dgm:constr type="w" for="ch" forName="desTx" refType="w" refFor="ch" refForName="parTx" fact="0.8"/>
                  <dgm:constr type="t" for="ch" forName="desTx" refType="h" refFor="ch" refForName="parTx" fact="1.125"/>
                </dgm:constrLst>
              </dgm:else>
            </dgm:choose>
            <dgm:ruleLst>
              <dgm:rule type="h" val="INF" fact="NaN" max="NaN"/>
            </dgm:ruleLst>
            <dgm:layoutNode name="parTx">
              <dgm:varLst>
                <dgm:chMax val="0"/>
                <dgm:chPref val="0"/>
                <dgm:bulletEnabled val="1"/>
              </dgm:varLst>
              <dgm:alg type="tx"/>
              <dgm:choose name="Name10">
                <dgm:if name="Name11" func="var" arg="dir" op="equ" val="norm">
                  <dgm:shape xmlns:r="http://schemas.openxmlformats.org/officeDocument/2006/relationships" type="chevron" r:blip="">
                    <dgm:adjLst/>
                  </dgm:shape>
                </dgm:if>
                <dgm:else name="Name12">
                  <dgm:shape xmlns:r="http://schemas.openxmlformats.org/officeDocument/2006/relationships" rot="180" type="chevron" r:blip="">
                    <dgm:adjLst/>
                  </dgm:shape>
                </dgm:else>
              </dgm:choose>
              <dgm:presOf axis="self" ptType="node"/>
              <dgm:choose name="Name13">
                <dgm:if name="Name14" func="var" arg="dir" op="equ" val="norm">
                  <dgm:constrLst>
                    <dgm:constr type="h" refType="w" op="lte" fact="0.4"/>
                    <dgm:constr type="h"/>
                    <dgm:constr type="tMarg" refType="primFontSz" fact="0.105"/>
                    <dgm:constr type="bMarg" refType="primFontSz" fact="0.105"/>
                    <dgm:constr type="lMarg" refType="primFontSz" fact="0.315"/>
                    <dgm:constr type="rMarg" refType="primFontSz" fact="0.105"/>
                  </dgm:constrLst>
                </dgm:if>
                <dgm:else name="Name15">
                  <dgm:constrLst>
                    <dgm:constr type="h" refType="w" op="lte" fact="0.4"/>
                    <dgm:constr type="h"/>
                    <dgm:constr type="tMarg" refType="primFontSz" fact="0.105"/>
                    <dgm:constr type="bMarg" refType="primFontSz" fact="0.105"/>
                    <dgm:constr type="lMarg" refType="primFontSz" fact="0.105"/>
                    <dgm:constr type="rMarg" refType="primFontSz" fact="0.315"/>
                  </dgm:constrLst>
                </dgm:else>
              </dgm:choose>
              <dgm:ruleLst>
                <dgm:rule type="h" val="INF" fact="NaN" max="NaN"/>
              </dgm:ruleLst>
            </dgm:layoutNode>
            <dgm:layoutNode name="desTx" styleLbl="revTx">
              <dgm:varLst>
                <dgm:bulletEnabled val="1"/>
              </dgm:varLst>
              <dgm:alg type="tx">
                <dgm:param type="stBulletLvl" val="1"/>
              </dgm:alg>
              <dgm:choose name="Name16">
                <dgm:if name="Name17" axis="ch" ptType="node" func="cnt" op="gte" val="1">
                  <dgm:shape xmlns:r="http://schemas.openxmlformats.org/officeDocument/2006/relationships" type="rect" r:blip="">
                    <dgm:adjLst/>
                  </dgm:shape>
                </dgm:if>
                <dgm:else name="Name18">
                  <dgm:shape xmlns:r="http://schemas.openxmlformats.org/officeDocument/2006/relationships" type="rect" r:blip="" hideGeom="1">
                    <dgm:adjLst/>
                  </dgm:shape>
                </dgm:else>
              </dgm:choose>
              <dgm:presOf axis="des" ptType="node"/>
              <dgm:constrLst>
                <dgm:constr type="secFontSz" val="65"/>
                <dgm:constr type="primFontSz" refType="secFontSz"/>
                <dgm:constr type="h"/>
                <dgm:constr type="tMarg"/>
                <dgm:constr type="bMarg"/>
                <dgm:constr type="rMarg"/>
                <dgm:constr type="lMarg"/>
              </dgm:constrLst>
              <dgm:ruleLst>
                <dgm:rule type="h" val="INF" fact="NaN" max="NaN"/>
              </dgm:ruleLst>
            </dgm:layoutNode>
          </dgm:layoutNode>
          <dgm:forEach name="Name19" axis="followSib" ptType="sibTrans" cnt="1">
            <dgm:layoutNode name="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if>
      <dgm:else name="Name20">
        <dgm:constrLst>
          <dgm:constr type="w" for="ch" forName="parTxOnly" refType="w"/>
          <dgm:constr type="h" for="des" forName="parTxOnly" op="equ"/>
          <dgm:constr type="primFontSz" for="des" forName="parTxOnly" op="equ" val="65"/>
          <dgm:constr type="w" for="ch" forName="parTxOnlySpace" refType="w" refFor="ch" refForName="parTxOnly" fact="-0.1"/>
        </dgm:constrLst>
        <dgm:ruleLst/>
        <dgm:forEach name="Name21" axis="ch" ptType="node">
          <dgm:layoutNode name="parTxOnly">
            <dgm:varLst>
              <dgm:chMax val="0"/>
              <dgm:chPref val="0"/>
              <dgm:bulletEnabled val="1"/>
            </dgm:varLst>
            <dgm:alg type="tx"/>
            <dgm:choose name="Name22">
              <dgm:if name="Name23" func="var" arg="dir" op="equ" val="norm">
                <dgm:shape xmlns:r="http://schemas.openxmlformats.org/officeDocument/2006/relationships" type="chevron" r:blip="">
                  <dgm:adjLst/>
                </dgm:shape>
              </dgm:if>
              <dgm:else name="Name24">
                <dgm:shape xmlns:r="http://schemas.openxmlformats.org/officeDocument/2006/relationships" rot="180" type="chevron" r:blip="">
                  <dgm:adjLst/>
                </dgm:shape>
              </dgm:else>
            </dgm:choose>
            <dgm:presOf axis="self" ptType="node"/>
            <dgm:choose name="Name25">
              <dgm:if name="Name26" func="var" arg="dir" op="equ" val="norm">
                <dgm:constrLst>
                  <dgm:constr type="h" refType="w" op="equ" fact="0.4"/>
                  <dgm:constr type="tMarg" refType="primFontSz" fact="0.105"/>
                  <dgm:constr type="bMarg" refType="primFontSz" fact="0.105"/>
                  <dgm:constr type="lMarg" refType="primFontSz" fact="0.315"/>
                  <dgm:constr type="rMarg" refType="primFontSz" fact="0.105"/>
                </dgm:constrLst>
              </dgm:if>
              <dgm:else name="Name27">
                <dgm:constrLst>
                  <dgm:constr type="h" refType="w" op="equ" fact="0.4"/>
                  <dgm:constr type="tMarg" refType="primFontSz" fact="0.105"/>
                  <dgm:constr type="bMarg" refType="primFontSz" fact="0.105"/>
                  <dgm:constr type="lMarg" refType="primFontSz" fact="0.105"/>
                  <dgm:constr type="rMarg" refType="primFontSz" fact="0.315"/>
                </dgm:constrLst>
              </dgm:else>
            </dgm:choose>
            <dgm:ruleLst>
              <dgm:rule type="primFontSz" val="5" fact="NaN" max="NaN"/>
            </dgm:ruleLst>
          </dgm:layoutNode>
          <dgm:forEach name="Name28" axis="followSib" ptType="sibTrans" cnt="1">
            <dgm:layoutNode name="parTxOnly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else>
    </dgm:choos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Handy Home News</dc:title>
  <dc:subject/>
  <dc:creator>Nguyen Van An</dc:creator>
  <cp:keywords/>
  <dc:description/>
  <cp:lastModifiedBy>Nguyen Van An</cp:lastModifiedBy>
  <cp:revision>1</cp:revision>
  <dcterms:created xsi:type="dcterms:W3CDTF">2026-09-01T08:00:00Z</dcterms:created>
  <dcterms:modified xsi:type="dcterms:W3CDTF">2026-09-20T09:00:00Z</dcterms:modified>
  <cp:category/>
</cp:coreProperties>
</file>