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pPr>
      <w:r>
        <w:rPr>
          <w:rFonts w:ascii="Arial" w:hAnsi="Arial"/>
          <w:b/>
          <w:color w:val="E8390E"/>
          <w:sz w:val="17"/>
        </w:rPr>
        <w:t>BLOCKIFY  ·  FREE TOOL SPECIFICATION</w:t>
      </w:r>
    </w:p>
    <w:p>
      <w:pPr>
        <w:spacing w:before="0" w:after="120"/>
      </w:pPr>
      <w:r>
        <w:rPr>
          <w:rFonts w:ascii="Arial" w:hAnsi="Arial"/>
          <w:b/>
          <w:color w:val="1A1714"/>
          <w:sz w:val="56"/>
        </w:rPr>
        <w:t>Chargeback Rate Calculator</w:t>
      </w:r>
    </w:p>
    <w:p>
      <w:pPr>
        <w:spacing w:after="400"/>
      </w:pPr>
      <w:r>
        <w:rPr>
          <w:rFonts w:ascii="Arial" w:hAnsi="Arial"/>
          <w:color w:val="7A7168"/>
          <w:sz w:val="26"/>
        </w:rPr>
        <w:t>Tool specification &amp; build brief for Blockifyapp.com</w:t>
      </w:r>
    </w:p>
    <w:p>
      <w:pPr>
        <w:spacing w:before="80" w:after="80"/>
        <w:pBdr>
          <w:bottom w:val="single" w:sz="4" w:space="1" w:color="E2DDD8"/>
        </w:pBdr>
      </w:pP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tcBorders>
              <w:top w:val="none"/>
              <w:left w:val="none"/>
              <w:bottom w:val="none"/>
              <w:right w:val="none"/>
            </w:tcBorders>
            <w:shd w:val="clear" w:color="auto" w:fill="F7F4F0"/>
          </w:tcPr>
          <w:p>
            <w:r>
              <w:rPr>
                <w:b/>
                <w:color w:val="9C9590"/>
                <w:sz w:val="16"/>
              </w:rPr>
              <w:t>Page</w:t>
            </w:r>
          </w:p>
        </w:tc>
        <w:tc>
          <w:tcPr>
            <w:tcW w:type="dxa" w:w="2340"/>
            <w:tcBorders>
              <w:top w:val="none"/>
              <w:left w:val="none"/>
              <w:bottom w:val="none"/>
              <w:right w:val="none"/>
            </w:tcBorders>
            <w:shd w:val="clear" w:color="auto" w:fill="F7F4F0"/>
          </w:tcPr>
          <w:p>
            <w:r>
              <w:rPr>
                <w:b/>
                <w:color w:val="9C9590"/>
                <w:sz w:val="16"/>
              </w:rPr>
              <w:t>Tool #</w:t>
            </w:r>
          </w:p>
        </w:tc>
        <w:tc>
          <w:tcPr>
            <w:tcW w:type="dxa" w:w="2340"/>
            <w:tcBorders>
              <w:top w:val="none"/>
              <w:left w:val="none"/>
              <w:bottom w:val="none"/>
              <w:right w:val="none"/>
            </w:tcBorders>
            <w:shd w:val="clear" w:color="auto" w:fill="F7F4F0"/>
          </w:tcPr>
          <w:p>
            <w:r>
              <w:rPr>
                <w:b/>
                <w:color w:val="9C9590"/>
                <w:sz w:val="16"/>
              </w:rPr>
              <w:t>Priority</w:t>
            </w:r>
          </w:p>
        </w:tc>
        <w:tc>
          <w:tcPr>
            <w:tcW w:type="dxa" w:w="2340"/>
            <w:tcBorders>
              <w:top w:val="none"/>
              <w:left w:val="none"/>
              <w:bottom w:val="none"/>
              <w:right w:val="none"/>
            </w:tcBorders>
            <w:shd w:val="clear" w:color="auto" w:fill="F7F4F0"/>
          </w:tcPr>
          <w:p>
            <w:r>
              <w:rPr>
                <w:b/>
                <w:color w:val="9C9590"/>
                <w:sz w:val="16"/>
              </w:rPr>
              <w:t>Platform</w:t>
            </w:r>
          </w:p>
        </w:tc>
      </w:tr>
      <w:tr>
        <w:tc>
          <w:tcPr>
            <w:tcW w:type="dxa" w:w="2340"/>
            <w:tcBorders>
              <w:top w:val="none"/>
              <w:left w:val="none"/>
              <w:bottom w:val="none"/>
              <w:right w:val="none"/>
            </w:tcBorders>
            <w:shd w:val="clear" w:color="auto" w:fill="F7F4F0"/>
          </w:tcPr>
          <w:p>
            <w:r>
              <w:rPr>
                <w:b/>
                <w:color w:val="1A1714"/>
                <w:sz w:val="19"/>
              </w:rPr>
              <w:t>Blockifyapp.com/chargeback-rate-calculator</w:t>
            </w:r>
          </w:p>
        </w:tc>
        <w:tc>
          <w:tcPr>
            <w:tcW w:type="dxa" w:w="2340"/>
            <w:tcBorders>
              <w:top w:val="none"/>
              <w:left w:val="none"/>
              <w:bottom w:val="none"/>
              <w:right w:val="none"/>
            </w:tcBorders>
            <w:shd w:val="clear" w:color="auto" w:fill="F7F4F0"/>
          </w:tcPr>
          <w:p>
            <w:r>
              <w:rPr>
                <w:b/>
                <w:color w:val="1A1714"/>
                <w:sz w:val="19"/>
              </w:rPr>
              <w:t>Tool 1 of 2</w:t>
            </w:r>
          </w:p>
        </w:tc>
        <w:tc>
          <w:tcPr>
            <w:tcW w:type="dxa" w:w="2340"/>
            <w:tcBorders>
              <w:top w:val="none"/>
              <w:left w:val="none"/>
              <w:bottom w:val="none"/>
              <w:right w:val="none"/>
            </w:tcBorders>
            <w:shd w:val="clear" w:color="auto" w:fill="F7F4F0"/>
          </w:tcPr>
          <w:p>
            <w:r>
              <w:rPr>
                <w:b/>
                <w:color w:val="1A1714"/>
                <w:sz w:val="19"/>
              </w:rPr>
              <w:t>High — Build first</w:t>
            </w:r>
          </w:p>
        </w:tc>
        <w:tc>
          <w:tcPr>
            <w:tcW w:type="dxa" w:w="2340"/>
            <w:tcBorders>
              <w:top w:val="none"/>
              <w:left w:val="none"/>
              <w:bottom w:val="none"/>
              <w:right w:val="none"/>
            </w:tcBorders>
            <w:shd w:val="clear" w:color="auto" w:fill="F7F4F0"/>
          </w:tcPr>
          <w:p>
            <w:r>
              <w:rPr>
                <w:b/>
                <w:color w:val="1A1714"/>
                <w:sz w:val="19"/>
              </w:rPr>
              <w:t>Any online seller</w:t>
            </w:r>
          </w:p>
        </w:tc>
      </w:tr>
    </w:tbl>
    <w:p>
      <w:pPr>
        <w:spacing w:after="80"/>
      </w:pPr>
    </w:p>
    <w:p>
      <w:pPr>
        <w:spacing w:before="80" w:after="80"/>
        <w:pBdr>
          <w:bottom w:val="single" w:sz="4" w:space="1" w:color="E2DDD8"/>
        </w:pBdr>
      </w:pPr>
    </w:p>
    <w:p>
      <w:pPr>
        <w:spacing w:before="360" w:after="160"/>
      </w:pPr>
      <w:r>
        <w:rPr>
          <w:b/>
          <w:color w:val="1A1714"/>
          <w:sz w:val="36"/>
        </w:rPr>
        <w:t>1. Overview &amp; Objective</w:t>
      </w:r>
    </w:p>
    <w:p>
      <w:pPr>
        <w:spacing w:before="0" w:after="100"/>
      </w:pPr>
      <w:r>
        <w:rPr>
          <w:b w:val="0"/>
          <w:color w:val="3D3830"/>
          <w:sz w:val="21"/>
        </w:rPr>
        <w:t>The Chargeback Rate Calculator is a free, public-facing web tool hosted on Blockifyapp.com. It allows any online seller — regardless of platform — to instantly calculate their chargeback rate, benchmark it against Visa, Mastercard, and PayPal thresholds, and understand the true financial cost of their chargebacks.</w:t>
      </w:r>
    </w:p>
    <w:p>
      <w:pPr>
        <w:spacing w:before="0" w:after="100"/>
      </w:pPr>
      <w:r>
        <w:rPr>
          <w:b w:val="0"/>
          <w:color w:val="3D3830"/>
          <w:sz w:val="21"/>
        </w:rPr>
        <w:t>The tool targets the keyword cluster around 'chargeback rate calculator' and related informational queries. Analysis of Google SERPs shows this keyword cluster is currently served only by long-form blog posts from Chargeflow, Chargebacks911, and SEON — there is no interactive tool ranking for any of these terms. This is a clear SEO gap.</w:t>
      </w:r>
    </w:p>
    <w:p/>
    <w:p>
      <w:pPr>
        <w:spacing w:before="200" w:after="80"/>
      </w:pPr>
      <w:r>
        <w:rPr>
          <w:b/>
          <w:color w:val="1A1714"/>
          <w:sz w:val="24"/>
        </w:rPr>
        <w:t>Primary Objectives</w:t>
      </w:r>
    </w:p>
    <w:tbl>
      <w:tblPr>
        <w:tblStyle w:val="TableGrid"/>
        <w:tblW w:type="auto" w:w="0"/>
        <w:jc w:val="left"/>
        <w:tblLook w:firstColumn="1" w:firstRow="1" w:lastColumn="0" w:lastRow="0" w:noHBand="0" w:noVBand="1" w:val="04A0"/>
      </w:tblPr>
      <w:tblGrid>
        <w:gridCol w:w="2304"/>
        <w:gridCol w:w="8640"/>
      </w:tblGrid>
      <w:tr>
        <w:tc>
          <w:tcPr>
            <w:tcW w:type="dxa" w:w="4680"/>
            <w:shd w:val="clear" w:color="auto" w:fill="1A1714"/>
            <w:tcBorders>
              <w:top w:val="single" w:sz="4" w:space="0" w:color="1A1714"/>
              <w:left w:val="single" w:sz="4" w:space="0" w:color="1A1714"/>
              <w:bottom w:val="single" w:sz="4" w:space="0" w:color="1A1714"/>
              <w:right w:val="single" w:sz="4" w:space="0" w:color="1A1714"/>
            </w:tcBorders>
          </w:tcPr>
          <w:p>
            <w:pPr>
              <w:spacing w:before="80" w:after="80"/>
            </w:pPr>
            <w:r>
              <w:rPr>
                <w:b/>
                <w:color w:val="FFFFFF"/>
                <w:sz w:val="19"/>
              </w:rPr>
              <w:t>Objective</w:t>
            </w:r>
          </w:p>
        </w:tc>
        <w:tc>
          <w:tcPr>
            <w:tcW w:type="dxa" w:w="4680"/>
            <w:shd w:val="clear" w:color="auto" w:fill="1A1714"/>
            <w:tcBorders>
              <w:top w:val="single" w:sz="4" w:space="0" w:color="1A1714"/>
              <w:left w:val="single" w:sz="4" w:space="0" w:color="1A1714"/>
              <w:bottom w:val="single" w:sz="4" w:space="0" w:color="1A1714"/>
              <w:right w:val="single" w:sz="4" w:space="0" w:color="1A1714"/>
            </w:tcBorders>
          </w:tcPr>
          <w:p>
            <w:pPr>
              <w:spacing w:before="80" w:after="80"/>
            </w:pPr>
            <w:r>
              <w:rPr>
                <w:b/>
                <w:color w:val="FFFFFF"/>
                <w:sz w:val="19"/>
              </w:rPr>
              <w:t>Description</w:t>
            </w:r>
          </w:p>
        </w:tc>
      </w:tr>
      <w:tr>
        <w:tc>
          <w:tcPr>
            <w:tcW w:type="dxa" w:w="4680"/>
            <w:shd w:val="clear" w:color="auto" w:fill="F7F4F0"/>
            <w:tcBorders>
              <w:top w:val="single" w:sz="4" w:space="0" w:color="E2DDD8"/>
              <w:left w:val="single" w:sz="4" w:space="0" w:color="E2DDD8"/>
              <w:bottom w:val="single" w:sz="4" w:space="0" w:color="E2DDD8"/>
              <w:right w:val="single" w:sz="4" w:space="0" w:color="E2DDD8"/>
            </w:tcBorders>
          </w:tcPr>
          <w:p>
            <w:pPr>
              <w:spacing w:before="80" w:after="80"/>
            </w:pPr>
            <w:r>
              <w:rPr>
                <w:b/>
                <w:color w:val="1A1714"/>
                <w:sz w:val="19"/>
              </w:rPr>
              <w:t>SEO Traffic</w:t>
            </w:r>
          </w:p>
        </w:tc>
        <w:tc>
          <w:tcPr>
            <w:tcW w:type="dxa" w:w="4680"/>
            <w:shd w:val="clear" w:color="auto" w:fill="F7F4F0"/>
            <w:tcBorders>
              <w:top w:val="single" w:sz="4" w:space="0" w:color="E2DDD8"/>
              <w:left w:val="single" w:sz="4" w:space="0" w:color="E2DDD8"/>
              <w:bottom w:val="single" w:sz="4" w:space="0" w:color="E2DDD8"/>
              <w:right w:val="single" w:sz="4" w:space="0" w:color="E2DDD8"/>
            </w:tcBorders>
          </w:tcPr>
          <w:p>
            <w:pPr>
              <w:spacing w:before="80" w:after="80"/>
            </w:pPr>
            <w:r>
              <w:rPr>
                <w:color w:val="3D3830"/>
                <w:sz w:val="19"/>
              </w:rPr>
              <w:t>Rank for 'chargeback rate calculator', 'how to calculate chargeback rate', 'chargeback ratio calculator' and 5+ related long-tail keywords.</w:t>
            </w:r>
          </w:p>
        </w:tc>
      </w:tr>
      <w:tr>
        <w:tc>
          <w:tcPr>
            <w:tcW w:type="dxa" w:w="4680"/>
            <w:shd w:val="clear" w:color="auto" w:fill="FFFFFF"/>
            <w:tcBorders>
              <w:top w:val="single" w:sz="4" w:space="0" w:color="E2DDD8"/>
              <w:left w:val="single" w:sz="4" w:space="0" w:color="E2DDD8"/>
              <w:bottom w:val="single" w:sz="4" w:space="0" w:color="E2DDD8"/>
              <w:right w:val="single" w:sz="4" w:space="0" w:color="E2DDD8"/>
            </w:tcBorders>
          </w:tcPr>
          <w:p>
            <w:pPr>
              <w:spacing w:before="80" w:after="80"/>
            </w:pPr>
            <w:r>
              <w:rPr>
                <w:b/>
                <w:color w:val="1A1714"/>
                <w:sz w:val="19"/>
              </w:rPr>
              <w:t>Lead Generation</w:t>
            </w:r>
          </w:p>
        </w:tc>
        <w:tc>
          <w:tcPr>
            <w:tcW w:type="dxa" w:w="4680"/>
            <w:shd w:val="clear" w:color="auto" w:fill="FFFFFF"/>
            <w:tcBorders>
              <w:top w:val="single" w:sz="4" w:space="0" w:color="E2DDD8"/>
              <w:left w:val="single" w:sz="4" w:space="0" w:color="E2DDD8"/>
              <w:bottom w:val="single" w:sz="4" w:space="0" w:color="E2DDD8"/>
              <w:right w:val="single" w:sz="4" w:space="0" w:color="E2DDD8"/>
            </w:tcBorders>
          </w:tcPr>
          <w:p>
            <w:pPr>
              <w:spacing w:before="80" w:after="80"/>
            </w:pPr>
            <w:r>
              <w:rPr>
                <w:color w:val="3D3830"/>
                <w:sz w:val="19"/>
              </w:rPr>
              <w:t>Capture merchant emails and drive app installs via contextual CTA placed after the result is displayed.</w:t>
            </w:r>
          </w:p>
        </w:tc>
      </w:tr>
      <w:tr>
        <w:tc>
          <w:tcPr>
            <w:tcW w:type="dxa" w:w="4680"/>
            <w:shd w:val="clear" w:color="auto" w:fill="F7F4F0"/>
            <w:tcBorders>
              <w:top w:val="single" w:sz="4" w:space="0" w:color="E2DDD8"/>
              <w:left w:val="single" w:sz="4" w:space="0" w:color="E2DDD8"/>
              <w:bottom w:val="single" w:sz="4" w:space="0" w:color="E2DDD8"/>
              <w:right w:val="single" w:sz="4" w:space="0" w:color="E2DDD8"/>
            </w:tcBorders>
          </w:tcPr>
          <w:p>
            <w:pPr>
              <w:spacing w:before="80" w:after="80"/>
            </w:pPr>
            <w:r>
              <w:rPr>
                <w:b/>
                <w:color w:val="1A1714"/>
                <w:sz w:val="19"/>
              </w:rPr>
              <w:t>Trust Building</w:t>
            </w:r>
          </w:p>
        </w:tc>
        <w:tc>
          <w:tcPr>
            <w:tcW w:type="dxa" w:w="4680"/>
            <w:shd w:val="clear" w:color="auto" w:fill="F7F4F0"/>
            <w:tcBorders>
              <w:top w:val="single" w:sz="4" w:space="0" w:color="E2DDD8"/>
              <w:left w:val="single" w:sz="4" w:space="0" w:color="E2DDD8"/>
              <w:bottom w:val="single" w:sz="4" w:space="0" w:color="E2DDD8"/>
              <w:right w:val="single" w:sz="4" w:space="0" w:color="E2DDD8"/>
            </w:tcBorders>
          </w:tcPr>
          <w:p>
            <w:pPr>
              <w:spacing w:before="80" w:after="80"/>
            </w:pPr>
            <w:r>
              <w:rPr>
                <w:color w:val="3D3830"/>
                <w:sz w:val="19"/>
              </w:rPr>
              <w:t>Establish Blockify as a knowledgeable resource for ecommerce fraud prevention beyond Shopify.</w:t>
            </w:r>
          </w:p>
        </w:tc>
      </w:tr>
      <w:tr>
        <w:tc>
          <w:tcPr>
            <w:tcW w:type="dxa" w:w="4680"/>
            <w:shd w:val="clear" w:color="auto" w:fill="FFFFFF"/>
            <w:tcBorders>
              <w:top w:val="single" w:sz="4" w:space="0" w:color="E2DDD8"/>
              <w:left w:val="single" w:sz="4" w:space="0" w:color="E2DDD8"/>
              <w:bottom w:val="single" w:sz="4" w:space="0" w:color="E2DDD8"/>
              <w:right w:val="single" w:sz="4" w:space="0" w:color="E2DDD8"/>
            </w:tcBorders>
          </w:tcPr>
          <w:p>
            <w:pPr>
              <w:spacing w:before="80" w:after="80"/>
            </w:pPr>
            <w:r>
              <w:rPr>
                <w:b/>
                <w:color w:val="1A1714"/>
                <w:sz w:val="19"/>
              </w:rPr>
              <w:t>Audience Reach</w:t>
            </w:r>
          </w:p>
        </w:tc>
        <w:tc>
          <w:tcPr>
            <w:tcW w:type="dxa" w:w="4680"/>
            <w:shd w:val="clear" w:color="auto" w:fill="FFFFFF"/>
            <w:tcBorders>
              <w:top w:val="single" w:sz="4" w:space="0" w:color="E2DDD8"/>
              <w:left w:val="single" w:sz="4" w:space="0" w:color="E2DDD8"/>
              <w:bottom w:val="single" w:sz="4" w:space="0" w:color="E2DDD8"/>
              <w:right w:val="single" w:sz="4" w:space="0" w:color="E2DDD8"/>
            </w:tcBorders>
          </w:tcPr>
          <w:p>
            <w:pPr>
              <w:spacing w:before="80" w:after="80"/>
            </w:pPr>
            <w:r>
              <w:rPr>
                <w:color w:val="3D3830"/>
                <w:sz w:val="19"/>
              </w:rPr>
              <w:t>Serve sellers on any platform: Shopify, WooCommerce, TikTok Shop, Wix, standalone stores.</w:t>
            </w:r>
          </w:p>
        </w:tc>
      </w:tr>
    </w:tbl>
    <w:p>
      <w:pPr>
        <w:spacing w:before="360" w:after="160"/>
      </w:pPr>
      <w:r>
        <w:rPr>
          <w:b/>
          <w:color w:val="1A1714"/>
          <w:sz w:val="36"/>
        </w:rPr>
        <w:t>2. Target Keywords &amp; SEO Strategy</w:t>
      </w:r>
    </w:p>
    <w:p>
      <w:pPr>
        <w:spacing w:before="0" w:after="100"/>
      </w:pPr>
      <w:r>
        <w:rPr>
          <w:b w:val="0"/>
          <w:color w:val="3D3830"/>
          <w:sz w:val="21"/>
        </w:rPr>
        <w:t>The keyword strategy is based on SERP gap analysis: these queries have genuine demand (evidenced by multiple high-DA SaaS companies publishing blog content) but zero interactive tools currently ranking.</w:t>
      </w:r>
    </w:p>
    <w:tbl>
      <w:tblPr>
        <w:tblStyle w:val="TableGrid"/>
        <w:tblW w:type="auto" w:w="0"/>
        <w:jc w:val="left"/>
        <w:tblLook w:firstColumn="1" w:firstRow="1" w:lastColumn="0" w:lastRow="0" w:noHBand="0" w:noVBand="1" w:val="04A0"/>
      </w:tblPr>
      <w:tblGrid>
        <w:gridCol w:w="52000"/>
        <w:gridCol w:w="18000"/>
        <w:gridCol w:w="18000"/>
        <w:gridCol w:w="18000"/>
        <w:gridCol w:w="18000"/>
      </w:tblGrid>
      <w:tr>
        <w:tc>
          <w:tcPr>
            <w:tcW w:type="dxa" w:w="1872"/>
            <w:shd w:val="clear" w:color="auto" w:fill="1A1714"/>
            <w:tcBorders>
              <w:top w:val="single" w:sz="4" w:space="0" w:color="1A1714"/>
              <w:left w:val="single" w:sz="4" w:space="0" w:color="1A1714"/>
              <w:bottom w:val="single" w:sz="4" w:space="0" w:color="1A1714"/>
              <w:right w:val="single" w:sz="4" w:space="0" w:color="1A1714"/>
            </w:tcBorders>
          </w:tcPr>
          <w:p>
            <w:pPr>
              <w:spacing w:before="60" w:after="60"/>
            </w:pPr>
            <w:r>
              <w:rPr>
                <w:b/>
                <w:color w:val="FFFFFF"/>
                <w:sz w:val="18"/>
              </w:rPr>
              <w:t>Keyword</w:t>
            </w:r>
          </w:p>
        </w:tc>
        <w:tc>
          <w:tcPr>
            <w:tcW w:type="dxa" w:w="1872"/>
            <w:shd w:val="clear" w:color="auto" w:fill="1A1714"/>
            <w:tcBorders>
              <w:top w:val="single" w:sz="4" w:space="0" w:color="1A1714"/>
              <w:left w:val="single" w:sz="4" w:space="0" w:color="1A1714"/>
              <w:bottom w:val="single" w:sz="4" w:space="0" w:color="1A1714"/>
              <w:right w:val="single" w:sz="4" w:space="0" w:color="1A1714"/>
            </w:tcBorders>
          </w:tcPr>
          <w:p>
            <w:pPr>
              <w:spacing w:before="60" w:after="60"/>
            </w:pPr>
            <w:r>
              <w:rPr>
                <w:b/>
                <w:color w:val="FFFFFF"/>
                <w:sz w:val="18"/>
              </w:rPr>
              <w:t>Priority</w:t>
            </w:r>
          </w:p>
        </w:tc>
        <w:tc>
          <w:tcPr>
            <w:tcW w:type="dxa" w:w="1872"/>
            <w:shd w:val="clear" w:color="auto" w:fill="1A1714"/>
            <w:tcBorders>
              <w:top w:val="single" w:sz="4" w:space="0" w:color="1A1714"/>
              <w:left w:val="single" w:sz="4" w:space="0" w:color="1A1714"/>
              <w:bottom w:val="single" w:sz="4" w:space="0" w:color="1A1714"/>
              <w:right w:val="single" w:sz="4" w:space="0" w:color="1A1714"/>
            </w:tcBorders>
          </w:tcPr>
          <w:p>
            <w:pPr>
              <w:spacing w:before="60" w:after="60"/>
            </w:pPr>
            <w:r>
              <w:rPr>
                <w:b/>
                <w:color w:val="FFFFFF"/>
                <w:sz w:val="18"/>
              </w:rPr>
              <w:t>Vol. (est.)</w:t>
            </w:r>
          </w:p>
        </w:tc>
        <w:tc>
          <w:tcPr>
            <w:tcW w:type="dxa" w:w="1872"/>
            <w:shd w:val="clear" w:color="auto" w:fill="1A1714"/>
            <w:tcBorders>
              <w:top w:val="single" w:sz="4" w:space="0" w:color="1A1714"/>
              <w:left w:val="single" w:sz="4" w:space="0" w:color="1A1714"/>
              <w:bottom w:val="single" w:sz="4" w:space="0" w:color="1A1714"/>
              <w:right w:val="single" w:sz="4" w:space="0" w:color="1A1714"/>
            </w:tcBorders>
          </w:tcPr>
          <w:p>
            <w:pPr>
              <w:spacing w:before="60" w:after="60"/>
            </w:pPr>
            <w:r>
              <w:rPr>
                <w:b/>
                <w:color w:val="FFFFFF"/>
                <w:sz w:val="18"/>
              </w:rPr>
              <w:t>Difficulty</w:t>
            </w:r>
          </w:p>
        </w:tc>
        <w:tc>
          <w:tcPr>
            <w:tcW w:type="dxa" w:w="1872"/>
            <w:shd w:val="clear" w:color="auto" w:fill="1A1714"/>
            <w:tcBorders>
              <w:top w:val="single" w:sz="4" w:space="0" w:color="1A1714"/>
              <w:left w:val="single" w:sz="4" w:space="0" w:color="1A1714"/>
              <w:bottom w:val="single" w:sz="4" w:space="0" w:color="1A1714"/>
              <w:right w:val="single" w:sz="4" w:space="0" w:color="1A1714"/>
            </w:tcBorders>
          </w:tcPr>
          <w:p>
            <w:pPr>
              <w:spacing w:before="60" w:after="60"/>
            </w:pPr>
            <w:r>
              <w:rPr>
                <w:b/>
                <w:color w:val="FFFFFF"/>
                <w:sz w:val="18"/>
              </w:rPr>
              <w:t>Intent</w:t>
            </w:r>
          </w:p>
        </w:tc>
      </w:tr>
      <w:tr>
        <w:tc>
          <w:tcPr>
            <w:tcW w:type="dxa" w:w="1872"/>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1A1714"/>
                <w:sz w:val="18"/>
              </w:rPr>
              <w:t>chargeback rate calculator</w:t>
            </w:r>
          </w:p>
        </w:tc>
        <w:tc>
          <w:tcPr>
            <w:tcW w:type="dxa" w:w="1872"/>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b/>
                <w:color w:val="E8390E"/>
                <w:sz w:val="18"/>
              </w:rPr>
              <w:t>Primary</w:t>
            </w:r>
          </w:p>
        </w:tc>
        <w:tc>
          <w:tcPr>
            <w:tcW w:type="dxa" w:w="1872"/>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1A1714"/>
                <w:sz w:val="18"/>
              </w:rPr>
              <w:t>Medium</w:t>
            </w:r>
          </w:p>
        </w:tc>
        <w:tc>
          <w:tcPr>
            <w:tcW w:type="dxa" w:w="1872"/>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1A7F4E"/>
                <w:sz w:val="18"/>
              </w:rPr>
              <w:t>Very low</w:t>
            </w:r>
          </w:p>
        </w:tc>
        <w:tc>
          <w:tcPr>
            <w:tcW w:type="dxa" w:w="1872"/>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185FA5"/>
                <w:sz w:val="18"/>
              </w:rPr>
              <w:t>Tool</w:t>
            </w:r>
          </w:p>
        </w:tc>
      </w:tr>
      <w:tr>
        <w:tc>
          <w:tcPr>
            <w:tcW w:type="dxa" w:w="1872"/>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1A1714"/>
                <w:sz w:val="18"/>
              </w:rPr>
              <w:t>chargeback ratio calculator</w:t>
            </w:r>
          </w:p>
        </w:tc>
        <w:tc>
          <w:tcPr>
            <w:tcW w:type="dxa" w:w="1872"/>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b/>
                <w:color w:val="E8390E"/>
                <w:sz w:val="18"/>
              </w:rPr>
              <w:t>Primary</w:t>
            </w:r>
          </w:p>
        </w:tc>
        <w:tc>
          <w:tcPr>
            <w:tcW w:type="dxa" w:w="1872"/>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1A1714"/>
                <w:sz w:val="18"/>
              </w:rPr>
              <w:t>Medium</w:t>
            </w:r>
          </w:p>
        </w:tc>
        <w:tc>
          <w:tcPr>
            <w:tcW w:type="dxa" w:w="1872"/>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1A7F4E"/>
                <w:sz w:val="18"/>
              </w:rPr>
              <w:t>Very low</w:t>
            </w:r>
          </w:p>
        </w:tc>
        <w:tc>
          <w:tcPr>
            <w:tcW w:type="dxa" w:w="1872"/>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185FA5"/>
                <w:sz w:val="18"/>
              </w:rPr>
              <w:t>Tool</w:t>
            </w:r>
          </w:p>
        </w:tc>
      </w:tr>
      <w:tr>
        <w:tc>
          <w:tcPr>
            <w:tcW w:type="dxa" w:w="1872"/>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1A1714"/>
                <w:sz w:val="18"/>
              </w:rPr>
              <w:t>how to calculate chargeback rate</w:t>
            </w:r>
          </w:p>
        </w:tc>
        <w:tc>
          <w:tcPr>
            <w:tcW w:type="dxa" w:w="1872"/>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b/>
                <w:color w:val="B85C00"/>
                <w:sz w:val="18"/>
              </w:rPr>
              <w:t>Secondary</w:t>
            </w:r>
          </w:p>
        </w:tc>
        <w:tc>
          <w:tcPr>
            <w:tcW w:type="dxa" w:w="1872"/>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1A1714"/>
                <w:sz w:val="18"/>
              </w:rPr>
              <w:t>Medium</w:t>
            </w:r>
          </w:p>
        </w:tc>
        <w:tc>
          <w:tcPr>
            <w:tcW w:type="dxa" w:w="1872"/>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B85C00"/>
                <w:sz w:val="18"/>
              </w:rPr>
              <w:t>Medium</w:t>
            </w:r>
          </w:p>
        </w:tc>
        <w:tc>
          <w:tcPr>
            <w:tcW w:type="dxa" w:w="1872"/>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185FA5"/>
                <w:sz w:val="18"/>
              </w:rPr>
              <w:t>Info</w:t>
            </w:r>
          </w:p>
        </w:tc>
      </w:tr>
      <w:tr>
        <w:tc>
          <w:tcPr>
            <w:tcW w:type="dxa" w:w="1872"/>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1A1714"/>
                <w:sz w:val="18"/>
              </w:rPr>
              <w:t>chargeback rate too high</w:t>
            </w:r>
          </w:p>
        </w:tc>
        <w:tc>
          <w:tcPr>
            <w:tcW w:type="dxa" w:w="1872"/>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b/>
                <w:color w:val="B85C00"/>
                <w:sz w:val="18"/>
              </w:rPr>
              <w:t>Secondary</w:t>
            </w:r>
          </w:p>
        </w:tc>
        <w:tc>
          <w:tcPr>
            <w:tcW w:type="dxa" w:w="1872"/>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1A1714"/>
                <w:sz w:val="18"/>
              </w:rPr>
              <w:t>Medium</w:t>
            </w:r>
          </w:p>
        </w:tc>
        <w:tc>
          <w:tcPr>
            <w:tcW w:type="dxa" w:w="1872"/>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3B8B42"/>
                <w:sz w:val="18"/>
              </w:rPr>
              <w:t>Low</w:t>
            </w:r>
          </w:p>
        </w:tc>
        <w:tc>
          <w:tcPr>
            <w:tcW w:type="dxa" w:w="1872"/>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185FA5"/>
                <w:sz w:val="18"/>
              </w:rPr>
              <w:t>Info</w:t>
            </w:r>
          </w:p>
        </w:tc>
      </w:tr>
      <w:tr>
        <w:tc>
          <w:tcPr>
            <w:tcW w:type="dxa" w:w="1872"/>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1A1714"/>
                <w:sz w:val="18"/>
              </w:rPr>
              <w:t>am i a high risk merchant</w:t>
            </w:r>
          </w:p>
        </w:tc>
        <w:tc>
          <w:tcPr>
            <w:tcW w:type="dxa" w:w="1872"/>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b/>
                <w:color w:val="B85C00"/>
                <w:sz w:val="18"/>
              </w:rPr>
              <w:t>Secondary</w:t>
            </w:r>
          </w:p>
        </w:tc>
        <w:tc>
          <w:tcPr>
            <w:tcW w:type="dxa" w:w="1872"/>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1A1714"/>
                <w:sz w:val="18"/>
              </w:rPr>
              <w:t>Low</w:t>
            </w:r>
          </w:p>
        </w:tc>
        <w:tc>
          <w:tcPr>
            <w:tcW w:type="dxa" w:w="1872"/>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1A7F4E"/>
                <w:sz w:val="18"/>
              </w:rPr>
              <w:t>Very low</w:t>
            </w:r>
          </w:p>
        </w:tc>
        <w:tc>
          <w:tcPr>
            <w:tcW w:type="dxa" w:w="1872"/>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185FA5"/>
                <w:sz w:val="18"/>
              </w:rPr>
              <w:t>Info</w:t>
            </w:r>
          </w:p>
        </w:tc>
      </w:tr>
      <w:tr>
        <w:tc>
          <w:tcPr>
            <w:tcW w:type="dxa" w:w="1872"/>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1A1714"/>
                <w:sz w:val="18"/>
              </w:rPr>
              <w:t>chargeback cost calculator</w:t>
            </w:r>
          </w:p>
        </w:tc>
        <w:tc>
          <w:tcPr>
            <w:tcW w:type="dxa" w:w="1872"/>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b/>
                <w:color w:val="E8390E"/>
                <w:sz w:val="18"/>
              </w:rPr>
              <w:t>Primary</w:t>
            </w:r>
          </w:p>
        </w:tc>
        <w:tc>
          <w:tcPr>
            <w:tcW w:type="dxa" w:w="1872"/>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1A1714"/>
                <w:sz w:val="18"/>
              </w:rPr>
              <w:t>Low–Med</w:t>
            </w:r>
          </w:p>
        </w:tc>
        <w:tc>
          <w:tcPr>
            <w:tcW w:type="dxa" w:w="1872"/>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1A7F4E"/>
                <w:sz w:val="18"/>
              </w:rPr>
              <w:t>Very low</w:t>
            </w:r>
          </w:p>
        </w:tc>
        <w:tc>
          <w:tcPr>
            <w:tcW w:type="dxa" w:w="1872"/>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185FA5"/>
                <w:sz w:val="18"/>
              </w:rPr>
              <w:t>Tool</w:t>
            </w:r>
          </w:p>
        </w:tc>
      </w:tr>
      <w:tr>
        <w:tc>
          <w:tcPr>
            <w:tcW w:type="dxa" w:w="1872"/>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1A1714"/>
                <w:sz w:val="18"/>
              </w:rPr>
              <w:t>how much do chargebacks cost</w:t>
            </w:r>
          </w:p>
        </w:tc>
        <w:tc>
          <w:tcPr>
            <w:tcW w:type="dxa" w:w="1872"/>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b/>
                <w:color w:val="B85C00"/>
                <w:sz w:val="18"/>
              </w:rPr>
              <w:t>Secondary</w:t>
            </w:r>
          </w:p>
        </w:tc>
        <w:tc>
          <w:tcPr>
            <w:tcW w:type="dxa" w:w="1872"/>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1A1714"/>
                <w:sz w:val="18"/>
              </w:rPr>
              <w:t>Medium</w:t>
            </w:r>
          </w:p>
        </w:tc>
        <w:tc>
          <w:tcPr>
            <w:tcW w:type="dxa" w:w="1872"/>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3B8B42"/>
                <w:sz w:val="18"/>
              </w:rPr>
              <w:t>Low</w:t>
            </w:r>
          </w:p>
        </w:tc>
        <w:tc>
          <w:tcPr>
            <w:tcW w:type="dxa" w:w="1872"/>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185FA5"/>
                <w:sz w:val="18"/>
              </w:rPr>
              <w:t>Info</w:t>
            </w:r>
          </w:p>
        </w:tc>
      </w:tr>
      <w:tr>
        <w:tc>
          <w:tcPr>
            <w:tcW w:type="dxa" w:w="1872"/>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1A1714"/>
                <w:sz w:val="18"/>
              </w:rPr>
              <w:t>visa chargeback threshold 2025</w:t>
            </w:r>
          </w:p>
        </w:tc>
        <w:tc>
          <w:tcPr>
            <w:tcW w:type="dxa" w:w="1872"/>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b/>
                <w:color w:val="9C9590"/>
                <w:sz w:val="18"/>
              </w:rPr>
              <w:t>Tertiary</w:t>
            </w:r>
          </w:p>
        </w:tc>
        <w:tc>
          <w:tcPr>
            <w:tcW w:type="dxa" w:w="1872"/>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1A1714"/>
                <w:sz w:val="18"/>
              </w:rPr>
              <w:t>Low</w:t>
            </w:r>
          </w:p>
        </w:tc>
        <w:tc>
          <w:tcPr>
            <w:tcW w:type="dxa" w:w="1872"/>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3B8B42"/>
                <w:sz w:val="18"/>
              </w:rPr>
              <w:t>Low</w:t>
            </w:r>
          </w:p>
        </w:tc>
        <w:tc>
          <w:tcPr>
            <w:tcW w:type="dxa" w:w="1872"/>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185FA5"/>
                <w:sz w:val="18"/>
              </w:rPr>
              <w:t>Info</w:t>
            </w:r>
          </w:p>
        </w:tc>
      </w:tr>
      <w:tr>
        <w:tc>
          <w:tcPr>
            <w:tcW w:type="dxa" w:w="1872"/>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1A1714"/>
                <w:sz w:val="18"/>
              </w:rPr>
              <w:t>mastercard chargeback monitoring</w:t>
            </w:r>
          </w:p>
        </w:tc>
        <w:tc>
          <w:tcPr>
            <w:tcW w:type="dxa" w:w="1872"/>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b/>
                <w:color w:val="9C9590"/>
                <w:sz w:val="18"/>
              </w:rPr>
              <w:t>Tertiary</w:t>
            </w:r>
          </w:p>
        </w:tc>
        <w:tc>
          <w:tcPr>
            <w:tcW w:type="dxa" w:w="1872"/>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1A1714"/>
                <w:sz w:val="18"/>
              </w:rPr>
              <w:t>Low</w:t>
            </w:r>
          </w:p>
        </w:tc>
        <w:tc>
          <w:tcPr>
            <w:tcW w:type="dxa" w:w="1872"/>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3B8B42"/>
                <w:sz w:val="18"/>
              </w:rPr>
              <w:t>Low</w:t>
            </w:r>
          </w:p>
        </w:tc>
        <w:tc>
          <w:tcPr>
            <w:tcW w:type="dxa" w:w="1872"/>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185FA5"/>
                <w:sz w:val="18"/>
              </w:rPr>
              <w:t>Info</w:t>
            </w:r>
          </w:p>
        </w:tc>
      </w:tr>
    </w:tbl>
    <w:p>
      <w:pPr>
        <w:spacing w:before="0" w:after="100"/>
      </w:pPr>
      <w:r>
        <w:rPr>
          <w:b w:val="0"/>
          <w:color w:val="3D3830"/>
          <w:sz w:val="21"/>
        </w:rPr>
      </w:r>
    </w:p>
    <w:p>
      <w:pPr>
        <w:spacing w:before="0" w:after="100"/>
      </w:pPr>
      <w:r>
        <w:rPr>
          <w:b w:val="0"/>
          <w:color w:val="7A7168"/>
          <w:sz w:val="21"/>
        </w:rPr>
        <w:t>SEO note: The tool page itself should rank for the primary keywords. Pair it with a supporting blog post titled 'What Is a Good Chargeback Rate? (+ Free Calculator)' to capture informational queries and link back to the tool.</w:t>
      </w:r>
    </w:p>
    <w:p>
      <w:pPr>
        <w:spacing w:before="360" w:after="160"/>
      </w:pPr>
      <w:r>
        <w:rPr>
          <w:b/>
          <w:color w:val="1A1714"/>
          <w:sz w:val="36"/>
        </w:rPr>
        <w:t>3. Tool Specification</w:t>
      </w:r>
    </w:p>
    <w:p>
      <w:pPr>
        <w:spacing w:before="280" w:after="120"/>
      </w:pPr>
      <w:r>
        <w:rPr>
          <w:b/>
          <w:color w:val="1A1714"/>
          <w:sz w:val="28"/>
        </w:rPr>
        <w:t>3.1  Two-Tab Layout</w:t>
      </w:r>
    </w:p>
    <w:p>
      <w:pPr>
        <w:spacing w:before="0" w:after="100"/>
      </w:pPr>
      <w:r>
        <w:rPr>
          <w:b w:val="0"/>
          <w:color w:val="3D3830"/>
          <w:sz w:val="21"/>
        </w:rPr>
        <w:t>The tool has two tabs side by side at the top of the calculator card:</w:t>
      </w:r>
    </w:p>
    <w:p>
      <w:pPr>
        <w:pStyle w:val="ListBullet"/>
        <w:spacing w:before="0" w:after="60"/>
      </w:pPr>
      <w:r>
        <w:rPr>
          <w:color w:val="3D3830"/>
          <w:sz w:val="21"/>
        </w:rPr>
        <w:t>Tab 1 — Rate Calculator: Calculates the chargeback rate percentage and shows threshold comparison.</w:t>
      </w:r>
    </w:p>
    <w:p>
      <w:pPr>
        <w:pStyle w:val="ListBullet"/>
        <w:spacing w:before="0" w:after="60"/>
      </w:pPr>
      <w:r>
        <w:rPr>
          <w:color w:val="3D3830"/>
          <w:sz w:val="21"/>
        </w:rPr>
        <w:t>Tab 2 — Cost Calculator: Calculates the true financial cost of chargebacks per month and per year.</w:t>
      </w:r>
    </w:p>
    <w:p>
      <w:pPr>
        <w:spacing w:before="280" w:after="120"/>
      </w:pPr>
      <w:r>
        <w:rPr>
          <w:b/>
          <w:color w:val="1A1714"/>
          <w:sz w:val="28"/>
        </w:rPr>
        <w:t>3.2  Tab 1: Rate Calculator — Inputs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C2C2A"/>
            <w:tcBorders>
              <w:top w:val="single" w:sz="4" w:space="0" w:color="2C2C2A"/>
              <w:left w:val="single" w:sz="4" w:space="0" w:color="2C2C2A"/>
              <w:bottom w:val="single" w:sz="4" w:space="0" w:color="2C2C2A"/>
              <w:right w:val="single" w:sz="4" w:space="0" w:color="2C2C2A"/>
            </w:tcBorders>
          </w:tcPr>
          <w:p>
            <w:pPr>
              <w:spacing w:before="60" w:after="60"/>
            </w:pPr>
            <w:r>
              <w:rPr>
                <w:b/>
                <w:color w:val="FFFFFF"/>
                <w:sz w:val="18"/>
              </w:rPr>
              <w:t>Field</w:t>
            </w:r>
          </w:p>
        </w:tc>
        <w:tc>
          <w:tcPr>
            <w:tcW w:type="dxa" w:w="2340"/>
            <w:shd w:val="clear" w:color="auto" w:fill="2C2C2A"/>
            <w:tcBorders>
              <w:top w:val="single" w:sz="4" w:space="0" w:color="2C2C2A"/>
              <w:left w:val="single" w:sz="4" w:space="0" w:color="2C2C2A"/>
              <w:bottom w:val="single" w:sz="4" w:space="0" w:color="2C2C2A"/>
              <w:right w:val="single" w:sz="4" w:space="0" w:color="2C2C2A"/>
            </w:tcBorders>
          </w:tcPr>
          <w:p>
            <w:pPr>
              <w:spacing w:before="60" w:after="60"/>
            </w:pPr>
            <w:r>
              <w:rPr>
                <w:b/>
                <w:color w:val="FFFFFF"/>
                <w:sz w:val="18"/>
              </w:rPr>
              <w:t>Type</w:t>
            </w:r>
          </w:p>
        </w:tc>
        <w:tc>
          <w:tcPr>
            <w:tcW w:type="dxa" w:w="2340"/>
            <w:shd w:val="clear" w:color="auto" w:fill="2C2C2A"/>
            <w:tcBorders>
              <w:top w:val="single" w:sz="4" w:space="0" w:color="2C2C2A"/>
              <w:left w:val="single" w:sz="4" w:space="0" w:color="2C2C2A"/>
              <w:bottom w:val="single" w:sz="4" w:space="0" w:color="2C2C2A"/>
              <w:right w:val="single" w:sz="4" w:space="0" w:color="2C2C2A"/>
            </w:tcBorders>
          </w:tcPr>
          <w:p>
            <w:pPr>
              <w:spacing w:before="60" w:after="60"/>
            </w:pPr>
            <w:r>
              <w:rPr>
                <w:b/>
                <w:color w:val="FFFFFF"/>
                <w:sz w:val="18"/>
              </w:rPr>
              <w:t>Description / Options</w:t>
            </w:r>
          </w:p>
        </w:tc>
        <w:tc>
          <w:tcPr>
            <w:tcW w:type="dxa" w:w="2340"/>
            <w:shd w:val="clear" w:color="auto" w:fill="2C2C2A"/>
            <w:tcBorders>
              <w:top w:val="single" w:sz="4" w:space="0" w:color="2C2C2A"/>
              <w:left w:val="single" w:sz="4" w:space="0" w:color="2C2C2A"/>
              <w:bottom w:val="single" w:sz="4" w:space="0" w:color="2C2C2A"/>
              <w:right w:val="single" w:sz="4" w:space="0" w:color="2C2C2A"/>
            </w:tcBorders>
          </w:tcPr>
          <w:p>
            <w:pPr>
              <w:spacing w:before="60" w:after="60"/>
            </w:pPr>
            <w:r>
              <w:rPr>
                <w:b/>
                <w:color w:val="FFFFFF"/>
                <w:sz w:val="18"/>
              </w:rPr>
              <w:t>Required</w:t>
            </w:r>
          </w:p>
        </w:tc>
      </w:tr>
      <w:tr>
        <w:tc>
          <w:tcPr>
            <w:tcW w:type="dxa" w:w="234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b/>
                <w:color w:val="1A1714"/>
                <w:sz w:val="18"/>
              </w:rPr>
              <w:t>Total Orders This Month</w:t>
            </w:r>
          </w:p>
        </w:tc>
        <w:tc>
          <w:tcPr>
            <w:tcW w:type="dxa" w:w="234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3D3830"/>
                <w:sz w:val="18"/>
              </w:rPr>
              <w:t>Number field</w:t>
            </w:r>
          </w:p>
        </w:tc>
        <w:tc>
          <w:tcPr>
            <w:tcW w:type="dxa" w:w="234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3D3830"/>
                <w:sz w:val="18"/>
              </w:rPr>
              <w:t>All completed transactions in the period</w:t>
            </w:r>
          </w:p>
        </w:tc>
        <w:tc>
          <w:tcPr>
            <w:tcW w:type="dxa" w:w="234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1A7F4E"/>
                <w:sz w:val="18"/>
              </w:rPr>
              <w:t>Required</w:t>
            </w:r>
          </w:p>
        </w:tc>
      </w:tr>
      <w:tr>
        <w:tc>
          <w:tcPr>
            <w:tcW w:type="dxa" w:w="234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b/>
                <w:color w:val="1A1714"/>
                <w:sz w:val="18"/>
              </w:rPr>
              <w:t>Chargebacks / Disputes</w:t>
            </w:r>
          </w:p>
        </w:tc>
        <w:tc>
          <w:tcPr>
            <w:tcW w:type="dxa" w:w="234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3D3830"/>
                <w:sz w:val="18"/>
              </w:rPr>
              <w:t>Number field</w:t>
            </w:r>
          </w:p>
        </w:tc>
        <w:tc>
          <w:tcPr>
            <w:tcW w:type="dxa" w:w="234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3D3830"/>
                <w:sz w:val="18"/>
              </w:rPr>
              <w:t>Total chargebacks filed this month</w:t>
            </w:r>
          </w:p>
        </w:tc>
        <w:tc>
          <w:tcPr>
            <w:tcW w:type="dxa" w:w="234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1A7F4E"/>
                <w:sz w:val="18"/>
              </w:rPr>
              <w:t>Required</w:t>
            </w:r>
          </w:p>
        </w:tc>
      </w:tr>
      <w:tr>
        <w:tc>
          <w:tcPr>
            <w:tcW w:type="dxa" w:w="234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b/>
                <w:color w:val="1A1714"/>
                <w:sz w:val="18"/>
              </w:rPr>
              <w:t>Card Network</w:t>
            </w:r>
          </w:p>
        </w:tc>
        <w:tc>
          <w:tcPr>
            <w:tcW w:type="dxa" w:w="234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3D3830"/>
                <w:sz w:val="18"/>
              </w:rPr>
              <w:t>Dropdown</w:t>
            </w:r>
          </w:p>
        </w:tc>
        <w:tc>
          <w:tcPr>
            <w:tcW w:type="dxa" w:w="234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3D3830"/>
                <w:sz w:val="18"/>
              </w:rPr>
              <w:t>Visa / Mastercard / PayPal / All networks</w:t>
            </w:r>
          </w:p>
        </w:tc>
        <w:tc>
          <w:tcPr>
            <w:tcW w:type="dxa" w:w="234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1A7F4E"/>
                <w:sz w:val="18"/>
              </w:rPr>
              <w:t>Required</w:t>
            </w:r>
          </w:p>
        </w:tc>
      </w:tr>
      <w:tr>
        <w:tc>
          <w:tcPr>
            <w:tcW w:type="dxa" w:w="234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b/>
                <w:color w:val="1A1714"/>
                <w:sz w:val="18"/>
              </w:rPr>
              <w:t>Industry</w:t>
            </w:r>
          </w:p>
        </w:tc>
        <w:tc>
          <w:tcPr>
            <w:tcW w:type="dxa" w:w="234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3D3830"/>
                <w:sz w:val="18"/>
              </w:rPr>
              <w:t>Dropdown</w:t>
            </w:r>
          </w:p>
        </w:tc>
        <w:tc>
          <w:tcPr>
            <w:tcW w:type="dxa" w:w="234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3D3830"/>
                <w:sz w:val="18"/>
              </w:rPr>
              <w:t>General / Digital goods / Fashion / Travel / Food / Luxury</w:t>
            </w:r>
          </w:p>
        </w:tc>
        <w:tc>
          <w:tcPr>
            <w:tcW w:type="dxa" w:w="234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9C9590"/>
                <w:sz w:val="18"/>
              </w:rPr>
              <w:t>Optional</w:t>
            </w:r>
          </w:p>
        </w:tc>
      </w:tr>
    </w:tbl>
    <w:p>
      <w:pPr>
        <w:spacing w:before="280" w:after="120"/>
      </w:pPr>
      <w:r>
        <w:rPr>
          <w:b/>
          <w:color w:val="1A1714"/>
          <w:sz w:val="28"/>
        </w:rPr>
        <w:t>3.3  Tab 1: Rate Calculator — Output</w:t>
      </w:r>
    </w:p>
    <w:p>
      <w:pPr>
        <w:spacing w:before="0" w:after="100"/>
      </w:pPr>
      <w:r>
        <w:rPr>
          <w:b w:val="0"/>
          <w:color w:val="3D3830"/>
          <w:sz w:val="21"/>
        </w:rPr>
        <w:t>After clicking Calculate, the following is displayed:</w:t>
      </w:r>
    </w:p>
    <w:p>
      <w:pPr>
        <w:pStyle w:val="ListBullet"/>
        <w:spacing w:before="0" w:after="60"/>
      </w:pPr>
      <w:r>
        <w:rPr>
          <w:color w:val="3D3830"/>
          <w:sz w:val="21"/>
        </w:rPr>
        <w:t>Large rate percentage (e.g. 0.80%) with color coding: green = safe, amber = warning zone, red = high risk / exceeded.</w:t>
      </w:r>
    </w:p>
    <w:p>
      <w:pPr>
        <w:pStyle w:val="ListBullet"/>
        <w:spacing w:before="0" w:after="60"/>
      </w:pPr>
      <w:r>
        <w:rPr>
          <w:color w:val="3D3830"/>
          <w:sz w:val="21"/>
        </w:rPr>
        <w:t>Verdict text: 'Safe — Below threshold' / 'Warning zone — Monitor closely' / 'High risk — Action required' / 'Excessive — Account at risk'.</w:t>
      </w:r>
    </w:p>
    <w:p>
      <w:pPr>
        <w:pStyle w:val="ListBullet"/>
        <w:spacing w:before="0" w:after="60"/>
      </w:pPr>
      <w:r>
        <w:rPr>
          <w:color w:val="3D3830"/>
          <w:sz w:val="21"/>
        </w:rPr>
        <w:t>Visual gauge bar showing the rate on a 0–2% spectrum with color-coded zones.</w:t>
      </w:r>
    </w:p>
    <w:p>
      <w:pPr>
        <w:pStyle w:val="ListBullet"/>
        <w:spacing w:before="0" w:after="60"/>
      </w:pPr>
      <w:r>
        <w:rPr>
          <w:color w:val="3D3830"/>
          <w:sz w:val="21"/>
        </w:rPr>
        <w:t>Three threshold cards: Network Warning threshold, Network Standard threshold, Industry average — each showing whether the user is above or below.</w:t>
      </w:r>
    </w:p>
    <w:p>
      <w:pPr>
        <w:pStyle w:val="ListBullet"/>
        <w:spacing w:before="0" w:after="60"/>
      </w:pPr>
      <w:r>
        <w:rPr>
          <w:color w:val="3D3830"/>
          <w:sz w:val="21"/>
        </w:rPr>
        <w:t>CTA block (dark background): 'Reduce chargebacks automatically — Block fraudulent orders before they happen with Blockify' + button 'Try Blockify Free →'.</w:t>
      </w:r>
    </w:p>
    <w:p>
      <w:pPr>
        <w:spacing w:before="280" w:after="120"/>
      </w:pPr>
      <w:r>
        <w:rPr>
          <w:b/>
          <w:color w:val="1A1714"/>
          <w:sz w:val="28"/>
        </w:rPr>
        <w:t>3.4  Calculation Logic — Rate Calculator</w:t>
      </w:r>
    </w:p>
    <w:p>
      <w:pPr>
        <w:spacing w:before="0" w:after="100"/>
      </w:pPr>
      <w:r>
        <w:rPr>
          <w:b/>
          <w:color w:val="1A7F4E"/>
          <w:sz w:val="21"/>
        </w:rPr>
        <w:t>All logic is client-side JavaScript. No API calls required.</w:t>
      </w:r>
    </w:p>
    <w:tbl>
      <w:tblPr>
        <w:tblStyle w:val="TableGrid"/>
        <w:tblW w:type="auto" w:w="0"/>
        <w:tblLook w:firstColumn="1" w:firstRow="1" w:lastColumn="0" w:lastRow="0" w:noHBand="0" w:noVBand="1" w:val="04A0"/>
      </w:tblPr>
      <w:tblGrid>
        <w:gridCol w:w="4680"/>
        <w:gridCol w:w="4680"/>
      </w:tblGrid>
      <w:tr>
        <w:tc>
          <w:tcPr>
            <w:tcW w:type="dxa" w:w="4680"/>
            <w:shd w:val="clear" w:color="auto" w:fill="2C2C2A"/>
            <w:tcBorders>
              <w:top w:val="single" w:sz="4" w:space="0" w:color="2C2C2A"/>
              <w:left w:val="single" w:sz="4" w:space="0" w:color="2C2C2A"/>
              <w:bottom w:val="single" w:sz="4" w:space="0" w:color="2C2C2A"/>
              <w:right w:val="single" w:sz="4" w:space="0" w:color="2C2C2A"/>
            </w:tcBorders>
          </w:tcPr>
          <w:p>
            <w:pPr>
              <w:spacing w:before="60" w:after="60"/>
            </w:pPr>
            <w:r>
              <w:rPr>
                <w:b/>
                <w:color w:val="FFFFFF"/>
                <w:sz w:val="18"/>
              </w:rPr>
              <w:t>Network</w:t>
            </w:r>
          </w:p>
        </w:tc>
        <w:tc>
          <w:tcPr>
            <w:tcW w:type="dxa" w:w="4680"/>
            <w:shd w:val="clear" w:color="auto" w:fill="2C2C2A"/>
            <w:tcBorders>
              <w:top w:val="single" w:sz="4" w:space="0" w:color="2C2C2A"/>
              <w:left w:val="single" w:sz="4" w:space="0" w:color="2C2C2A"/>
              <w:bottom w:val="single" w:sz="4" w:space="0" w:color="2C2C2A"/>
              <w:right w:val="single" w:sz="4" w:space="0" w:color="2C2C2A"/>
            </w:tcBorders>
          </w:tcPr>
          <w:p>
            <w:pPr>
              <w:spacing w:before="60" w:after="60"/>
            </w:pPr>
            <w:r>
              <w:rPr>
                <w:b/>
                <w:color w:val="FFFFFF"/>
                <w:sz w:val="18"/>
              </w:rPr>
              <w:t>Formula</w:t>
            </w:r>
          </w:p>
        </w:tc>
      </w:tr>
      <w:tr>
        <w:tc>
          <w:tcPr>
            <w:tcW w:type="dxa" w:w="468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b/>
                <w:color w:val="1A1714"/>
                <w:sz w:val="18"/>
              </w:rPr>
              <w:t>Visa / Discover / AmEx</w:t>
            </w:r>
          </w:p>
        </w:tc>
        <w:tc>
          <w:tcPr>
            <w:tcW w:type="dxa" w:w="468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3D3830"/>
                <w:sz w:val="18"/>
              </w:rPr>
              <w:t>Chargebacks this month ÷ Transactions this month × 100</w:t>
            </w:r>
          </w:p>
        </w:tc>
      </w:tr>
      <w:tr>
        <w:tc>
          <w:tcPr>
            <w:tcW w:type="dxa" w:w="468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b/>
                <w:color w:val="1A1714"/>
                <w:sz w:val="18"/>
              </w:rPr>
              <w:t>Mastercard</w:t>
            </w:r>
          </w:p>
        </w:tc>
        <w:tc>
          <w:tcPr>
            <w:tcW w:type="dxa" w:w="468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3D3830"/>
                <w:sz w:val="18"/>
              </w:rPr>
              <w:t>Chargebacks this month ÷ Transactions previous month × 100 (user inputs previous month transactions)</w:t>
            </w:r>
          </w:p>
        </w:tc>
      </w:tr>
      <w:tr>
        <w:tc>
          <w:tcPr>
            <w:tcW w:type="dxa" w:w="468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b/>
                <w:color w:val="1A1714"/>
                <w:sz w:val="18"/>
              </w:rPr>
              <w:t>PayPal</w:t>
            </w:r>
          </w:p>
        </w:tc>
        <w:tc>
          <w:tcPr>
            <w:tcW w:type="dxa" w:w="468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3D3830"/>
                <w:sz w:val="18"/>
              </w:rPr>
              <w:t>Total disputes ÷ Total transactions (rolling 3-month) × 100</w:t>
            </w:r>
          </w:p>
        </w:tc>
      </w:tr>
      <w:tr>
        <w:tc>
          <w:tcPr>
            <w:tcW w:type="dxa" w:w="468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b/>
                <w:color w:val="1A1714"/>
                <w:sz w:val="18"/>
              </w:rPr>
              <w:t>General / All</w:t>
            </w:r>
          </w:p>
        </w:tc>
        <w:tc>
          <w:tcPr>
            <w:tcW w:type="dxa" w:w="468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3D3830"/>
                <w:sz w:val="18"/>
              </w:rPr>
              <w:t>Chargebacks this month ÷ Transactions this month × 100</w:t>
            </w:r>
          </w:p>
        </w:tc>
      </w:tr>
    </w:tbl>
    <w:p>
      <w:pPr>
        <w:spacing w:before="280" w:after="120"/>
      </w:pPr>
      <w:r>
        <w:rPr>
          <w:b/>
          <w:color w:val="1A1714"/>
          <w:sz w:val="28"/>
        </w:rPr>
        <w:t>3.5  Tab 2: Cost Calculator — Inputs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C2C2A"/>
            <w:tcBorders>
              <w:top w:val="single" w:sz="4" w:space="0" w:color="2C2C2A"/>
              <w:left w:val="single" w:sz="4" w:space="0" w:color="2C2C2A"/>
              <w:bottom w:val="single" w:sz="4" w:space="0" w:color="2C2C2A"/>
              <w:right w:val="single" w:sz="4" w:space="0" w:color="2C2C2A"/>
            </w:tcBorders>
          </w:tcPr>
          <w:p>
            <w:pPr>
              <w:spacing w:before="60" w:after="60"/>
            </w:pPr>
            <w:r>
              <w:rPr>
                <w:b/>
                <w:color w:val="FFFFFF"/>
                <w:sz w:val="18"/>
              </w:rPr>
              <w:t>Field</w:t>
            </w:r>
          </w:p>
        </w:tc>
        <w:tc>
          <w:tcPr>
            <w:tcW w:type="dxa" w:w="2340"/>
            <w:shd w:val="clear" w:color="auto" w:fill="2C2C2A"/>
            <w:tcBorders>
              <w:top w:val="single" w:sz="4" w:space="0" w:color="2C2C2A"/>
              <w:left w:val="single" w:sz="4" w:space="0" w:color="2C2C2A"/>
              <w:bottom w:val="single" w:sz="4" w:space="0" w:color="2C2C2A"/>
              <w:right w:val="single" w:sz="4" w:space="0" w:color="2C2C2A"/>
            </w:tcBorders>
          </w:tcPr>
          <w:p>
            <w:pPr>
              <w:spacing w:before="60" w:after="60"/>
            </w:pPr>
            <w:r>
              <w:rPr>
                <w:b/>
                <w:color w:val="FFFFFF"/>
                <w:sz w:val="18"/>
              </w:rPr>
              <w:t>Type</w:t>
            </w:r>
          </w:p>
        </w:tc>
        <w:tc>
          <w:tcPr>
            <w:tcW w:type="dxa" w:w="2340"/>
            <w:shd w:val="clear" w:color="auto" w:fill="2C2C2A"/>
            <w:tcBorders>
              <w:top w:val="single" w:sz="4" w:space="0" w:color="2C2C2A"/>
              <w:left w:val="single" w:sz="4" w:space="0" w:color="2C2C2A"/>
              <w:bottom w:val="single" w:sz="4" w:space="0" w:color="2C2C2A"/>
              <w:right w:val="single" w:sz="4" w:space="0" w:color="2C2C2A"/>
            </w:tcBorders>
          </w:tcPr>
          <w:p>
            <w:pPr>
              <w:spacing w:before="60" w:after="60"/>
            </w:pPr>
            <w:r>
              <w:rPr>
                <w:b/>
                <w:color w:val="FFFFFF"/>
                <w:sz w:val="18"/>
              </w:rPr>
              <w:t>Description / Default</w:t>
            </w:r>
          </w:p>
        </w:tc>
        <w:tc>
          <w:tcPr>
            <w:tcW w:type="dxa" w:w="2340"/>
            <w:shd w:val="clear" w:color="auto" w:fill="2C2C2A"/>
            <w:tcBorders>
              <w:top w:val="single" w:sz="4" w:space="0" w:color="2C2C2A"/>
              <w:left w:val="single" w:sz="4" w:space="0" w:color="2C2C2A"/>
              <w:bottom w:val="single" w:sz="4" w:space="0" w:color="2C2C2A"/>
              <w:right w:val="single" w:sz="4" w:space="0" w:color="2C2C2A"/>
            </w:tcBorders>
          </w:tcPr>
          <w:p>
            <w:pPr>
              <w:spacing w:before="60" w:after="60"/>
            </w:pPr>
            <w:r>
              <w:rPr>
                <w:b/>
                <w:color w:val="FFFFFF"/>
                <w:sz w:val="18"/>
              </w:rPr>
              <w:t>Required</w:t>
            </w:r>
          </w:p>
        </w:tc>
      </w:tr>
      <w:tr>
        <w:tc>
          <w:tcPr>
            <w:tcW w:type="dxa" w:w="234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b/>
                <w:color w:val="1A1714"/>
                <w:sz w:val="18"/>
              </w:rPr>
              <w:t>Monthly Revenue ($)</w:t>
            </w:r>
          </w:p>
        </w:tc>
        <w:tc>
          <w:tcPr>
            <w:tcW w:type="dxa" w:w="234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3D3830"/>
                <w:sz w:val="18"/>
              </w:rPr>
              <w:t>Number field</w:t>
            </w:r>
          </w:p>
        </w:tc>
        <w:tc>
          <w:tcPr>
            <w:tcW w:type="dxa" w:w="234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3D3830"/>
                <w:sz w:val="18"/>
              </w:rPr>
              <w:t>Total sales revenue this month</w:t>
            </w:r>
          </w:p>
        </w:tc>
        <w:tc>
          <w:tcPr>
            <w:tcW w:type="dxa" w:w="234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1A7F4E"/>
                <w:sz w:val="18"/>
              </w:rPr>
              <w:t>Required</w:t>
            </w:r>
          </w:p>
        </w:tc>
      </w:tr>
      <w:tr>
        <w:tc>
          <w:tcPr>
            <w:tcW w:type="dxa" w:w="234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b/>
                <w:color w:val="1A1714"/>
                <w:sz w:val="18"/>
              </w:rPr>
              <w:t>Number of Chargebacks / Month</w:t>
            </w:r>
          </w:p>
        </w:tc>
        <w:tc>
          <w:tcPr>
            <w:tcW w:type="dxa" w:w="234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3D3830"/>
                <w:sz w:val="18"/>
              </w:rPr>
              <w:t>Number field</w:t>
            </w:r>
          </w:p>
        </w:tc>
        <w:tc>
          <w:tcPr>
            <w:tcW w:type="dxa" w:w="234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3D3830"/>
                <w:sz w:val="18"/>
              </w:rPr>
              <w:t>Average chargebacks per month</w:t>
            </w:r>
          </w:p>
        </w:tc>
        <w:tc>
          <w:tcPr>
            <w:tcW w:type="dxa" w:w="234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1A7F4E"/>
                <w:sz w:val="18"/>
              </w:rPr>
              <w:t>Required</w:t>
            </w:r>
          </w:p>
        </w:tc>
      </w:tr>
      <w:tr>
        <w:tc>
          <w:tcPr>
            <w:tcW w:type="dxa" w:w="234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b/>
                <w:color w:val="1A1714"/>
                <w:sz w:val="18"/>
              </w:rPr>
              <w:t>Average Order Value ($)</w:t>
            </w:r>
          </w:p>
        </w:tc>
        <w:tc>
          <w:tcPr>
            <w:tcW w:type="dxa" w:w="234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3D3830"/>
                <w:sz w:val="18"/>
              </w:rPr>
              <w:t>Number field</w:t>
            </w:r>
          </w:p>
        </w:tc>
        <w:tc>
          <w:tcPr>
            <w:tcW w:type="dxa" w:w="234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3D3830"/>
                <w:sz w:val="18"/>
              </w:rPr>
              <w:t>Average value of a single order</w:t>
            </w:r>
          </w:p>
        </w:tc>
        <w:tc>
          <w:tcPr>
            <w:tcW w:type="dxa" w:w="234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1A7F4E"/>
                <w:sz w:val="18"/>
              </w:rPr>
              <w:t>Required</w:t>
            </w:r>
          </w:p>
        </w:tc>
      </w:tr>
      <w:tr>
        <w:tc>
          <w:tcPr>
            <w:tcW w:type="dxa" w:w="234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b/>
                <w:color w:val="1A1714"/>
                <w:sz w:val="18"/>
              </w:rPr>
              <w:t>Chargeback Fee per Case ($)</w:t>
            </w:r>
          </w:p>
        </w:tc>
        <w:tc>
          <w:tcPr>
            <w:tcW w:type="dxa" w:w="234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3D3830"/>
                <w:sz w:val="18"/>
              </w:rPr>
              <w:t>Number field</w:t>
            </w:r>
          </w:p>
        </w:tc>
        <w:tc>
          <w:tcPr>
            <w:tcW w:type="dxa" w:w="234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3D3830"/>
                <w:sz w:val="18"/>
              </w:rPr>
              <w:t>Default: $25. Stripe: $15, Banks: $25–$100</w:t>
            </w:r>
          </w:p>
        </w:tc>
        <w:tc>
          <w:tcPr>
            <w:tcW w:type="dxa" w:w="234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1A7F4E"/>
                <w:sz w:val="18"/>
              </w:rPr>
              <w:t>Required</w:t>
            </w:r>
          </w:p>
        </w:tc>
      </w:tr>
    </w:tbl>
    <w:p>
      <w:pPr>
        <w:spacing w:before="280" w:after="120"/>
      </w:pPr>
      <w:r>
        <w:rPr>
          <w:b/>
          <w:color w:val="1A1714"/>
          <w:sz w:val="28"/>
        </w:rPr>
        <w:t>3.6  Tab 2: Cost Calculator — Output</w:t>
      </w:r>
    </w:p>
    <w:p>
      <w:pPr>
        <w:pStyle w:val="ListBullet"/>
        <w:spacing w:before="0" w:after="60"/>
      </w:pPr>
      <w:r>
        <w:rPr>
          <w:color w:val="3D3830"/>
          <w:sz w:val="21"/>
        </w:rPr>
        <w:t>Direct loss / month: Chargebacks × (AOV + fee)</w:t>
      </w:r>
    </w:p>
    <w:p>
      <w:pPr>
        <w:pStyle w:val="ListBullet"/>
        <w:spacing w:before="0" w:after="60"/>
      </w:pPr>
      <w:r>
        <w:rPr>
          <w:color w:val="3D3830"/>
          <w:sz w:val="21"/>
        </w:rPr>
        <w:t>True cost / month: Chargebacks × AOV × 4.61 + Chargebacks × fee (LexisNexis 2024 multiplier: $4.61 true cost per $1 fraud lost)</w:t>
      </w:r>
    </w:p>
    <w:p>
      <w:pPr>
        <w:pStyle w:val="ListBullet"/>
        <w:spacing w:before="0" w:after="60"/>
      </w:pPr>
      <w:r>
        <w:rPr>
          <w:color w:val="3D3830"/>
          <w:sz w:val="21"/>
        </w:rPr>
        <w:t>Annual loss estimate: True cost × 12</w:t>
      </w:r>
    </w:p>
    <w:p>
      <w:pPr>
        <w:pStyle w:val="ListBullet"/>
        <w:spacing w:before="0" w:after="60"/>
      </w:pPr>
      <w:r>
        <w:rPr>
          <w:color w:val="3D3830"/>
          <w:sz w:val="21"/>
        </w:rPr>
        <w:t>% of revenue lost: True cost ÷ Monthly revenue × 100</w:t>
      </w:r>
    </w:p>
    <w:p>
      <w:pPr>
        <w:pStyle w:val="ListBullet"/>
        <w:spacing w:before="0" w:after="60"/>
      </w:pPr>
      <w:r>
        <w:rPr>
          <w:color w:val="3D3830"/>
          <w:sz w:val="21"/>
        </w:rPr>
        <w:t>Hidden cost info box explaining the $4.61 multiplier</w:t>
      </w:r>
    </w:p>
    <w:p>
      <w:pPr>
        <w:pStyle w:val="ListBullet"/>
        <w:spacing w:before="0" w:after="60"/>
      </w:pPr>
      <w:r>
        <w:rPr>
          <w:color w:val="3D3830"/>
          <w:sz w:val="21"/>
        </w:rPr>
        <w:t>CTA block: same as Tab 1</w:t>
      </w:r>
    </w:p>
    <w:p>
      <w:pPr>
        <w:spacing w:before="360" w:after="160"/>
      </w:pPr>
      <w:r>
        <w:rPr>
          <w:b/>
          <w:color w:val="1A1714"/>
          <w:sz w:val="36"/>
        </w:rPr>
        <w:t>4. Reference Data (Hardcoded in Tool)</w:t>
      </w:r>
    </w:p>
    <w:p>
      <w:pPr>
        <w:spacing w:before="280" w:after="120"/>
      </w:pPr>
      <w:r>
        <w:rPr>
          <w:b/>
          <w:color w:val="1A1714"/>
          <w:sz w:val="28"/>
        </w:rPr>
        <w:t>4.1  Network Thresholds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C2C2A"/>
            <w:tcBorders>
              <w:top w:val="single" w:sz="4" w:space="0" w:color="2C2C2A"/>
              <w:left w:val="single" w:sz="4" w:space="0" w:color="2C2C2A"/>
              <w:bottom w:val="single" w:sz="4" w:space="0" w:color="2C2C2A"/>
              <w:right w:val="single" w:sz="4" w:space="0" w:color="2C2C2A"/>
            </w:tcBorders>
          </w:tcPr>
          <w:p>
            <w:pPr>
              <w:spacing w:before="60" w:after="60"/>
            </w:pPr>
            <w:r>
              <w:rPr>
                <w:b/>
                <w:color w:val="FFFFFF"/>
                <w:sz w:val="18"/>
              </w:rPr>
              <w:t>Network</w:t>
            </w:r>
          </w:p>
        </w:tc>
        <w:tc>
          <w:tcPr>
            <w:tcW w:type="dxa" w:w="2340"/>
            <w:shd w:val="clear" w:color="auto" w:fill="2C2C2A"/>
            <w:tcBorders>
              <w:top w:val="single" w:sz="4" w:space="0" w:color="2C2C2A"/>
              <w:left w:val="single" w:sz="4" w:space="0" w:color="2C2C2A"/>
              <w:bottom w:val="single" w:sz="4" w:space="0" w:color="2C2C2A"/>
              <w:right w:val="single" w:sz="4" w:space="0" w:color="2C2C2A"/>
            </w:tcBorders>
          </w:tcPr>
          <w:p>
            <w:pPr>
              <w:spacing w:before="60" w:after="60"/>
            </w:pPr>
            <w:r>
              <w:rPr>
                <w:b/>
                <w:color w:val="FFFFFF"/>
                <w:sz w:val="18"/>
              </w:rPr>
              <w:t>Program</w:t>
            </w:r>
          </w:p>
        </w:tc>
        <w:tc>
          <w:tcPr>
            <w:tcW w:type="dxa" w:w="2340"/>
            <w:shd w:val="clear" w:color="auto" w:fill="2C2C2A"/>
            <w:tcBorders>
              <w:top w:val="single" w:sz="4" w:space="0" w:color="2C2C2A"/>
              <w:left w:val="single" w:sz="4" w:space="0" w:color="2C2C2A"/>
              <w:bottom w:val="single" w:sz="4" w:space="0" w:color="2C2C2A"/>
              <w:right w:val="single" w:sz="4" w:space="0" w:color="2C2C2A"/>
            </w:tcBorders>
          </w:tcPr>
          <w:p>
            <w:pPr>
              <w:spacing w:before="60" w:after="60"/>
            </w:pPr>
            <w:r>
              <w:rPr>
                <w:b/>
                <w:color w:val="FFFFFF"/>
                <w:sz w:val="18"/>
              </w:rPr>
              <w:t>Threshold</w:t>
            </w:r>
          </w:p>
        </w:tc>
        <w:tc>
          <w:tcPr>
            <w:tcW w:type="dxa" w:w="2340"/>
            <w:shd w:val="clear" w:color="auto" w:fill="2C2C2A"/>
            <w:tcBorders>
              <w:top w:val="single" w:sz="4" w:space="0" w:color="2C2C2A"/>
              <w:left w:val="single" w:sz="4" w:space="0" w:color="2C2C2A"/>
              <w:bottom w:val="single" w:sz="4" w:space="0" w:color="2C2C2A"/>
              <w:right w:val="single" w:sz="4" w:space="0" w:color="2C2C2A"/>
            </w:tcBorders>
          </w:tcPr>
          <w:p>
            <w:pPr>
              <w:spacing w:before="60" w:after="60"/>
            </w:pPr>
            <w:r>
              <w:rPr>
                <w:b/>
                <w:color w:val="FFFFFF"/>
                <w:sz w:val="18"/>
              </w:rPr>
              <w:t>Consequence</w:t>
            </w:r>
          </w:p>
        </w:tc>
      </w:tr>
      <w:tr>
        <w:tc>
          <w:tcPr>
            <w:tcW w:type="dxa" w:w="234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b/>
                <w:color w:val="1A1714"/>
                <w:sz w:val="18"/>
              </w:rPr>
              <w:t>Visa</w:t>
            </w:r>
          </w:p>
        </w:tc>
        <w:tc>
          <w:tcPr>
            <w:tcW w:type="dxa" w:w="234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b w:val="0"/>
                <w:color w:val="1A1714"/>
                <w:sz w:val="18"/>
              </w:rPr>
              <w:t>Early Warning</w:t>
            </w:r>
          </w:p>
        </w:tc>
        <w:tc>
          <w:tcPr>
            <w:tcW w:type="dxa" w:w="234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E8390E"/>
                <w:sz w:val="18"/>
              </w:rPr>
              <w:t>0.65%</w:t>
            </w:r>
          </w:p>
        </w:tc>
        <w:tc>
          <w:tcPr>
            <w:tcW w:type="dxa" w:w="234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5C5750"/>
                <w:sz w:val="18"/>
              </w:rPr>
              <w:t>Monitored — no fines yet</w:t>
            </w:r>
          </w:p>
        </w:tc>
      </w:tr>
      <w:tr>
        <w:tc>
          <w:tcPr>
            <w:tcW w:type="dxa" w:w="234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b/>
                <w:color w:val="1A1714"/>
                <w:sz w:val="18"/>
              </w:rPr>
              <w:t>Visa</w:t>
            </w:r>
          </w:p>
        </w:tc>
        <w:tc>
          <w:tcPr>
            <w:tcW w:type="dxa" w:w="234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b w:val="0"/>
                <w:color w:val="1A1714"/>
                <w:sz w:val="18"/>
              </w:rPr>
              <w:t>Standard</w:t>
            </w:r>
          </w:p>
        </w:tc>
        <w:tc>
          <w:tcPr>
            <w:tcW w:type="dxa" w:w="234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E8390E"/>
                <w:sz w:val="18"/>
              </w:rPr>
              <w:t>0.90%</w:t>
            </w:r>
          </w:p>
        </w:tc>
        <w:tc>
          <w:tcPr>
            <w:tcW w:type="dxa" w:w="234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5C5750"/>
                <w:sz w:val="18"/>
              </w:rPr>
              <w:t>Fines up to $25,000/month</w:t>
            </w:r>
          </w:p>
        </w:tc>
      </w:tr>
      <w:tr>
        <w:tc>
          <w:tcPr>
            <w:tcW w:type="dxa" w:w="234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b/>
                <w:color w:val="1A1714"/>
                <w:sz w:val="18"/>
              </w:rPr>
              <w:t>Visa</w:t>
            </w:r>
          </w:p>
        </w:tc>
        <w:tc>
          <w:tcPr>
            <w:tcW w:type="dxa" w:w="234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b w:val="0"/>
                <w:color w:val="1A1714"/>
                <w:sz w:val="18"/>
              </w:rPr>
              <w:t>Excessive</w:t>
            </w:r>
          </w:p>
        </w:tc>
        <w:tc>
          <w:tcPr>
            <w:tcW w:type="dxa" w:w="234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E8390E"/>
                <w:sz w:val="18"/>
              </w:rPr>
              <w:t>1.80%</w:t>
            </w:r>
          </w:p>
        </w:tc>
        <w:tc>
          <w:tcPr>
            <w:tcW w:type="dxa" w:w="234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5C5750"/>
                <w:sz w:val="18"/>
              </w:rPr>
              <w:t>Risk of account termination</w:t>
            </w:r>
          </w:p>
        </w:tc>
      </w:tr>
      <w:tr>
        <w:tc>
          <w:tcPr>
            <w:tcW w:type="dxa" w:w="234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b/>
                <w:color w:val="1A1714"/>
                <w:sz w:val="18"/>
              </w:rPr>
              <w:t>Mastercard</w:t>
            </w:r>
          </w:p>
        </w:tc>
        <w:tc>
          <w:tcPr>
            <w:tcW w:type="dxa" w:w="234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b w:val="0"/>
                <w:color w:val="1A1714"/>
                <w:sz w:val="18"/>
              </w:rPr>
              <w:t>Monitored</w:t>
            </w:r>
          </w:p>
        </w:tc>
        <w:tc>
          <w:tcPr>
            <w:tcW w:type="dxa" w:w="234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E8390E"/>
                <w:sz w:val="18"/>
              </w:rPr>
              <w:t>1.00%</w:t>
            </w:r>
          </w:p>
        </w:tc>
        <w:tc>
          <w:tcPr>
            <w:tcW w:type="dxa" w:w="234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5C5750"/>
                <w:sz w:val="18"/>
              </w:rPr>
              <w:t>Fines from $1,000/month</w:t>
            </w:r>
          </w:p>
        </w:tc>
      </w:tr>
      <w:tr>
        <w:tc>
          <w:tcPr>
            <w:tcW w:type="dxa" w:w="234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b/>
                <w:color w:val="1A1714"/>
                <w:sz w:val="18"/>
              </w:rPr>
              <w:t>Mastercard</w:t>
            </w:r>
          </w:p>
        </w:tc>
        <w:tc>
          <w:tcPr>
            <w:tcW w:type="dxa" w:w="234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b w:val="0"/>
                <w:color w:val="1A1714"/>
                <w:sz w:val="18"/>
              </w:rPr>
              <w:t>Excessive</w:t>
            </w:r>
          </w:p>
        </w:tc>
        <w:tc>
          <w:tcPr>
            <w:tcW w:type="dxa" w:w="234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E8390E"/>
                <w:sz w:val="18"/>
              </w:rPr>
              <w:t>1.50%</w:t>
            </w:r>
          </w:p>
        </w:tc>
        <w:tc>
          <w:tcPr>
            <w:tcW w:type="dxa" w:w="234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5C5750"/>
                <w:sz w:val="18"/>
              </w:rPr>
              <w:t>Higher fines, possible termination</w:t>
            </w:r>
          </w:p>
        </w:tc>
      </w:tr>
      <w:tr>
        <w:tc>
          <w:tcPr>
            <w:tcW w:type="dxa" w:w="234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b/>
                <w:color w:val="1A1714"/>
                <w:sz w:val="18"/>
              </w:rPr>
              <w:t>PayPal</w:t>
            </w:r>
          </w:p>
        </w:tc>
        <w:tc>
          <w:tcPr>
            <w:tcW w:type="dxa" w:w="234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b w:val="0"/>
                <w:color w:val="1A1714"/>
                <w:sz w:val="18"/>
              </w:rPr>
              <w:t>High Volume Fee</w:t>
            </w:r>
          </w:p>
        </w:tc>
        <w:tc>
          <w:tcPr>
            <w:tcW w:type="dxa" w:w="234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E8390E"/>
                <w:sz w:val="18"/>
              </w:rPr>
              <w:t>1.50%</w:t>
            </w:r>
          </w:p>
        </w:tc>
        <w:tc>
          <w:tcPr>
            <w:tcW w:type="dxa" w:w="234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5C5750"/>
                <w:sz w:val="18"/>
              </w:rPr>
              <w:t>Extra dispute fee applied per case</w:t>
            </w:r>
          </w:p>
        </w:tc>
      </w:tr>
    </w:tbl>
    <w:p>
      <w:pPr>
        <w:spacing w:before="280" w:after="120"/>
      </w:pPr>
      <w:r>
        <w:rPr>
          <w:b/>
          <w:color w:val="1A1714"/>
          <w:sz w:val="28"/>
        </w:rPr>
        <w:t>4.2  Industry Benchmarks</w:t>
      </w:r>
    </w:p>
    <w:tbl>
      <w:tblPr>
        <w:tblStyle w:val="TableGrid"/>
        <w:tblW w:type="auto" w:w="0"/>
        <w:tblLook w:firstColumn="1" w:firstRow="1" w:lastColumn="0" w:lastRow="0" w:noHBand="0" w:noVBand="1" w:val="04A0"/>
      </w:tblPr>
      <w:tblGrid>
        <w:gridCol w:w="4680"/>
        <w:gridCol w:w="4680"/>
      </w:tblGrid>
      <w:tr>
        <w:tc>
          <w:tcPr>
            <w:tcW w:type="dxa" w:w="4680"/>
            <w:shd w:val="clear" w:color="auto" w:fill="2C2C2A"/>
            <w:tcBorders>
              <w:top w:val="single" w:sz="4" w:space="0" w:color="2C2C2A"/>
              <w:left w:val="single" w:sz="4" w:space="0" w:color="2C2C2A"/>
              <w:bottom w:val="single" w:sz="4" w:space="0" w:color="2C2C2A"/>
              <w:right w:val="single" w:sz="4" w:space="0" w:color="2C2C2A"/>
            </w:tcBorders>
          </w:tcPr>
          <w:p>
            <w:pPr>
              <w:spacing w:before="60" w:after="60"/>
            </w:pPr>
            <w:r>
              <w:rPr>
                <w:b/>
                <w:color w:val="FFFFFF"/>
                <w:sz w:val="18"/>
              </w:rPr>
              <w:t>Industry</w:t>
            </w:r>
          </w:p>
        </w:tc>
        <w:tc>
          <w:tcPr>
            <w:tcW w:type="dxa" w:w="4680"/>
            <w:shd w:val="clear" w:color="auto" w:fill="2C2C2A"/>
            <w:tcBorders>
              <w:top w:val="single" w:sz="4" w:space="0" w:color="2C2C2A"/>
              <w:left w:val="single" w:sz="4" w:space="0" w:color="2C2C2A"/>
              <w:bottom w:val="single" w:sz="4" w:space="0" w:color="2C2C2A"/>
              <w:right w:val="single" w:sz="4" w:space="0" w:color="2C2C2A"/>
            </w:tcBorders>
          </w:tcPr>
          <w:p>
            <w:pPr>
              <w:spacing w:before="60" w:after="60"/>
            </w:pPr>
            <w:r>
              <w:rPr>
                <w:b/>
                <w:color w:val="FFFFFF"/>
                <w:sz w:val="18"/>
              </w:rPr>
              <w:t>Average Chargeback Rate</w:t>
            </w:r>
          </w:p>
        </w:tc>
      </w:tr>
      <w:tr>
        <w:tc>
          <w:tcPr>
            <w:tcW w:type="dxa" w:w="468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b/>
                <w:color w:val="1A1714"/>
                <w:sz w:val="18"/>
              </w:rPr>
              <w:t>General ecommerce</w:t>
            </w:r>
          </w:p>
        </w:tc>
        <w:tc>
          <w:tcPr>
            <w:tcW w:type="dxa" w:w="468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E8390E"/>
                <w:sz w:val="18"/>
              </w:rPr>
              <w:t>0.60%</w:t>
            </w:r>
          </w:p>
        </w:tc>
      </w:tr>
      <w:tr>
        <w:tc>
          <w:tcPr>
            <w:tcW w:type="dxa" w:w="468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b/>
                <w:color w:val="1A1714"/>
                <w:sz w:val="18"/>
              </w:rPr>
              <w:t>Digital goods / SaaS</w:t>
            </w:r>
          </w:p>
        </w:tc>
        <w:tc>
          <w:tcPr>
            <w:tcW w:type="dxa" w:w="468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E8390E"/>
                <w:sz w:val="18"/>
              </w:rPr>
              <w:t>0.80%</w:t>
            </w:r>
          </w:p>
        </w:tc>
      </w:tr>
      <w:tr>
        <w:tc>
          <w:tcPr>
            <w:tcW w:type="dxa" w:w="468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b/>
                <w:color w:val="1A1714"/>
                <w:sz w:val="18"/>
              </w:rPr>
              <w:t>Fashion / Apparel</w:t>
            </w:r>
          </w:p>
        </w:tc>
        <w:tc>
          <w:tcPr>
            <w:tcW w:type="dxa" w:w="468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E8390E"/>
                <w:sz w:val="18"/>
              </w:rPr>
              <w:t>0.75%</w:t>
            </w:r>
          </w:p>
        </w:tc>
      </w:tr>
      <w:tr>
        <w:tc>
          <w:tcPr>
            <w:tcW w:type="dxa" w:w="468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b/>
                <w:color w:val="1A1714"/>
                <w:sz w:val="18"/>
              </w:rPr>
              <w:t>Travel &amp; Hospitality</w:t>
            </w:r>
          </w:p>
        </w:tc>
        <w:tc>
          <w:tcPr>
            <w:tcW w:type="dxa" w:w="468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E8390E"/>
                <w:sz w:val="18"/>
              </w:rPr>
              <w:t>0.89–1.10%</w:t>
            </w:r>
          </w:p>
        </w:tc>
      </w:tr>
      <w:tr>
        <w:tc>
          <w:tcPr>
            <w:tcW w:type="dxa" w:w="468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b/>
                <w:color w:val="1A1714"/>
                <w:sz w:val="18"/>
              </w:rPr>
              <w:t>Food &amp; Beverage</w:t>
            </w:r>
          </w:p>
        </w:tc>
        <w:tc>
          <w:tcPr>
            <w:tcW w:type="dxa" w:w="468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E8390E"/>
                <w:sz w:val="18"/>
              </w:rPr>
              <w:t>0.12%</w:t>
            </w:r>
          </w:p>
        </w:tc>
      </w:tr>
      <w:tr>
        <w:tc>
          <w:tcPr>
            <w:tcW w:type="dxa" w:w="468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b/>
                <w:color w:val="1A1714"/>
                <w:sz w:val="18"/>
              </w:rPr>
              <w:t>Luxury goods</w:t>
            </w:r>
          </w:p>
        </w:tc>
        <w:tc>
          <w:tcPr>
            <w:tcW w:type="dxa" w:w="468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E8390E"/>
                <w:sz w:val="18"/>
              </w:rPr>
              <w:t>0.70%</w:t>
            </w:r>
          </w:p>
        </w:tc>
      </w:tr>
    </w:tbl>
    <w:p>
      <w:pPr>
        <w:spacing w:before="360" w:after="160"/>
      </w:pPr>
      <w:r>
        <w:rPr>
          <w:b/>
          <w:color w:val="1A1714"/>
          <w:sz w:val="36"/>
        </w:rPr>
        <w:t>5. Page Structure (for SEO)</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C2C2A"/>
            <w:tcBorders>
              <w:top w:val="single" w:sz="4" w:space="0" w:color="2C2C2A"/>
              <w:left w:val="single" w:sz="4" w:space="0" w:color="2C2C2A"/>
              <w:bottom w:val="single" w:sz="4" w:space="0" w:color="2C2C2A"/>
              <w:right w:val="single" w:sz="4" w:space="0" w:color="2C2C2A"/>
            </w:tcBorders>
          </w:tcPr>
          <w:p>
            <w:pPr>
              <w:spacing w:before="60" w:after="60"/>
            </w:pPr>
            <w:r>
              <w:rPr>
                <w:b/>
                <w:color w:val="FFFFFF"/>
                <w:sz w:val="18"/>
              </w:rPr>
              <w:t>Section</w:t>
            </w:r>
          </w:p>
        </w:tc>
        <w:tc>
          <w:tcPr>
            <w:tcW w:type="dxa" w:w="3120"/>
            <w:shd w:val="clear" w:color="auto" w:fill="2C2C2A"/>
            <w:tcBorders>
              <w:top w:val="single" w:sz="4" w:space="0" w:color="2C2C2A"/>
              <w:left w:val="single" w:sz="4" w:space="0" w:color="2C2C2A"/>
              <w:bottom w:val="single" w:sz="4" w:space="0" w:color="2C2C2A"/>
              <w:right w:val="single" w:sz="4" w:space="0" w:color="2C2C2A"/>
            </w:tcBorders>
          </w:tcPr>
          <w:p>
            <w:pPr>
              <w:spacing w:before="60" w:after="60"/>
            </w:pPr>
            <w:r>
              <w:rPr>
                <w:b/>
                <w:color w:val="FFFFFF"/>
                <w:sz w:val="18"/>
              </w:rPr>
              <w:t>Content</w:t>
            </w:r>
          </w:p>
        </w:tc>
        <w:tc>
          <w:tcPr>
            <w:tcW w:type="dxa" w:w="3120"/>
            <w:shd w:val="clear" w:color="auto" w:fill="2C2C2A"/>
            <w:tcBorders>
              <w:top w:val="single" w:sz="4" w:space="0" w:color="2C2C2A"/>
              <w:left w:val="single" w:sz="4" w:space="0" w:color="2C2C2A"/>
              <w:bottom w:val="single" w:sz="4" w:space="0" w:color="2C2C2A"/>
              <w:right w:val="single" w:sz="4" w:space="0" w:color="2C2C2A"/>
            </w:tcBorders>
          </w:tcPr>
          <w:p>
            <w:pPr>
              <w:spacing w:before="60" w:after="60"/>
            </w:pPr>
            <w:r>
              <w:rPr>
                <w:b/>
                <w:color w:val="FFFFFF"/>
                <w:sz w:val="18"/>
              </w:rPr>
              <w:t>SEO Purpose</w:t>
            </w:r>
          </w:p>
        </w:tc>
      </w:tr>
      <w:tr>
        <w:tc>
          <w:tcPr>
            <w:tcW w:type="dxa" w:w="312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b/>
                <w:color w:val="1A1714"/>
                <w:sz w:val="18"/>
              </w:rPr>
              <w:t>H1</w:t>
            </w:r>
          </w:p>
        </w:tc>
        <w:tc>
          <w:tcPr>
            <w:tcW w:type="dxa" w:w="312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3D3830"/>
                <w:sz w:val="18"/>
              </w:rPr>
              <w:t>Chargeback Rate Calculator</w:t>
            </w:r>
          </w:p>
        </w:tc>
        <w:tc>
          <w:tcPr>
            <w:tcW w:type="dxa" w:w="312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3D3830"/>
                <w:sz w:val="18"/>
              </w:rPr>
              <w:t>Main heading — primary keyword</w:t>
            </w:r>
          </w:p>
        </w:tc>
      </w:tr>
      <w:tr>
        <w:tc>
          <w:tcPr>
            <w:tcW w:type="dxa" w:w="312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b/>
                <w:color w:val="1A1714"/>
                <w:sz w:val="18"/>
              </w:rPr>
              <w:t>Intro paragraph</w:t>
            </w:r>
          </w:p>
        </w:tc>
        <w:tc>
          <w:tcPr>
            <w:tcW w:type="dxa" w:w="312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3D3830"/>
                <w:sz w:val="18"/>
              </w:rPr>
              <w:t>2–3 sentences</w:t>
            </w:r>
          </w:p>
        </w:tc>
        <w:tc>
          <w:tcPr>
            <w:tcW w:type="dxa" w:w="312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3D3830"/>
                <w:sz w:val="18"/>
              </w:rPr>
              <w:t>Explain what the tool does, who it's for, and that it works for any platform</w:t>
            </w:r>
          </w:p>
        </w:tc>
      </w:tr>
      <w:tr>
        <w:tc>
          <w:tcPr>
            <w:tcW w:type="dxa" w:w="312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b/>
                <w:color w:val="1A1714"/>
                <w:sz w:val="18"/>
              </w:rPr>
              <w:t>Calculator widget</w:t>
            </w:r>
          </w:p>
        </w:tc>
        <w:tc>
          <w:tcPr>
            <w:tcW w:type="dxa" w:w="312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3D3830"/>
                <w:sz w:val="18"/>
              </w:rPr>
              <w:t>Interactive tool</w:t>
            </w:r>
          </w:p>
        </w:tc>
        <w:tc>
          <w:tcPr>
            <w:tcW w:type="dxa" w:w="312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3D3830"/>
                <w:sz w:val="18"/>
              </w:rPr>
              <w:t>The two-tab calculator described above</w:t>
            </w:r>
          </w:p>
        </w:tc>
      </w:tr>
      <w:tr>
        <w:tc>
          <w:tcPr>
            <w:tcW w:type="dxa" w:w="312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b/>
                <w:color w:val="1A1714"/>
                <w:sz w:val="18"/>
              </w:rPr>
              <w:t>Reference tables</w:t>
            </w:r>
          </w:p>
        </w:tc>
        <w:tc>
          <w:tcPr>
            <w:tcW w:type="dxa" w:w="312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3D3830"/>
                <w:sz w:val="18"/>
              </w:rPr>
              <w:t>Thresholds + industry benchmarks</w:t>
            </w:r>
          </w:p>
        </w:tc>
        <w:tc>
          <w:tcPr>
            <w:tcW w:type="dxa" w:w="312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3D3830"/>
                <w:sz w:val="18"/>
              </w:rPr>
              <w:t>Displayed below the calculator as scannable tables</w:t>
            </w:r>
          </w:p>
        </w:tc>
      </w:tr>
      <w:tr>
        <w:tc>
          <w:tcPr>
            <w:tcW w:type="dxa" w:w="312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b/>
                <w:color w:val="1A1714"/>
                <w:sz w:val="18"/>
              </w:rPr>
              <w:t>H2: FAQ section</w:t>
            </w:r>
          </w:p>
        </w:tc>
        <w:tc>
          <w:tcPr>
            <w:tcW w:type="dxa" w:w="312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3D3830"/>
                <w:sz w:val="18"/>
              </w:rPr>
              <w:t>4–6 questions</w:t>
            </w:r>
          </w:p>
        </w:tc>
        <w:tc>
          <w:tcPr>
            <w:tcW w:type="dxa" w:w="312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3D3830"/>
                <w:sz w:val="18"/>
              </w:rPr>
              <w:t>Targets long-tail informational queries</w:t>
            </w:r>
          </w:p>
        </w:tc>
      </w:tr>
      <w:tr>
        <w:tc>
          <w:tcPr>
            <w:tcW w:type="dxa" w:w="312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b/>
                <w:color w:val="1A1714"/>
                <w:sz w:val="18"/>
              </w:rPr>
              <w:t>Footer CTA</w:t>
            </w:r>
          </w:p>
        </w:tc>
        <w:tc>
          <w:tcPr>
            <w:tcW w:type="dxa" w:w="312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3D3830"/>
                <w:sz w:val="18"/>
              </w:rPr>
              <w:t>Blockify link</w:t>
            </w:r>
          </w:p>
        </w:tc>
        <w:tc>
          <w:tcPr>
            <w:tcW w:type="dxa" w:w="312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3D3830"/>
                <w:sz w:val="18"/>
              </w:rPr>
              <w:t>Soft CTA to app with one-line description</w:t>
            </w:r>
          </w:p>
        </w:tc>
      </w:tr>
    </w:tbl>
    <w:p>
      <w:pPr>
        <w:spacing w:before="360" w:after="160"/>
      </w:pPr>
      <w:r>
        <w:rPr>
          <w:b/>
          <w:color w:val="1A1714"/>
          <w:sz w:val="36"/>
        </w:rPr>
        <w:t>6. FAQ Content (On-Page)</w:t>
      </w:r>
    </w:p>
    <w:p>
      <w:pPr>
        <w:spacing w:before="200" w:after="60"/>
      </w:pPr>
      <w:r>
        <w:rPr>
          <w:b/>
          <w:color w:val="1A1714"/>
          <w:sz w:val="21"/>
        </w:rPr>
        <w:t>Q: How do I calculate my chargeback rate?</w:t>
      </w:r>
    </w:p>
    <w:p>
      <w:pPr>
        <w:spacing w:before="0" w:after="120"/>
      </w:pPr>
      <w:r>
        <w:rPr>
          <w:color w:val="5C5750"/>
          <w:sz w:val="20"/>
        </w:rPr>
        <w:t>Divide the number of chargebacks by the total number of transactions in the same period, then multiply by 100. Visa uses the current month's transactions; Mastercard uses the previous month's count.</w:t>
      </w:r>
    </w:p>
    <w:p>
      <w:pPr>
        <w:spacing w:before="200" w:after="60"/>
      </w:pPr>
      <w:r>
        <w:rPr>
          <w:b/>
          <w:color w:val="1A1714"/>
          <w:sz w:val="21"/>
        </w:rPr>
        <w:t>Q: What is a good chargeback rate?</w:t>
      </w:r>
    </w:p>
    <w:p>
      <w:pPr>
        <w:spacing w:before="0" w:after="120"/>
      </w:pPr>
      <w:r>
        <w:rPr>
          <w:color w:val="5C5750"/>
          <w:sz w:val="20"/>
        </w:rPr>
        <w:t>For most ecommerce sellers, keeping your rate below 0.65% is the safe zone. Between 0.65% and 0.90% is a warning zone for Visa. Above 0.90% places you in Visa's standard monitoring program, which carries financial penalties.</w:t>
      </w:r>
    </w:p>
    <w:p>
      <w:pPr>
        <w:spacing w:before="200" w:after="60"/>
      </w:pPr>
      <w:r>
        <w:rPr>
          <w:b/>
          <w:color w:val="1A1714"/>
          <w:sz w:val="21"/>
        </w:rPr>
        <w:t>Q: What happens if my chargeback rate is too high?</w:t>
      </w:r>
    </w:p>
    <w:p>
      <w:pPr>
        <w:spacing w:before="0" w:after="120"/>
      </w:pPr>
      <w:r>
        <w:rPr>
          <w:color w:val="5C5750"/>
          <w:sz w:val="20"/>
        </w:rPr>
        <w:t>Card networks place you in a monitoring program with monthly fines — Visa can charge up to $25,000/month, Mastercard starts at $1,000/month. Persistent high rates can result in your merchant account being terminated.</w:t>
      </w:r>
    </w:p>
    <w:p>
      <w:pPr>
        <w:spacing w:before="200" w:after="60"/>
      </w:pPr>
      <w:r>
        <w:rPr>
          <w:b/>
          <w:color w:val="1A1714"/>
          <w:sz w:val="21"/>
        </w:rPr>
        <w:t>Q: Does winning a chargeback dispute lower my rate?</w:t>
      </w:r>
    </w:p>
    <w:p>
      <w:pPr>
        <w:spacing w:before="0" w:after="120"/>
      </w:pPr>
      <w:r>
        <w:rPr>
          <w:color w:val="5C5750"/>
          <w:sz w:val="20"/>
        </w:rPr>
        <w:t>No. Card networks count every chargeback filed against you, regardless of outcome. This is why preventing chargebacks from being filed in the first place is far more valuable than winning disputes after the fact.</w:t>
      </w:r>
    </w:p>
    <w:p>
      <w:pPr>
        <w:spacing w:before="200" w:after="60"/>
      </w:pPr>
      <w:r>
        <w:rPr>
          <w:b/>
          <w:color w:val="1A1714"/>
          <w:sz w:val="21"/>
        </w:rPr>
        <w:t>Q: How is Mastercard chargeback rate different from Visa?</w:t>
      </w:r>
    </w:p>
    <w:p>
      <w:pPr>
        <w:spacing w:before="0" w:after="120"/>
      </w:pPr>
      <w:r>
        <w:rPr>
          <w:color w:val="5C5750"/>
          <w:sz w:val="20"/>
        </w:rPr>
        <w:t>Mastercard divides chargebacks filed this month by transactions processed last month. Visa divides chargebacks this month by transactions this month. This means a sudden increase in orders (e.g. after a sale) can cause your Mastercard rate to spike the following month.</w:t>
      </w:r>
    </w:p>
    <w:p>
      <w:pPr>
        <w:spacing w:before="200" w:after="60"/>
      </w:pPr>
      <w:r>
        <w:rPr>
          <w:b/>
          <w:color w:val="1A1714"/>
          <w:sz w:val="21"/>
        </w:rPr>
        <w:t>Q: What is the fastest way to lower my chargeback rate?</w:t>
      </w:r>
    </w:p>
    <w:p>
      <w:pPr>
        <w:spacing w:before="0" w:after="120"/>
      </w:pPr>
      <w:r>
        <w:rPr>
          <w:color w:val="5C5750"/>
          <w:sz w:val="20"/>
        </w:rPr>
        <w:t>Block high-risk orders before fulfillment using fraud prevention tools, use IP and email verification at checkout, set up chargeback alert services to refund before disputes escalate, and ensure clear billing descriptors so customers recognize charges.</w:t>
      </w:r>
    </w:p>
    <w:p>
      <w:pPr>
        <w:spacing w:before="360" w:after="160"/>
      </w:pPr>
      <w:r>
        <w:rPr>
          <w:b/>
          <w:color w:val="1A1714"/>
          <w:sz w:val="36"/>
        </w:rPr>
        <w:t>7. CTA &amp; Conversion Strategy</w:t>
      </w:r>
    </w:p>
    <w:p>
      <w:pPr>
        <w:spacing w:before="0" w:after="100"/>
      </w:pPr>
      <w:r>
        <w:rPr>
          <w:b w:val="0"/>
          <w:color w:val="3D3830"/>
          <w:sz w:val="21"/>
        </w:rPr>
        <w:t>The tool has two CTA placements — both non-intrusive, shown only after results are displayed:</w:t>
      </w:r>
    </w:p>
    <w:tbl>
      <w:tblPr>
        <w:tblStyle w:val="TableGrid"/>
        <w:tblW w:type="auto" w:w="0"/>
        <w:tblLook w:firstColumn="1" w:firstRow="1" w:lastColumn="0" w:lastRow="0" w:noHBand="0" w:noVBand="1" w:val="04A0"/>
      </w:tblPr>
      <w:tblGrid>
        <w:gridCol w:w="4680"/>
        <w:gridCol w:w="4680"/>
      </w:tblGrid>
      <w:tr>
        <w:tc>
          <w:tcPr>
            <w:tcW w:type="dxa" w:w="4680"/>
            <w:shd w:val="clear" w:color="auto" w:fill="2C2C2A"/>
            <w:tcBorders>
              <w:top w:val="single" w:sz="4" w:space="0" w:color="2C2C2A"/>
              <w:left w:val="single" w:sz="4" w:space="0" w:color="2C2C2A"/>
              <w:bottom w:val="single" w:sz="4" w:space="0" w:color="2C2C2A"/>
              <w:right w:val="single" w:sz="4" w:space="0" w:color="2C2C2A"/>
            </w:tcBorders>
          </w:tcPr>
          <w:p>
            <w:pPr>
              <w:spacing w:before="60" w:after="60"/>
            </w:pPr>
            <w:r>
              <w:rPr>
                <w:b/>
                <w:color w:val="FFFFFF"/>
                <w:sz w:val="18"/>
              </w:rPr>
              <w:t>Placement</w:t>
            </w:r>
          </w:p>
        </w:tc>
        <w:tc>
          <w:tcPr>
            <w:tcW w:type="dxa" w:w="4680"/>
            <w:shd w:val="clear" w:color="auto" w:fill="2C2C2A"/>
            <w:tcBorders>
              <w:top w:val="single" w:sz="4" w:space="0" w:color="2C2C2A"/>
              <w:left w:val="single" w:sz="4" w:space="0" w:color="2C2C2A"/>
              <w:bottom w:val="single" w:sz="4" w:space="0" w:color="2C2C2A"/>
              <w:right w:val="single" w:sz="4" w:space="0" w:color="2C2C2A"/>
            </w:tcBorders>
          </w:tcPr>
          <w:p>
            <w:pPr>
              <w:spacing w:before="60" w:after="60"/>
            </w:pPr>
            <w:r>
              <w:rPr>
                <w:b/>
                <w:color w:val="FFFFFF"/>
                <w:sz w:val="18"/>
              </w:rPr>
              <w:t>Copy &amp; Behavior</w:t>
            </w:r>
          </w:p>
        </w:tc>
      </w:tr>
      <w:tr>
        <w:tc>
          <w:tcPr>
            <w:tcW w:type="dxa" w:w="468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b/>
                <w:color w:val="1A1714"/>
                <w:sz w:val="18"/>
              </w:rPr>
              <w:t>In-result CTA (primary)</w:t>
            </w:r>
          </w:p>
        </w:tc>
        <w:tc>
          <w:tcPr>
            <w:tcW w:type="dxa" w:w="468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3D3830"/>
                <w:sz w:val="18"/>
              </w:rPr>
              <w:t>Appears immediately after rate or cost result is shown. Dark background block, 2-line copy, orange button. Copy: 'Reduce chargebacks automatically — Block fraudulent orders before they happen with Blockify'. Button: 'Try Blockify Free →'</w:t>
            </w:r>
          </w:p>
        </w:tc>
      </w:tr>
      <w:tr>
        <w:tc>
          <w:tcPr>
            <w:tcW w:type="dxa" w:w="468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b/>
                <w:color w:val="1A1714"/>
                <w:sz w:val="18"/>
              </w:rPr>
              <w:t>Nav CTA (persistent)</w:t>
            </w:r>
          </w:p>
        </w:tc>
        <w:tc>
          <w:tcPr>
            <w:tcW w:type="dxa" w:w="4680"/>
            <w:shd w:val="clear" w:color="auto" w:fill="FFFFFF"/>
            <w:tcBorders>
              <w:top w:val="single" w:sz="4" w:space="0" w:color="E2DDD8"/>
              <w:left w:val="single" w:sz="4" w:space="0" w:color="E2DDD8"/>
              <w:bottom w:val="single" w:sz="4" w:space="0" w:color="E2DDD8"/>
              <w:right w:val="single" w:sz="4" w:space="0" w:color="E2DDD8"/>
            </w:tcBorders>
          </w:tcPr>
          <w:p>
            <w:pPr>
              <w:spacing w:before="60" w:after="60"/>
            </w:pPr>
            <w:r>
              <w:rPr>
                <w:color w:val="3D3830"/>
                <w:sz w:val="18"/>
              </w:rPr>
              <w:t>Fixed in navigation bar throughout the page. Text: 'Protect Your Store →'. Links to Shopify App Store listing.</w:t>
            </w:r>
          </w:p>
        </w:tc>
      </w:tr>
      <w:tr>
        <w:tc>
          <w:tcPr>
            <w:tcW w:type="dxa" w:w="468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b/>
                <w:color w:val="1A1714"/>
                <w:sz w:val="18"/>
              </w:rPr>
              <w:t>Footer (soft)</w:t>
            </w:r>
          </w:p>
        </w:tc>
        <w:tc>
          <w:tcPr>
            <w:tcW w:type="dxa" w:w="4680"/>
            <w:shd w:val="clear" w:color="auto" w:fill="F7F4F0"/>
            <w:tcBorders>
              <w:top w:val="single" w:sz="4" w:space="0" w:color="E2DDD8"/>
              <w:left w:val="single" w:sz="4" w:space="0" w:color="E2DDD8"/>
              <w:bottom w:val="single" w:sz="4" w:space="0" w:color="E2DDD8"/>
              <w:right w:val="single" w:sz="4" w:space="0" w:color="E2DDD8"/>
            </w:tcBorders>
          </w:tcPr>
          <w:p>
            <w:pPr>
              <w:spacing w:before="60" w:after="60"/>
            </w:pPr>
            <w:r>
              <w:rPr>
                <w:color w:val="3D3830"/>
                <w:sz w:val="18"/>
              </w:rPr>
              <w:t>One-line brand mention with link. No hard sell.</w:t>
            </w:r>
          </w:p>
        </w:tc>
      </w:tr>
    </w:tbl>
    <w:p>
      <w:pPr>
        <w:spacing w:before="360" w:after="160"/>
      </w:pPr>
      <w:r>
        <w:rPr>
          <w:b/>
          <w:color w:val="1A1714"/>
          <w:sz w:val="36"/>
        </w:rPr>
        <w:t>8. Technical Notes</w:t>
      </w:r>
    </w:p>
    <w:p>
      <w:pPr>
        <w:pStyle w:val="ListBullet"/>
        <w:spacing w:before="0" w:after="60"/>
      </w:pPr>
      <w:r>
        <w:rPr>
          <w:color w:val="3D3830"/>
          <w:sz w:val="21"/>
        </w:rPr>
        <w:t>Implementation: Single HTML file. All logic in vanilla JavaScript. No backend, no API calls, no database.</w:t>
      </w:r>
    </w:p>
    <w:p>
      <w:pPr>
        <w:pStyle w:val="ListBullet"/>
        <w:spacing w:before="0" w:after="60"/>
      </w:pPr>
      <w:r>
        <w:rPr>
          <w:color w:val="3D3830"/>
          <w:sz w:val="21"/>
        </w:rPr>
        <w:t>Dependencies: Google Fonts (Syne + DM Sans). No JS frameworks required.</w:t>
      </w:r>
    </w:p>
    <w:p>
      <w:pPr>
        <w:pStyle w:val="ListBullet"/>
        <w:spacing w:before="0" w:after="60"/>
      </w:pPr>
      <w:r>
        <w:rPr>
          <w:color w:val="3D3830"/>
          <w:sz w:val="21"/>
        </w:rPr>
        <w:t>Performance: Fully static. Should load in under 1 second. No external data fetching.</w:t>
      </w:r>
    </w:p>
    <w:p>
      <w:pPr>
        <w:pStyle w:val="ListBullet"/>
        <w:spacing w:before="0" w:after="60"/>
      </w:pPr>
      <w:r>
        <w:rPr>
          <w:color w:val="3D3830"/>
          <w:sz w:val="21"/>
        </w:rPr>
        <w:t>Mobile: Fully responsive. Single-column layout on screens under 600px.</w:t>
      </w:r>
    </w:p>
    <w:p>
      <w:pPr>
        <w:pStyle w:val="ListBullet"/>
        <w:spacing w:before="0" w:after="60"/>
      </w:pPr>
      <w:r>
        <w:rPr>
          <w:color w:val="3D3830"/>
          <w:sz w:val="21"/>
        </w:rPr>
        <w:t>Accessibility: All inputs labeled. Color is not the only indicator (verdict text included alongside color).</w:t>
      </w:r>
    </w:p>
    <w:p>
      <w:pPr>
        <w:pStyle w:val="ListBullet"/>
        <w:spacing w:before="0" w:after="60"/>
      </w:pPr>
      <w:r>
        <w:rPr>
          <w:color w:val="3D3830"/>
          <w:sz w:val="21"/>
        </w:rPr>
        <w:t>Analytics: Add Google Analytics or equivalent. Track: calculator_submit, tab_switch, cta_click events.</w:t>
      </w:r>
    </w:p>
    <w:p>
      <w:pPr>
        <w:pStyle w:val="ListBullet"/>
        <w:spacing w:before="0" w:after="60"/>
      </w:pPr>
      <w:r>
        <w:rPr>
          <w:color w:val="3D3830"/>
          <w:sz w:val="21"/>
        </w:rPr>
        <w:t>URL: blockifyapp.com/chargeback-rate-calculator (hyphenated, exact keyword match)</w:t>
      </w:r>
    </w:p>
    <w:p>
      <w:pPr>
        <w:pStyle w:val="ListBullet"/>
        <w:spacing w:before="0" w:after="60"/>
      </w:pPr>
      <w:r>
        <w:rPr>
          <w:color w:val="3D3830"/>
          <w:sz w:val="21"/>
        </w:rPr>
        <w:t>Meta title: Chargeback Rate Calculator — Free Tool for Online Sellers | Blockify</w:t>
      </w:r>
    </w:p>
    <w:p>
      <w:pPr>
        <w:pStyle w:val="ListBullet"/>
        <w:spacing w:before="0" w:after="60"/>
      </w:pPr>
      <w:r>
        <w:rPr>
          <w:color w:val="3D3830"/>
          <w:sz w:val="21"/>
        </w:rPr>
        <w:t>Meta description: Calculate your chargeback rate instantly. See if you're above Visa or Mastercard thresholds. Free tool — no signup needed.</w:t>
      </w:r>
    </w:p>
    <w:p>
      <w:pPr>
        <w:spacing w:before="80" w:after="80"/>
        <w:pBdr>
          <w:bottom w:val="single" w:sz="4" w:space="1" w:color="E2DDD8"/>
        </w:pBdr>
      </w:pPr>
    </w:p>
    <w:p>
      <w:pPr>
        <w:spacing w:before="160"/>
      </w:pPr>
      <w:r>
        <w:rPr>
          <w:color w:val="9C9590"/>
          <w:sz w:val="18"/>
        </w:rPr>
        <w:t>End of document — Tool 1: Chargeback Rate Calculator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