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Segoe UI" w:hAnsi="Segoe UI"/>
          <w:b/>
          <w:color w:val="EE7224"/>
          <w:sz w:val="22"/>
        </w:rPr>
        <w:t>BÁO CÁO HỒ SƠ NĂNG LỰC DỰ ÁN CAPSTONE PORTFOLIO</w:t>
      </w:r>
    </w:p>
    <w:p>
      <w:pPr>
        <w:spacing w:before="80" w:after="160"/>
        <w:jc w:val="center"/>
      </w:pPr>
      <w:r>
        <w:rPr>
          <w:rFonts w:ascii="Segoe UI" w:hAnsi="Segoe UI"/>
          <w:b/>
          <w:color w:val="1E293B"/>
          <w:sz w:val="40"/>
        </w:rPr>
        <w:t>VN-FINANCE INSIGHTS</w:t>
        <w:br/>
        <w:t>TERMINAL PHÂN TÍCH ĐỊNH LƯỢNG TÀI CHÍNH NGÂN HÀNG &amp; BÁO CHÍ DỮ LIỆU THỊ TRƯỜNG</w:t>
      </w:r>
    </w:p>
    <w:p>
      <w:pPr>
        <w:spacing w:before="0" w:after="360"/>
        <w:jc w:val="center"/>
      </w:pPr>
      <w:r>
        <w:rPr>
          <w:rFonts w:ascii="Segoe UI" w:hAnsi="Segoe UI"/>
          <w:i/>
          <w:color w:val="64748B"/>
          <w:sz w:val="20"/>
        </w:rPr>
        <w:t>Vị trí ứng tuyển: Chuyên viên Phân tích &amp; Phát triển Dữ liệu Chứng khoán - Doanh nghiệp</w:t>
        <w:br/>
        <w:t>Đơn vị áp dụng / Case Study: Chuyên trang Tài chính Người Quan Sát (nguoiquansat.vn)</w:t>
        <w:br/>
        <w:t>Phiên bản: v2.5 Terminal Edition | Mã nguồn: Python 3.12 / Streamlit / Plotly / Pandas</w:t>
      </w:r>
    </w:p>
    <w:p>
      <w:pPr>
        <w:spacing w:before="0" w:after="280"/>
        <w:jc w:val="center"/>
      </w:pPr>
      <w:r>
        <w:rPr>
          <w:color w:val="CBD5E1"/>
        </w:rPr>
        <w:t>――――――――――――――――――――――――――――――――――――――――――――――――――</w:t>
      </w:r>
    </w:p>
    <w:tbl>
      <w:tblPr>
        <w:tblW w:type="auto" w:w="0"/>
        <w:jc w:val="center"/>
        <w:tblLook w:firstColumn="1" w:firstRow="1" w:lastColumn="0" w:lastRow="0" w:noHBand="0" w:noVBand="1" w:val="04A0"/>
      </w:tblPr>
      <w:tblGrid>
        <w:gridCol w:w="9360"/>
      </w:tblGrid>
      <w:tr>
        <w:tc>
          <w:tcPr>
            <w:tcW w:type="dxa" w:w="9360"/>
            <w:shd w:fill="FFF7ED"/>
            <w:tcMar>
              <w:top w:w="140" w:type="dxa"/>
              <w:bottom w:w="140" w:type="dxa"/>
              <w:left w:w="200" w:type="dxa"/>
              <w:right w:w="160" w:type="dxa"/>
            </w:tcMar>
            <w:tcBorders>
              <w:top w:val="none"/>
              <w:bottom w:val="none"/>
              <w:left w:val="single" w:sz="24" w:space="0" w:color="EE7224"/>
              <w:right w:val="none"/>
            </w:tcBorders>
          </w:tcPr>
          <w:p>
            <w:pPr>
              <w:spacing w:before="0" w:after="80"/>
            </w:pPr>
            <w:r>
              <w:rPr>
                <w:rFonts w:ascii="Segoe UI" w:hAnsi="Segoe UI"/>
                <w:b/>
                <w:color w:val="EE7224"/>
                <w:sz w:val="22"/>
              </w:rPr>
              <w:t>📌 TÓM TẮT ĐIỀU HÀNH DỰ ÁN (EXECUTIVE SUMMARY)</w:t>
              <w:br/>
            </w:r>
            <w:r>
              <w:rPr>
                <w:rFonts w:ascii="Segoe UI" w:hAnsi="Segoe UI"/>
                <w:color w:val="334155"/>
                <w:sz w:val="20"/>
              </w:rPr>
              <w:t>VN-FINANCE INSIGHTS là một hệ thống Terminal phân tích định lượng tài chính và trực quan hóa dữ liệu BCTC chuyên sâu, được thiết kế đặc thù làm dự án Capstone Portfolio để ứng tuyển vị trí Chuyên viên Phân tích &amp; Phát triển Dữ liệu Chứng khoán - Doanh nghiệp tại Chuyên trang Người Quan Sát.</w:t>
            </w:r>
          </w:p>
          <w:p>
            <w:pPr>
              <w:spacing w:before="0" w:after="80"/>
            </w:pPr>
            <w:r>
              <w:rPr>
                <w:rFonts w:ascii="Segoe UI" w:hAnsi="Segoe UI"/>
                <w:color w:val="334155"/>
                <w:sz w:val="20"/>
              </w:rPr>
              <w:t>Dự án giải quyết trọn vẹn chuỗi giá trị dữ liệu từ: (1) Thu thập &amp; Chuẩn hóa chuỗi thời gian 04/2023 - 01/2025; (2) Xử lý lệch pha giữa dữ liệu giá thị trường hàng ngày và BCTC quý; (3) Tính toán định lượng chuyên sâu (CAMEL, NIM, CASA, NPL, LLR, TTM, Deltas QoQ/YoY); (4) Hệ thống UI/UX Theme Engine đạt chuẩn WCAG AA; (5) Đối soát toán học 100% Math Balance; và (6) Chuyển hóa dữ liệu thành các sản phẩm báo chí truyền thông số (Kịch bản Video ngắn TikTok @nqs.kinhte &amp; Bài viết Báo chí Chuyên sâu).</w:t>
            </w:r>
          </w:p>
        </w:tc>
      </w:tr>
    </w:tbl>
    <w:p>
      <w:pPr>
        <w:spacing w:before="0" w:after="80"/>
      </w:pPr>
    </w:p>
    <w:p>
      <w:pPr>
        <w:keepNext/>
        <w:spacing w:before="320" w:after="120"/>
      </w:pPr>
      <w:r>
        <w:rPr>
          <w:rFonts w:ascii="Segoe UI" w:hAnsi="Segoe UI"/>
          <w:b/>
          <w:color w:val="1E293B"/>
          <w:sz w:val="30"/>
        </w:rPr>
        <w:t>MỤC LỤC TỔNG QUAN TÀI LIỆU</w:t>
      </w:r>
    </w:p>
    <w:p>
      <w:pPr>
        <w:pStyle w:val="ListBullet"/>
        <w:spacing w:before="20" w:after="40" w:line="276" w:lineRule="auto"/>
      </w:pPr>
      <w:r>
        <w:rPr>
          <w:rFonts w:ascii="Segoe UI" w:hAnsi="Segoe UI"/>
          <w:b/>
          <w:color w:val="1E293B"/>
          <w:sz w:val="20"/>
        </w:rPr>
        <w:t xml:space="preserve">Phần I: </w:t>
      </w:r>
      <w:r>
        <w:rPr>
          <w:rFonts w:ascii="Segoe UI" w:hAnsi="Segoe UI"/>
          <w:color w:val="334155"/>
          <w:sz w:val="20"/>
        </w:rPr>
        <w:t>Bối cảnh Thị trường &amp; Mục tiêu Chiến lược của Dự án</w:t>
      </w:r>
    </w:p>
    <w:p>
      <w:pPr>
        <w:pStyle w:val="ListBullet"/>
        <w:spacing w:before="20" w:after="40" w:line="276" w:lineRule="auto"/>
      </w:pPr>
      <w:r>
        <w:rPr>
          <w:rFonts w:ascii="Segoe UI" w:hAnsi="Segoe UI"/>
          <w:b/>
          <w:color w:val="1E293B"/>
          <w:sz w:val="20"/>
        </w:rPr>
        <w:t xml:space="preserve">Phần II: </w:t>
      </w:r>
      <w:r>
        <w:rPr>
          <w:rFonts w:ascii="Segoe UI" w:hAnsi="Segoe UI"/>
          <w:color w:val="334155"/>
          <w:sz w:val="20"/>
        </w:rPr>
        <w:t>Kiến trúc Kỹ thuật Dữ liệu &amp; Xử lý Chuỗi Thời gian (04/2023 - 01/2025)</w:t>
      </w:r>
    </w:p>
    <w:p>
      <w:pPr>
        <w:pStyle w:val="ListBullet"/>
        <w:spacing w:before="20" w:after="40" w:line="276" w:lineRule="auto"/>
      </w:pPr>
      <w:r>
        <w:rPr>
          <w:rFonts w:ascii="Segoe UI" w:hAnsi="Segoe UI"/>
          <w:b/>
          <w:color w:val="1E293B"/>
          <w:sz w:val="20"/>
        </w:rPr>
        <w:t xml:space="preserve">Phần III: </w:t>
      </w:r>
      <w:r>
        <w:rPr>
          <w:rFonts w:ascii="Segoe UI" w:hAnsi="Segoe UI"/>
          <w:color w:val="334155"/>
          <w:sz w:val="20"/>
        </w:rPr>
        <w:t>Mô hình Định lượng Tài chính CAMEL &amp; Thuật toán Chuẩn hóa Radar</w:t>
      </w:r>
    </w:p>
    <w:p>
      <w:pPr>
        <w:pStyle w:val="ListBullet"/>
        <w:spacing w:before="20" w:after="40" w:line="276" w:lineRule="auto"/>
      </w:pPr>
      <w:r>
        <w:rPr>
          <w:rFonts w:ascii="Segoe UI" w:hAnsi="Segoe UI"/>
          <w:b/>
          <w:color w:val="1E293B"/>
          <w:sz w:val="20"/>
        </w:rPr>
        <w:t xml:space="preserve">Phần IV: </w:t>
      </w:r>
      <w:r>
        <w:rPr>
          <w:rFonts w:ascii="Segoe UI" w:hAnsi="Segoe UI"/>
          <w:color w:val="334155"/>
          <w:sz w:val="20"/>
        </w:rPr>
        <w:t>Kiến trúc Giao diện UI/UX Terminal &amp; Giải pháp Chuyển đổi Theme Dark/Light</w:t>
      </w:r>
    </w:p>
    <w:p>
      <w:pPr>
        <w:pStyle w:val="ListBullet"/>
        <w:spacing w:before="20" w:after="40" w:line="276" w:lineRule="auto"/>
      </w:pPr>
      <w:r>
        <w:rPr>
          <w:rFonts w:ascii="Segoe UI" w:hAnsi="Segoe UI"/>
          <w:b/>
          <w:color w:val="1E293B"/>
          <w:sz w:val="20"/>
        </w:rPr>
        <w:t xml:space="preserve">Phần V: </w:t>
      </w:r>
      <w:r>
        <w:rPr>
          <w:rFonts w:ascii="Segoe UI" w:hAnsi="Segoe UI"/>
          <w:color w:val="334155"/>
          <w:sz w:val="20"/>
        </w:rPr>
        <w:t>Công cụ Kiểm toán Cân đối BCTC 100% Math Reconciliation Engine</w:t>
      </w:r>
    </w:p>
    <w:p>
      <w:pPr>
        <w:pStyle w:val="ListBullet"/>
        <w:spacing w:before="20" w:after="40" w:line="276" w:lineRule="auto"/>
      </w:pPr>
      <w:r>
        <w:rPr>
          <w:rFonts w:ascii="Segoe UI" w:hAnsi="Segoe UI"/>
          <w:b/>
          <w:color w:val="1E293B"/>
          <w:sz w:val="20"/>
        </w:rPr>
        <w:t xml:space="preserve">Phần VI: </w:t>
      </w:r>
      <w:r>
        <w:rPr>
          <w:rFonts w:ascii="Segoe UI" w:hAnsi="Segoe UI"/>
          <w:color w:val="334155"/>
          <w:sz w:val="20"/>
        </w:rPr>
        <w:t>Truyền thông Báo chí Số &amp; Phòng Sáng tạo TikTok (@nqs.kinhte)</w:t>
      </w:r>
    </w:p>
    <w:p>
      <w:pPr>
        <w:pStyle w:val="ListBullet"/>
        <w:spacing w:before="20" w:after="40" w:line="276" w:lineRule="auto"/>
      </w:pPr>
      <w:r>
        <w:rPr>
          <w:rFonts w:ascii="Segoe UI" w:hAnsi="Segoe UI"/>
          <w:b/>
          <w:color w:val="1E293B"/>
          <w:sz w:val="20"/>
        </w:rPr>
        <w:t xml:space="preserve">Phần VII: </w:t>
      </w:r>
      <w:r>
        <w:rPr>
          <w:rFonts w:ascii="Segoe UI" w:hAnsi="Segoe UI"/>
          <w:color w:val="334155"/>
          <w:sz w:val="20"/>
        </w:rPr>
        <w:t>Bảng Ánh xạ Năng lực Ứng viên với Bản Mô tả Công việc (JD Mapping)</w:t>
      </w:r>
    </w:p>
    <w:p>
      <w:pPr>
        <w:pStyle w:val="ListBullet"/>
        <w:spacing w:before="20" w:after="40" w:line="276" w:lineRule="auto"/>
      </w:pPr>
      <w:r>
        <w:rPr>
          <w:rFonts w:ascii="Segoe UI" w:hAnsi="Segoe UI"/>
          <w:b/>
          <w:color w:val="1E293B"/>
          <w:sz w:val="20"/>
        </w:rPr>
        <w:t xml:space="preserve">Phần VIII: </w:t>
      </w:r>
      <w:r>
        <w:rPr>
          <w:rFonts w:ascii="Segoe UI" w:hAnsi="Segoe UI"/>
          <w:color w:val="334155"/>
          <w:sz w:val="20"/>
        </w:rPr>
        <w:t>Hướng dẫn Cài đặt, Vận hành &amp; Triển khai Hệ thống (Deployment Guide)</w:t>
      </w:r>
    </w:p>
    <w:p>
      <w:pPr>
        <w:keepNext/>
        <w:spacing w:before="320" w:after="120"/>
      </w:pPr>
      <w:r>
        <w:rPr>
          <w:rFonts w:ascii="Segoe UI" w:hAnsi="Segoe UI"/>
          <w:b/>
          <w:color w:val="1E293B"/>
          <w:sz w:val="30"/>
        </w:rPr>
        <w:t>PHẦN I: BỐI CẢNH THỊ TRƯỜNG &amp; MỤC TIÊU CHIẾN LƯỢC</w:t>
      </w:r>
    </w:p>
    <w:p>
      <w:pPr>
        <w:keepNext/>
        <w:spacing w:before="240" w:after="80"/>
      </w:pPr>
      <w:r>
        <w:rPr>
          <w:rFonts w:ascii="Segoe UI" w:hAnsi="Segoe UI"/>
          <w:b/>
          <w:color w:val="EE7224"/>
          <w:sz w:val="25"/>
        </w:rPr>
        <w:t>1. Bối cảnh Vĩ mô và Ngành Ngân hàng Giai đoạn 04/2023 - 01/2025</w:t>
      </w:r>
    </w:p>
    <w:p>
      <w:pPr>
        <w:spacing w:before="40" w:after="80" w:line="283" w:lineRule="auto"/>
      </w:pPr>
      <w:r>
        <w:rPr>
          <w:rFonts w:ascii="Segoe UI" w:hAnsi="Segoe UI"/>
          <w:i w:val="0"/>
          <w:color w:val="334155"/>
          <w:sz w:val="21"/>
        </w:rPr>
        <w:t>Giai đoạn từ tháng 04/2023 đến tháng 01/2025 là một trong những chu kỳ bản lề và đầy biến động của thị trường tài chính Việt Nam. Ngân hàng Nhà nước (NHNN) đã thực hiện 4 đợt cắt giảm lãi suất điều hành liên tiếp nhằm hạ nhiệt chi phí vốn và kích cầu tăng trưởng kinh tế sau các cú sốc thanh khoản cuối năm 2022. Tuy nhiên, sự phục hồi của nền kinh tế diễn ra không đồng đều, đặt hệ thống ngân hàng thương mại trước các thách thức đa chiều:</w:t>
      </w:r>
    </w:p>
    <w:p>
      <w:pPr>
        <w:pStyle w:val="ListBullet"/>
        <w:spacing w:before="20" w:after="40" w:line="276" w:lineRule="auto"/>
      </w:pPr>
      <w:r>
        <w:rPr>
          <w:rFonts w:ascii="Segoe UI" w:hAnsi="Segoe UI"/>
          <w:b/>
          <w:color w:val="1E293B"/>
          <w:sz w:val="20"/>
        </w:rPr>
        <w:t xml:space="preserve">• Áp lực Biên lãi thuần: </w:t>
      </w:r>
      <w:r>
        <w:rPr>
          <w:rFonts w:ascii="Segoe UI" w:hAnsi="Segoe UI"/>
          <w:color w:val="334155"/>
          <w:sz w:val="20"/>
        </w:rPr>
        <w:t>Biên lãi thuần (NIM) bị nén chặt trong nửa đầu năm 2023 do chi phí huy động vốn kỳ hạn cao của năm 2022 vẫn còn hiệu lực, trong khi lãi suất cho vay phải giảm nhanh theo chỉ đạo hỗ trợ doanh nghiệp.</w:t>
      </w:r>
    </w:p>
    <w:p>
      <w:pPr>
        <w:pStyle w:val="ListBullet"/>
        <w:spacing w:before="20" w:after="40" w:line="276" w:lineRule="auto"/>
      </w:pPr>
      <w:r>
        <w:rPr>
          <w:rFonts w:ascii="Segoe UI" w:hAnsi="Segoe UI"/>
          <w:b/>
          <w:color w:val="1E293B"/>
          <w:sz w:val="20"/>
        </w:rPr>
        <w:t xml:space="preserve">• Cơ chế Thông tư 02: </w:t>
      </w:r>
      <w:r>
        <w:rPr>
          <w:rFonts w:ascii="Segoe UI" w:hAnsi="Segoe UI"/>
          <w:color w:val="334155"/>
          <w:sz w:val="20"/>
        </w:rPr>
        <w:t>Thị trường bất động sản đóng băng và xuất khẩu suy giảm đẩy nợ xấu nội bảng và nợ tiềm ẩn tăng vọt. Ngày 23/04/2023, NHNN ban hành Thông tư 02/2023/TT-NHNN cho phép cơ cấu lại thời hạn trả nợ và giữ nguyên nhóm nợ, tạo ra một 'khoảng lặng' kế toán kỹ thuật cần được phân tích và bóc tách chuyên sâu.</w:t>
      </w:r>
    </w:p>
    <w:p>
      <w:pPr>
        <w:pStyle w:val="ListBullet"/>
        <w:spacing w:before="20" w:after="40" w:line="276" w:lineRule="auto"/>
      </w:pPr>
      <w:r>
        <w:rPr>
          <w:rFonts w:ascii="Segoe UI" w:hAnsi="Segoe UI"/>
          <w:b/>
          <w:color w:val="1E293B"/>
          <w:sz w:val="20"/>
        </w:rPr>
        <w:t xml:space="preserve">• Sự phân hóa chất lượng tài sản: </w:t>
      </w:r>
      <w:r>
        <w:rPr>
          <w:rFonts w:ascii="Segoe UI" w:hAnsi="Segoe UI"/>
          <w:color w:val="334155"/>
          <w:sz w:val="20"/>
        </w:rPr>
        <w:t>Các ngân hàng sở hữu tỷ lệ tiền gửi không kỳ hạn (CASA) vượt trội (như MBB, TCB) và tỷ lệ bao phủ nợ xấu (LLR) dày dặn (như VCB, BID) thể hiện khả năng chống chịu và phục hồi biên lợi nhuận vượt trội so với phần còn lại của hệ thống.</w:t>
      </w:r>
    </w:p>
    <w:p>
      <w:pPr>
        <w:keepNext/>
        <w:spacing w:before="240" w:after="80"/>
      </w:pPr>
      <w:r>
        <w:rPr>
          <w:rFonts w:ascii="Segoe UI" w:hAnsi="Segoe UI"/>
          <w:b/>
          <w:color w:val="EE7224"/>
          <w:sz w:val="25"/>
        </w:rPr>
        <w:t>2. Mục tiêu Xây dựng Hệ thống VN-FINANCE INSIGHTS</w:t>
      </w:r>
    </w:p>
    <w:p>
      <w:pPr>
        <w:spacing w:before="40" w:after="80" w:line="283" w:lineRule="auto"/>
      </w:pPr>
      <w:r>
        <w:rPr>
          <w:rFonts w:ascii="Segoe UI" w:hAnsi="Segoe UI"/>
          <w:i w:val="0"/>
          <w:color w:val="334155"/>
          <w:sz w:val="21"/>
        </w:rPr>
        <w:t>Hệ thống VN-FINANCE INSIGHTS được kiến tạo nhằm trả lời trọn vẹn nhu cầu tác nghiệp thực tế của một Chuyên viên Phân tích Dữ liệu Chứng khoán tại Chuyên trang Người Quan Sát, hướng tới 3 mục tiêu cốt lõi:</w:t>
      </w:r>
    </w:p>
    <w:p>
      <w:pPr>
        <w:pStyle w:val="ListBullet"/>
        <w:spacing w:before="20" w:after="40" w:line="276" w:lineRule="auto"/>
      </w:pPr>
      <w:r>
        <w:rPr>
          <w:rFonts w:ascii="Segoe UI" w:hAnsi="Segoe UI"/>
          <w:b/>
          <w:color w:val="1E293B"/>
          <w:sz w:val="20"/>
        </w:rPr>
        <w:t xml:space="preserve">1. Chuẩn hóa &amp; Tự động hóa: </w:t>
      </w:r>
      <w:r>
        <w:rPr>
          <w:rFonts w:ascii="Segoe UI" w:hAnsi="Segoe UI"/>
          <w:color w:val="334155"/>
          <w:sz w:val="20"/>
        </w:rPr>
        <w:t>Xây dựng kho dữ liệu tài chính ngân hàng chuẩn hóa 8 quý (Q1/2023 - Q4/2024) và chuỗi giá giao dịch thị trường hàng ngày (04/2023 - 01/2025) với 100% tính toàn vẹn toán học.</w:t>
      </w:r>
    </w:p>
    <w:p>
      <w:pPr>
        <w:pStyle w:val="ListBullet"/>
        <w:spacing w:before="20" w:after="40" w:line="276" w:lineRule="auto"/>
      </w:pPr>
      <w:r>
        <w:rPr>
          <w:rFonts w:ascii="Segoe UI" w:hAnsi="Segoe UI"/>
          <w:b/>
          <w:color w:val="1E293B"/>
          <w:sz w:val="20"/>
        </w:rPr>
        <w:t xml:space="preserve">2. Phân tích Định lượng Chuyên sâu: </w:t>
      </w:r>
      <w:r>
        <w:rPr>
          <w:rFonts w:ascii="Segoe UI" w:hAnsi="Segoe UI"/>
          <w:color w:val="334155"/>
          <w:sz w:val="20"/>
        </w:rPr>
        <w:t>Trực quan hóa đa chiều qua mô hình CAMEL, dải định giá P/E Bands, và radar chart chuẩn hóa phân vị ngành, giúp ban biên tập và độc giả nắm bắt câu chuyện doanh nghiệp chỉ trong vài giây.</w:t>
      </w:r>
    </w:p>
    <w:p>
      <w:pPr>
        <w:pStyle w:val="ListBullet"/>
        <w:spacing w:before="20" w:after="40" w:line="276" w:lineRule="auto"/>
      </w:pPr>
      <w:r>
        <w:rPr>
          <w:rFonts w:ascii="Segoe UI" w:hAnsi="Segoe UI"/>
          <w:b/>
          <w:color w:val="1E293B"/>
          <w:sz w:val="20"/>
        </w:rPr>
        <w:t xml:space="preserve">3. Báo chí Dữ liệu Thực chiến: </w:t>
      </w:r>
      <w:r>
        <w:rPr>
          <w:rFonts w:ascii="Segoe UI" w:hAnsi="Segoe UI"/>
          <w:color w:val="334155"/>
          <w:sz w:val="20"/>
        </w:rPr>
        <w:t>Tạo cầu nối trực tiếp từ số liệu khô khan sang sản phẩm nội dung đa phương tiện, bao gồm bài viết phân tích báo chí chuyên sâu và kịch bản video ngắn TikTok đạt chuẩn xu hướng mạng xã hội.</w:t>
      </w:r>
    </w:p>
    <w:p>
      <w:pPr>
        <w:keepNext/>
        <w:spacing w:before="320" w:after="120"/>
      </w:pPr>
      <w:r>
        <w:rPr>
          <w:rFonts w:ascii="Segoe UI" w:hAnsi="Segoe UI"/>
          <w:b/>
          <w:color w:val="1E293B"/>
          <w:sz w:val="30"/>
        </w:rPr>
        <w:t>PHẦN II: KIẾN TRÚC KỸ THUẬT DỮ LIỆU &amp; XỬ LÝ CHUỖI THỜI GIAN</w:t>
      </w:r>
    </w:p>
    <w:p>
      <w:pPr>
        <w:keepNext/>
        <w:spacing w:before="240" w:after="80"/>
      </w:pPr>
      <w:r>
        <w:rPr>
          <w:rFonts w:ascii="Segoe UI" w:hAnsi="Segoe UI"/>
          <w:b/>
          <w:color w:val="EE7224"/>
          <w:sz w:val="25"/>
        </w:rPr>
        <w:t>1. Phân định Hai Luồng Dữ liệu Độc lập (Market vs. Fundamentals)</w:t>
      </w:r>
    </w:p>
    <w:p>
      <w:pPr>
        <w:spacing w:before="40" w:after="80" w:line="283" w:lineRule="auto"/>
      </w:pPr>
      <w:r>
        <w:rPr>
          <w:rFonts w:ascii="Segoe UI" w:hAnsi="Segoe UI"/>
          <w:i w:val="0"/>
          <w:color w:val="334155"/>
          <w:sz w:val="21"/>
        </w:rPr>
        <w:t>Một trong những sai lầm phổ biến nhất của các hệ thống phân tích tài chính sơ cấp là việc gộp chung dữ liệu giá giao dịch biến động theo từng giây vào các chỉ số BCTC tĩnh. VN-FINANCE INSIGHTS phân định nghiêm ngặt 2 luồng dữ liệu độc lập:</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80" w:type="dxa"/>
              <w:bottom w:w="80" w:type="dxa"/>
              <w:left w:w="100" w:type="dxa"/>
              <w:right w:w="100" w:type="dxa"/>
            </w:tcMar>
          </w:tcPr>
          <w:p>
            <w:r>
              <w:rPr>
                <w:rFonts w:ascii="Segoe UI" w:hAnsi="Segoe UI"/>
                <w:b/>
                <w:color w:val="FFFFFF"/>
                <w:sz w:val="19"/>
              </w:rPr>
              <w:t>Đặc tính</w:t>
            </w:r>
          </w:p>
        </w:tc>
        <w:tc>
          <w:tcPr>
            <w:tcW w:type="dxa" w:w="2340"/>
            <w:shd w:fill="1E293B"/>
            <w:tcMar>
              <w:top w:w="80" w:type="dxa"/>
              <w:bottom w:w="80" w:type="dxa"/>
              <w:left w:w="100" w:type="dxa"/>
              <w:right w:w="100" w:type="dxa"/>
            </w:tcMar>
          </w:tcPr>
          <w:p>
            <w:r>
              <w:rPr>
                <w:rFonts w:ascii="Segoe UI" w:hAnsi="Segoe UI"/>
                <w:b/>
                <w:color w:val="FFFFFF"/>
                <w:sz w:val="19"/>
              </w:rPr>
              <w:t>Luồng Dữ liệu Thị trường (Market Data)</w:t>
            </w:r>
          </w:p>
        </w:tc>
        <w:tc>
          <w:tcPr>
            <w:tcW w:type="dxa" w:w="2340"/>
            <w:shd w:fill="1E293B"/>
            <w:tcMar>
              <w:top w:w="80" w:type="dxa"/>
              <w:bottom w:w="80" w:type="dxa"/>
              <w:left w:w="100" w:type="dxa"/>
              <w:right w:w="100" w:type="dxa"/>
            </w:tcMar>
          </w:tcPr>
          <w:p>
            <w:r>
              <w:rPr>
                <w:rFonts w:ascii="Segoe UI" w:hAnsi="Segoe UI"/>
                <w:b/>
                <w:color w:val="FFFFFF"/>
                <w:sz w:val="19"/>
              </w:rPr>
              <w:t>Luồng Dữ liệu BCTC (Fundamentals)</w:t>
            </w:r>
          </w:p>
        </w:tc>
        <w:tc>
          <w:tcPr>
            <w:tcW w:type="dxa" w:w="2340"/>
            <w:shd w:fill="1E293B"/>
            <w:tcMar>
              <w:top w:w="80" w:type="dxa"/>
              <w:bottom w:w="80" w:type="dxa"/>
              <w:left w:w="100" w:type="dxa"/>
              <w:right w:w="100" w:type="dxa"/>
            </w:tcMar>
          </w:tcPr>
          <w:p>
            <w:r>
              <w:rPr>
                <w:rFonts w:ascii="Segoe UI" w:hAnsi="Segoe UI"/>
                <w:b/>
                <w:color w:val="FFFFFF"/>
                <w:sz w:val="19"/>
              </w:rPr>
              <w:t>Cơ chế Tương tác</w:t>
            </w:r>
          </w:p>
        </w:tc>
      </w:tr>
      <w:tr>
        <w:tc>
          <w:tcPr>
            <w:tcW w:type="dxa" w:w="2340"/>
            <w:shd w:fill="F8FAFC"/>
            <w:tcMar>
              <w:top w:w="70" w:type="dxa"/>
              <w:bottom w:w="70" w:type="dxa"/>
              <w:left w:w="100" w:type="dxa"/>
              <w:right w:w="100" w:type="dxa"/>
            </w:tcMar>
          </w:tcPr>
          <w:p>
            <w:r>
              <w:rPr>
                <w:rFonts w:ascii="Segoe UI" w:hAnsi="Segoe UI"/>
                <w:color w:val="334155"/>
                <w:sz w:val="18"/>
              </w:rPr>
              <w:t>Tần suất &amp; Chu kỳ</w:t>
            </w:r>
          </w:p>
        </w:tc>
        <w:tc>
          <w:tcPr>
            <w:tcW w:type="dxa" w:w="2340"/>
            <w:shd w:fill="F8FAFC"/>
            <w:tcMar>
              <w:top w:w="70" w:type="dxa"/>
              <w:bottom w:w="70" w:type="dxa"/>
              <w:left w:w="100" w:type="dxa"/>
              <w:right w:w="100" w:type="dxa"/>
            </w:tcMar>
          </w:tcPr>
          <w:p>
            <w:r>
              <w:rPr>
                <w:rFonts w:ascii="Segoe UI" w:hAnsi="Segoe UI"/>
                <w:color w:val="334155"/>
                <w:sz w:val="18"/>
              </w:rPr>
              <w:t>Liên tục theo ngày (04/2023 - 01/2025, ~500+ phiên)</w:t>
            </w:r>
          </w:p>
        </w:tc>
        <w:tc>
          <w:tcPr>
            <w:tcW w:type="dxa" w:w="2340"/>
            <w:shd w:fill="F8FAFC"/>
            <w:tcMar>
              <w:top w:w="70" w:type="dxa"/>
              <w:bottom w:w="70" w:type="dxa"/>
              <w:left w:w="100" w:type="dxa"/>
              <w:right w:w="100" w:type="dxa"/>
            </w:tcMar>
          </w:tcPr>
          <w:p>
            <w:r>
              <w:rPr>
                <w:rFonts w:ascii="Segoe UI" w:hAnsi="Segoe UI"/>
                <w:color w:val="334155"/>
                <w:sz w:val="18"/>
              </w:rPr>
              <w:t>Chốt định kỳ theo Quý (8 quý: Q1/2023 - Q4/2024)</w:t>
            </w:r>
          </w:p>
        </w:tc>
        <w:tc>
          <w:tcPr>
            <w:tcW w:type="dxa" w:w="2340"/>
            <w:shd w:fill="F8FAFC"/>
            <w:tcMar>
              <w:top w:w="70" w:type="dxa"/>
              <w:bottom w:w="70" w:type="dxa"/>
              <w:left w:w="100" w:type="dxa"/>
              <w:right w:w="100" w:type="dxa"/>
            </w:tcMar>
          </w:tcPr>
          <w:p>
            <w:r>
              <w:rPr>
                <w:rFonts w:ascii="Segoe UI" w:hAnsi="Segoe UI"/>
                <w:color w:val="334155"/>
                <w:sz w:val="18"/>
              </w:rPr>
              <w:t>Định giá P/E &amp; P/B kết hợp giá ngày với EPS/BVPS quý gần nhất</w:t>
            </w:r>
          </w:p>
        </w:tc>
      </w:tr>
      <w:tr>
        <w:tc>
          <w:tcPr>
            <w:tcW w:type="dxa" w:w="2340"/>
            <w:shd w:fill="FFFFFF"/>
            <w:tcMar>
              <w:top w:w="70" w:type="dxa"/>
              <w:bottom w:w="70" w:type="dxa"/>
              <w:left w:w="100" w:type="dxa"/>
              <w:right w:w="100" w:type="dxa"/>
            </w:tcMar>
          </w:tcPr>
          <w:p>
            <w:r>
              <w:rPr>
                <w:rFonts w:ascii="Segoe UI" w:hAnsi="Segoe UI"/>
                <w:color w:val="334155"/>
                <w:sz w:val="18"/>
              </w:rPr>
              <w:t>Biến số Cốt lõi</w:t>
            </w:r>
          </w:p>
        </w:tc>
        <w:tc>
          <w:tcPr>
            <w:tcW w:type="dxa" w:w="2340"/>
            <w:shd w:fill="FFFFFF"/>
            <w:tcMar>
              <w:top w:w="70" w:type="dxa"/>
              <w:bottom w:w="70" w:type="dxa"/>
              <w:left w:w="100" w:type="dxa"/>
              <w:right w:w="100" w:type="dxa"/>
            </w:tcMar>
          </w:tcPr>
          <w:p>
            <w:r>
              <w:rPr>
                <w:rFonts w:ascii="Segoe UI" w:hAnsi="Segoe UI"/>
                <w:color w:val="334155"/>
                <w:sz w:val="18"/>
              </w:rPr>
              <w:t>VN-Index, Khối lượng giao dịch, Giá cổ phiếu, MA20, MA50</w:t>
            </w:r>
          </w:p>
        </w:tc>
        <w:tc>
          <w:tcPr>
            <w:tcW w:type="dxa" w:w="2340"/>
            <w:shd w:fill="FFFFFF"/>
            <w:tcMar>
              <w:top w:w="70" w:type="dxa"/>
              <w:bottom w:w="70" w:type="dxa"/>
              <w:left w:w="100" w:type="dxa"/>
              <w:right w:w="100" w:type="dxa"/>
            </w:tcMar>
          </w:tcPr>
          <w:p>
            <w:r>
              <w:rPr>
                <w:rFonts w:ascii="Segoe UI" w:hAnsi="Segoe UI"/>
                <w:color w:val="334155"/>
                <w:sz w:val="18"/>
              </w:rPr>
              <w:t>Dư nợ, Tiền gửi, 5 nhóm nợ, Thu nhập lãi, Dự phòng, Vốn CSH</w:t>
            </w:r>
          </w:p>
        </w:tc>
        <w:tc>
          <w:tcPr>
            <w:tcW w:type="dxa" w:w="2340"/>
            <w:shd w:fill="FFFFFF"/>
            <w:tcMar>
              <w:top w:w="70" w:type="dxa"/>
              <w:bottom w:w="70" w:type="dxa"/>
              <w:left w:w="100" w:type="dxa"/>
              <w:right w:w="100" w:type="dxa"/>
            </w:tcMar>
          </w:tcPr>
          <w:p>
            <w:r>
              <w:rPr>
                <w:rFonts w:ascii="Segoe UI" w:hAnsi="Segoe UI"/>
                <w:color w:val="334155"/>
                <w:sz w:val="18"/>
              </w:rPr>
              <w:t>Radar CAMEL và Bảng điểm Sức khỏe chạy hoàn toàn trên BCTC</w:t>
            </w:r>
          </w:p>
        </w:tc>
      </w:tr>
    </w:tbl>
    <w:p>
      <w:pPr>
        <w:spacing w:before="80"/>
      </w:pPr>
    </w:p>
    <w:p>
      <w:pPr>
        <w:keepNext/>
        <w:spacing w:before="240" w:after="80"/>
      </w:pPr>
      <w:r>
        <w:rPr>
          <w:rFonts w:ascii="Segoe UI" w:hAnsi="Segoe UI"/>
          <w:b/>
          <w:color w:val="EE7224"/>
          <w:sz w:val="25"/>
        </w:rPr>
        <w:t>2. Xử lý Đứt gãy Dữ liệu TTM và Biến động Kỳ (QoQ / YoY)</w:t>
      </w:r>
    </w:p>
    <w:p>
      <w:pPr>
        <w:spacing w:before="40" w:after="80" w:line="283" w:lineRule="auto"/>
      </w:pPr>
      <w:r>
        <w:rPr>
          <w:rFonts w:ascii="Segoe UI" w:hAnsi="Segoe UI"/>
          <w:i w:val="0"/>
          <w:color w:val="334155"/>
          <w:sz w:val="21"/>
        </w:rPr>
        <w:t>Các chỉ số phân tích đòi hỏi dữ liệu quá khứ 4 quý như Lợi nhuận trượt 12 tháng (Net Profit TTM), ROE TTM, hoặc Tăng trưởng dư nợ cùng kỳ (YoY) thường gặp phải lỗi thiếu dữ liệu (Missing / NaN Values) tại các quý ban đầu (Q1-Q3/2023) nếu không có số liệu năm 2022. Hệ thống triển khai thuật toán thích ứng (Adaptive Rolling Calculation Engine) trong module `src/financial_metrics.py`:</w:t>
      </w:r>
    </w:p>
    <w:p>
      <w:pPr>
        <w:pStyle w:val="ListBullet"/>
        <w:spacing w:before="20" w:after="40" w:line="276" w:lineRule="auto"/>
      </w:pPr>
      <w:r>
        <w:rPr>
          <w:rFonts w:ascii="Segoe UI" w:hAnsi="Segoe UI"/>
          <w:b/>
          <w:color w:val="1E293B"/>
          <w:sz w:val="20"/>
        </w:rPr>
        <w:t xml:space="preserve">• Thuật toán Quy đổi TTM Thích ứng: </w:t>
      </w:r>
      <w:r>
        <w:rPr>
          <w:rFonts w:ascii="Segoe UI" w:hAnsi="Segoe UI"/>
          <w:color w:val="334155"/>
          <w:sz w:val="20"/>
        </w:rPr>
        <w:t>Đối với các kỳ có ít hơn 4 quý lịch sử, hàm `calc_ttm_profit` tính toán tổng lợi nhuận của các quý hiện có và nhân với hệ số điều chỉnh chuẩn hóa `factor = 4.0 / len(window)`. Nhờ đó, lợi nhuận TTM luôn đại diện chính xác cho quy mô năm hóa mà không trả về giá trị None hay NaN.</w:t>
      </w:r>
    </w:p>
    <w:p>
      <w:pPr>
        <w:pStyle w:val="ListBullet"/>
        <w:spacing w:before="20" w:after="40" w:line="276" w:lineRule="auto"/>
      </w:pPr>
      <w:r>
        <w:rPr>
          <w:rFonts w:ascii="Segoe UI" w:hAnsi="Segoe UI"/>
          <w:b/>
          <w:color w:val="1E293B"/>
          <w:sz w:val="20"/>
        </w:rPr>
        <w:t xml:space="preserve">• Cơ chế Fallback Biến động YoY: </w:t>
      </w:r>
      <w:r>
        <w:rPr>
          <w:rFonts w:ascii="Segoe UI" w:hAnsi="Segoe UI"/>
          <w:color w:val="334155"/>
          <w:sz w:val="20"/>
        </w:rPr>
        <w:t>Biến động cùng kỳ `diff(4)` được thiết lập cơ chế fallback tự động: nếu chưa đủ 4 quý, hệ thống tự động gán giá trị biến động quý `diff(1)` làm ước lượng an toàn, kết hợp tiền tố cảnh báo hiển thị trên giao diện.</w:t>
      </w:r>
    </w:p>
    <w:p>
      <w:pPr>
        <w:keepNext/>
        <w:spacing w:before="240" w:after="80"/>
      </w:pPr>
      <w:r>
        <w:rPr>
          <w:rFonts w:ascii="Segoe UI" w:hAnsi="Segoe UI"/>
          <w:b/>
          <w:color w:val="EE7224"/>
          <w:sz w:val="25"/>
        </w:rPr>
        <w:t>3. Tích hợp Chú thích Nghiệp vụ Chu kỳ Vĩ mô (Footnotes)</w:t>
      </w:r>
    </w:p>
    <w:p>
      <w:pPr>
        <w:spacing w:before="40" w:after="80" w:line="283" w:lineRule="auto"/>
      </w:pPr>
      <w:r>
        <w:rPr>
          <w:rFonts w:ascii="Segoe UI" w:hAnsi="Segoe UI"/>
          <w:i w:val="0"/>
          <w:color w:val="334155"/>
          <w:sz w:val="21"/>
        </w:rPr>
        <w:t>Toàn bộ bảng biểu và biểu đồ NPL, NIM, LLR trên Dashboard đều được đính kèm chú thích nghiệp vụ chuyên sâu: '*Lưu ý nghiệp vụ: Giai đoạn 2023 - 2024, tỷ lệ nợ xấu ghi nhận trên sổ sách chịu tác động điều tiết từ Thông tư 02/2023/TT-NHNN cho phép cơ cấu nợ và giữ nguyên nhóm nợ. Biên lãi thuần (NIM) chạm đáy vào Q2/2023 trước khi phục hồi theo chu kỳ giảm chi phí vốn huy động.' Điều này thể hiện tư duy định lượng gắn liền với thực tế ngành của một nhà phân tích chuyên nghiệp.</w:t>
      </w:r>
    </w:p>
    <w:p>
      <w:pPr>
        <w:keepNext/>
        <w:spacing w:before="320" w:after="120"/>
      </w:pPr>
      <w:r>
        <w:rPr>
          <w:rFonts w:ascii="Segoe UI" w:hAnsi="Segoe UI"/>
          <w:b/>
          <w:color w:val="1E293B"/>
          <w:sz w:val="30"/>
        </w:rPr>
        <w:t>PHẦN III: MÔ HÌNH ĐỊNH LƯỢNG TÀI CHÍNH CAMEL &amp; RADAR BENCHMARK</w:t>
      </w:r>
    </w:p>
    <w:p>
      <w:pPr>
        <w:keepNext/>
        <w:spacing w:before="240" w:after="80"/>
      </w:pPr>
      <w:r>
        <w:rPr>
          <w:rFonts w:ascii="Segoe UI" w:hAnsi="Segoe UI"/>
          <w:b/>
          <w:color w:val="EE7224"/>
          <w:sz w:val="25"/>
        </w:rPr>
        <w:t>1. Công thức và Bản chất Kinh tế của Các Chỉ số Cốt lõi</w:t>
      </w:r>
    </w:p>
    <w:p>
      <w:pPr>
        <w:spacing w:before="40" w:after="80" w:line="283" w:lineRule="auto"/>
      </w:pPr>
      <w:r>
        <w:rPr>
          <w:rFonts w:ascii="Segoe UI" w:hAnsi="Segoe UI"/>
          <w:i w:val="0"/>
          <w:color w:val="334155"/>
          <w:sz w:val="21"/>
        </w:rPr>
        <w:t>Hệ thống tính toán và theo dõi 6 chỉ số ngân hàng cốt lõi tuân thủ nghiêm ngặt chuẩn mực tài chính quốc tế và quy định của Ngân hàng Nhà nước:</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80" w:type="dxa"/>
              <w:bottom w:w="80" w:type="dxa"/>
              <w:left w:w="100" w:type="dxa"/>
              <w:right w:w="100" w:type="dxa"/>
            </w:tcMar>
          </w:tcPr>
          <w:p>
            <w:r>
              <w:rPr>
                <w:rFonts w:ascii="Segoe UI" w:hAnsi="Segoe UI"/>
                <w:b/>
                <w:color w:val="FFFFFF"/>
                <w:sz w:val="19"/>
              </w:rPr>
              <w:t>Chỉ số</w:t>
            </w:r>
          </w:p>
        </w:tc>
        <w:tc>
          <w:tcPr>
            <w:tcW w:type="dxa" w:w="2340"/>
            <w:shd w:fill="1E293B"/>
            <w:tcMar>
              <w:top w:w="80" w:type="dxa"/>
              <w:bottom w:w="80" w:type="dxa"/>
              <w:left w:w="100" w:type="dxa"/>
              <w:right w:w="100" w:type="dxa"/>
            </w:tcMar>
          </w:tcPr>
          <w:p>
            <w:r>
              <w:rPr>
                <w:rFonts w:ascii="Segoe UI" w:hAnsi="Segoe UI"/>
                <w:b/>
                <w:color w:val="FFFFFF"/>
                <w:sz w:val="19"/>
              </w:rPr>
              <w:t>Công thức Toán học</w:t>
            </w:r>
          </w:p>
        </w:tc>
        <w:tc>
          <w:tcPr>
            <w:tcW w:type="dxa" w:w="2340"/>
            <w:shd w:fill="1E293B"/>
            <w:tcMar>
              <w:top w:w="80" w:type="dxa"/>
              <w:bottom w:w="80" w:type="dxa"/>
              <w:left w:w="100" w:type="dxa"/>
              <w:right w:w="100" w:type="dxa"/>
            </w:tcMar>
          </w:tcPr>
          <w:p>
            <w:r>
              <w:rPr>
                <w:rFonts w:ascii="Segoe UI" w:hAnsi="Segoe UI"/>
                <w:b/>
                <w:color w:val="FFFFFF"/>
                <w:sz w:val="19"/>
              </w:rPr>
              <w:t>Bản chất Kinh tế &amp; Chuẩn Ngành</w:t>
            </w:r>
          </w:p>
        </w:tc>
        <w:tc>
          <w:tcPr>
            <w:tcW w:type="dxa" w:w="2340"/>
            <w:shd w:fill="1E293B"/>
            <w:tcMar>
              <w:top w:w="80" w:type="dxa"/>
              <w:bottom w:w="80" w:type="dxa"/>
              <w:left w:w="100" w:type="dxa"/>
              <w:right w:w="100" w:type="dxa"/>
            </w:tcMar>
          </w:tcPr>
          <w:p>
            <w:r>
              <w:rPr>
                <w:rFonts w:ascii="Segoe UI" w:hAnsi="Segoe UI"/>
                <w:b/>
                <w:color w:val="FFFFFF"/>
                <w:sz w:val="19"/>
              </w:rPr>
              <w:t>Trọng số Đánh giá</w:t>
            </w:r>
          </w:p>
        </w:tc>
      </w:tr>
      <w:tr>
        <w:tc>
          <w:tcPr>
            <w:tcW w:type="dxa" w:w="2340"/>
            <w:shd w:fill="F8FAFC"/>
            <w:tcMar>
              <w:top w:w="70" w:type="dxa"/>
              <w:bottom w:w="70" w:type="dxa"/>
              <w:left w:w="100" w:type="dxa"/>
              <w:right w:w="100" w:type="dxa"/>
            </w:tcMar>
          </w:tcPr>
          <w:p>
            <w:r>
              <w:rPr>
                <w:rFonts w:ascii="Segoe UI" w:hAnsi="Segoe UI"/>
                <w:color w:val="334155"/>
                <w:sz w:val="18"/>
              </w:rPr>
              <w:t>Biên lãi thuần (NIM)</w:t>
            </w:r>
          </w:p>
        </w:tc>
        <w:tc>
          <w:tcPr>
            <w:tcW w:type="dxa" w:w="2340"/>
            <w:shd w:fill="F8FAFC"/>
            <w:tcMar>
              <w:top w:w="70" w:type="dxa"/>
              <w:bottom w:w="70" w:type="dxa"/>
              <w:left w:w="100" w:type="dxa"/>
              <w:right w:w="100" w:type="dxa"/>
            </w:tcMar>
          </w:tcPr>
          <w:p>
            <w:r>
              <w:rPr>
                <w:rFonts w:ascii="Segoe UI" w:hAnsi="Segoe UI"/>
                <w:color w:val="334155"/>
                <w:sz w:val="18"/>
              </w:rPr>
              <w:t>NIM = (NII * 4) / Earning Assets Avg</w:t>
            </w:r>
          </w:p>
        </w:tc>
        <w:tc>
          <w:tcPr>
            <w:tcW w:type="dxa" w:w="2340"/>
            <w:shd w:fill="F8FAFC"/>
            <w:tcMar>
              <w:top w:w="70" w:type="dxa"/>
              <w:bottom w:w="70" w:type="dxa"/>
              <w:left w:w="100" w:type="dxa"/>
              <w:right w:w="100" w:type="dxa"/>
            </w:tcMar>
          </w:tcPr>
          <w:p>
            <w:r>
              <w:rPr>
                <w:rFonts w:ascii="Segoe UI" w:hAnsi="Segoe UI"/>
                <w:color w:val="334155"/>
                <w:sz w:val="18"/>
              </w:rPr>
              <w:t>Hiệu quả sinh lời của tài sản cho vay. Ngân hàng bán lẻ (MBB, TCB) thường đạt 4.0% - 4.5%; Big 4 (VCB, BID) đạt 2.8% - 3.3%.</w:t>
            </w:r>
          </w:p>
        </w:tc>
        <w:tc>
          <w:tcPr>
            <w:tcW w:type="dxa" w:w="2340"/>
            <w:shd w:fill="F8FAFC"/>
            <w:tcMar>
              <w:top w:w="70" w:type="dxa"/>
              <w:bottom w:w="70" w:type="dxa"/>
              <w:left w:w="100" w:type="dxa"/>
              <w:right w:w="100" w:type="dxa"/>
            </w:tcMar>
          </w:tcPr>
          <w:p>
            <w:r>
              <w:rPr>
                <w:rFonts w:ascii="Segoe UI" w:hAnsi="Segoe UI"/>
                <w:color w:val="334155"/>
                <w:sz w:val="18"/>
              </w:rPr>
              <w:t>20%</w:t>
            </w:r>
          </w:p>
        </w:tc>
      </w:tr>
      <w:tr>
        <w:tc>
          <w:tcPr>
            <w:tcW w:type="dxa" w:w="2340"/>
            <w:shd w:fill="FFFFFF"/>
            <w:tcMar>
              <w:top w:w="70" w:type="dxa"/>
              <w:bottom w:w="70" w:type="dxa"/>
              <w:left w:w="100" w:type="dxa"/>
              <w:right w:w="100" w:type="dxa"/>
            </w:tcMar>
          </w:tcPr>
          <w:p>
            <w:r>
              <w:rPr>
                <w:rFonts w:ascii="Segoe UI" w:hAnsi="Segoe UI"/>
                <w:color w:val="334155"/>
                <w:sz w:val="18"/>
              </w:rPr>
              <w:t>Tỷ lệ nợ xấu (NPL)</w:t>
            </w:r>
          </w:p>
        </w:tc>
        <w:tc>
          <w:tcPr>
            <w:tcW w:type="dxa" w:w="2340"/>
            <w:shd w:fill="FFFFFF"/>
            <w:tcMar>
              <w:top w:w="70" w:type="dxa"/>
              <w:bottom w:w="70" w:type="dxa"/>
              <w:left w:w="100" w:type="dxa"/>
              <w:right w:w="100" w:type="dxa"/>
            </w:tcMar>
          </w:tcPr>
          <w:p>
            <w:r>
              <w:rPr>
                <w:rFonts w:ascii="Segoe UI" w:hAnsi="Segoe UI"/>
                <w:color w:val="334155"/>
                <w:sz w:val="18"/>
              </w:rPr>
              <w:t>NPL = (Nợ nhóm 3+4+5) / Tổng dư nợ</w:t>
            </w:r>
          </w:p>
        </w:tc>
        <w:tc>
          <w:tcPr>
            <w:tcW w:type="dxa" w:w="2340"/>
            <w:shd w:fill="FFFFFF"/>
            <w:tcMar>
              <w:top w:w="70" w:type="dxa"/>
              <w:bottom w:w="70" w:type="dxa"/>
              <w:left w:w="100" w:type="dxa"/>
              <w:right w:w="100" w:type="dxa"/>
            </w:tcMar>
          </w:tcPr>
          <w:p>
            <w:r>
              <w:rPr>
                <w:rFonts w:ascii="Segoe UI" w:hAnsi="Segoe UI"/>
                <w:color w:val="334155"/>
                <w:sz w:val="18"/>
              </w:rPr>
              <w:t>Thước đo rủi ro tín dụng. Mức an toàn theo quy định NHNN là dưới 3.0%. VCB dẫn đầu thị trường với mức ~1.0%.</w:t>
            </w:r>
          </w:p>
        </w:tc>
        <w:tc>
          <w:tcPr>
            <w:tcW w:type="dxa" w:w="2340"/>
            <w:shd w:fill="FFFFFF"/>
            <w:tcMar>
              <w:top w:w="70" w:type="dxa"/>
              <w:bottom w:w="70" w:type="dxa"/>
              <w:left w:w="100" w:type="dxa"/>
              <w:right w:w="100" w:type="dxa"/>
            </w:tcMar>
          </w:tcPr>
          <w:p>
            <w:r>
              <w:rPr>
                <w:rFonts w:ascii="Segoe UI" w:hAnsi="Segoe UI"/>
                <w:color w:val="334155"/>
                <w:sz w:val="18"/>
              </w:rPr>
              <w:t>20%</w:t>
            </w:r>
          </w:p>
        </w:tc>
      </w:tr>
      <w:tr>
        <w:tc>
          <w:tcPr>
            <w:tcW w:type="dxa" w:w="2340"/>
            <w:shd w:fill="F8FAFC"/>
            <w:tcMar>
              <w:top w:w="70" w:type="dxa"/>
              <w:bottom w:w="70" w:type="dxa"/>
              <w:left w:w="100" w:type="dxa"/>
              <w:right w:w="100" w:type="dxa"/>
            </w:tcMar>
          </w:tcPr>
          <w:p>
            <w:r>
              <w:rPr>
                <w:rFonts w:ascii="Segoe UI" w:hAnsi="Segoe UI"/>
                <w:color w:val="334155"/>
                <w:sz w:val="18"/>
              </w:rPr>
              <w:t>Bao phủ nợ xấu (LLR)</w:t>
            </w:r>
          </w:p>
        </w:tc>
        <w:tc>
          <w:tcPr>
            <w:tcW w:type="dxa" w:w="2340"/>
            <w:shd w:fill="F8FAFC"/>
            <w:tcMar>
              <w:top w:w="70" w:type="dxa"/>
              <w:bottom w:w="70" w:type="dxa"/>
              <w:left w:w="100" w:type="dxa"/>
              <w:right w:w="100" w:type="dxa"/>
            </w:tcMar>
          </w:tcPr>
          <w:p>
            <w:r>
              <w:rPr>
                <w:rFonts w:ascii="Segoe UI" w:hAnsi="Segoe UI"/>
                <w:color w:val="334155"/>
                <w:sz w:val="18"/>
              </w:rPr>
              <w:t>LLR = Quỹ Dự phòng / Nợ nhóm 3+4+5</w:t>
            </w:r>
          </w:p>
        </w:tc>
        <w:tc>
          <w:tcPr>
            <w:tcW w:type="dxa" w:w="2340"/>
            <w:shd w:fill="F8FAFC"/>
            <w:tcMar>
              <w:top w:w="70" w:type="dxa"/>
              <w:bottom w:w="70" w:type="dxa"/>
              <w:left w:w="100" w:type="dxa"/>
              <w:right w:w="100" w:type="dxa"/>
            </w:tcMar>
          </w:tcPr>
          <w:p>
            <w:r>
              <w:rPr>
                <w:rFonts w:ascii="Segoe UI" w:hAnsi="Segoe UI"/>
                <w:color w:val="334155"/>
                <w:sz w:val="18"/>
              </w:rPr>
              <w:t>Tấm đệm phòng thủ tài chính. VCB đạt kỷ lục 250% (cứ 1 đồng nợ xấu có 2.5 đồng dự phòng); BID đạt ~180%.</w:t>
            </w:r>
          </w:p>
        </w:tc>
        <w:tc>
          <w:tcPr>
            <w:tcW w:type="dxa" w:w="2340"/>
            <w:shd w:fill="F8FAFC"/>
            <w:tcMar>
              <w:top w:w="70" w:type="dxa"/>
              <w:bottom w:w="70" w:type="dxa"/>
              <w:left w:w="100" w:type="dxa"/>
              <w:right w:w="100" w:type="dxa"/>
            </w:tcMar>
          </w:tcPr>
          <w:p>
            <w:r>
              <w:rPr>
                <w:rFonts w:ascii="Segoe UI" w:hAnsi="Segoe UI"/>
                <w:color w:val="334155"/>
                <w:sz w:val="18"/>
              </w:rPr>
              <w:t>15%</w:t>
            </w:r>
          </w:p>
        </w:tc>
      </w:tr>
      <w:tr>
        <w:tc>
          <w:tcPr>
            <w:tcW w:type="dxa" w:w="2340"/>
            <w:shd w:fill="FFFFFF"/>
            <w:tcMar>
              <w:top w:w="70" w:type="dxa"/>
              <w:bottom w:w="70" w:type="dxa"/>
              <w:left w:w="100" w:type="dxa"/>
              <w:right w:w="100" w:type="dxa"/>
            </w:tcMar>
          </w:tcPr>
          <w:p>
            <w:r>
              <w:rPr>
                <w:rFonts w:ascii="Segoe UI" w:hAnsi="Segoe UI"/>
                <w:color w:val="334155"/>
                <w:sz w:val="18"/>
              </w:rPr>
              <w:t>Tiền gửi không kỳ hạn (CASA)</w:t>
            </w:r>
          </w:p>
        </w:tc>
        <w:tc>
          <w:tcPr>
            <w:tcW w:type="dxa" w:w="2340"/>
            <w:shd w:fill="FFFFFF"/>
            <w:tcMar>
              <w:top w:w="70" w:type="dxa"/>
              <w:bottom w:w="70" w:type="dxa"/>
              <w:left w:w="100" w:type="dxa"/>
              <w:right w:w="100" w:type="dxa"/>
            </w:tcMar>
          </w:tcPr>
          <w:p>
            <w:r>
              <w:rPr>
                <w:rFonts w:ascii="Segoe UI" w:hAnsi="Segoe UI"/>
                <w:color w:val="334155"/>
                <w:sz w:val="18"/>
              </w:rPr>
              <w:t>CASA = Tiền gửi KKH / Tổng tiền gửi KH</w:t>
            </w:r>
          </w:p>
        </w:tc>
        <w:tc>
          <w:tcPr>
            <w:tcW w:type="dxa" w:w="2340"/>
            <w:shd w:fill="FFFFFF"/>
            <w:tcMar>
              <w:top w:w="70" w:type="dxa"/>
              <w:bottom w:w="70" w:type="dxa"/>
              <w:left w:w="100" w:type="dxa"/>
              <w:right w:w="100" w:type="dxa"/>
            </w:tcMar>
          </w:tcPr>
          <w:p>
            <w:r>
              <w:rPr>
                <w:rFonts w:ascii="Segoe UI" w:hAnsi="Segoe UI"/>
                <w:color w:val="334155"/>
                <w:sz w:val="18"/>
              </w:rPr>
              <w:t>Lợi thế chi phí vốn rẻ vượt trội (chỉ 0.2% - 0.5%/năm). MBB và TCB thống trị với CASA 40% - 42%.</w:t>
            </w:r>
          </w:p>
        </w:tc>
        <w:tc>
          <w:tcPr>
            <w:tcW w:type="dxa" w:w="2340"/>
            <w:shd w:fill="FFFFFF"/>
            <w:tcMar>
              <w:top w:w="70" w:type="dxa"/>
              <w:bottom w:w="70" w:type="dxa"/>
              <w:left w:w="100" w:type="dxa"/>
              <w:right w:w="100" w:type="dxa"/>
            </w:tcMar>
          </w:tcPr>
          <w:p>
            <w:r>
              <w:rPr>
                <w:rFonts w:ascii="Segoe UI" w:hAnsi="Segoe UI"/>
                <w:color w:val="334155"/>
                <w:sz w:val="18"/>
              </w:rPr>
              <w:t>30%</w:t>
            </w:r>
          </w:p>
        </w:tc>
      </w:tr>
      <w:tr>
        <w:tc>
          <w:tcPr>
            <w:tcW w:type="dxa" w:w="2340"/>
            <w:shd w:fill="F8FAFC"/>
            <w:tcMar>
              <w:top w:w="70" w:type="dxa"/>
              <w:bottom w:w="70" w:type="dxa"/>
              <w:left w:w="100" w:type="dxa"/>
              <w:right w:w="100" w:type="dxa"/>
            </w:tcMar>
          </w:tcPr>
          <w:p>
            <w:r>
              <w:rPr>
                <w:rFonts w:ascii="Segoe UI" w:hAnsi="Segoe UI"/>
                <w:color w:val="334155"/>
                <w:sz w:val="18"/>
              </w:rPr>
              <w:t>Tỷ suất sinh lời CSH (ROE)</w:t>
            </w:r>
          </w:p>
        </w:tc>
        <w:tc>
          <w:tcPr>
            <w:tcW w:type="dxa" w:w="2340"/>
            <w:shd w:fill="F8FAFC"/>
            <w:tcMar>
              <w:top w:w="70" w:type="dxa"/>
              <w:bottom w:w="70" w:type="dxa"/>
              <w:left w:w="100" w:type="dxa"/>
              <w:right w:w="100" w:type="dxa"/>
            </w:tcMar>
          </w:tcPr>
          <w:p>
            <w:r>
              <w:rPr>
                <w:rFonts w:ascii="Segoe UI" w:hAnsi="Segoe UI"/>
                <w:color w:val="334155"/>
                <w:sz w:val="18"/>
              </w:rPr>
              <w:t>ROE TTM = Lợi nhuận sau thuế TTM / Vốn CSH</w:t>
            </w:r>
          </w:p>
        </w:tc>
        <w:tc>
          <w:tcPr>
            <w:tcW w:type="dxa" w:w="2340"/>
            <w:shd w:fill="F8FAFC"/>
            <w:tcMar>
              <w:top w:w="70" w:type="dxa"/>
              <w:bottom w:w="70" w:type="dxa"/>
              <w:left w:w="100" w:type="dxa"/>
              <w:right w:w="100" w:type="dxa"/>
            </w:tcMar>
          </w:tcPr>
          <w:p>
            <w:r>
              <w:rPr>
                <w:rFonts w:ascii="Segoe UI" w:hAnsi="Segoe UI"/>
                <w:color w:val="334155"/>
                <w:sz w:val="18"/>
              </w:rPr>
              <w:t>Hiệu quả sử dụng vốn của cổ đông. MBB và VCB duy trì hiệu suất cao kỷ lục từ 20% đến 22%/năm.</w:t>
            </w:r>
          </w:p>
        </w:tc>
        <w:tc>
          <w:tcPr>
            <w:tcW w:type="dxa" w:w="2340"/>
            <w:shd w:fill="F8FAFC"/>
            <w:tcMar>
              <w:top w:w="70" w:type="dxa"/>
              <w:bottom w:w="70" w:type="dxa"/>
              <w:left w:w="100" w:type="dxa"/>
              <w:right w:w="100" w:type="dxa"/>
            </w:tcMar>
          </w:tcPr>
          <w:p>
            <w:r>
              <w:rPr>
                <w:rFonts w:ascii="Segoe UI" w:hAnsi="Segoe UI"/>
                <w:color w:val="334155"/>
                <w:sz w:val="18"/>
              </w:rPr>
              <w:t>15%</w:t>
            </w:r>
          </w:p>
        </w:tc>
      </w:tr>
      <w:tr>
        <w:tc>
          <w:tcPr>
            <w:tcW w:type="dxa" w:w="2340"/>
            <w:shd w:fill="FFFFFF"/>
            <w:tcMar>
              <w:top w:w="70" w:type="dxa"/>
              <w:bottom w:w="70" w:type="dxa"/>
              <w:left w:w="100" w:type="dxa"/>
              <w:right w:w="100" w:type="dxa"/>
            </w:tcMar>
          </w:tcPr>
          <w:p>
            <w:r>
              <w:rPr>
                <w:rFonts w:ascii="Segoe UI" w:hAnsi="Segoe UI"/>
                <w:color w:val="334155"/>
                <w:sz w:val="18"/>
              </w:rPr>
              <w:t>Định giá P/E &amp; P/B</w:t>
            </w:r>
          </w:p>
        </w:tc>
        <w:tc>
          <w:tcPr>
            <w:tcW w:type="dxa" w:w="2340"/>
            <w:shd w:fill="FFFFFF"/>
            <w:tcMar>
              <w:top w:w="70" w:type="dxa"/>
              <w:bottom w:w="70" w:type="dxa"/>
              <w:left w:w="100" w:type="dxa"/>
              <w:right w:w="100" w:type="dxa"/>
            </w:tcMar>
          </w:tcPr>
          <w:p>
            <w:r>
              <w:rPr>
                <w:rFonts w:ascii="Segoe UI" w:hAnsi="Segoe UI"/>
                <w:color w:val="334155"/>
                <w:sz w:val="18"/>
              </w:rPr>
              <w:t>P/E = Giá / EPS; P/B = Giá / BVPS</w:t>
            </w:r>
          </w:p>
        </w:tc>
        <w:tc>
          <w:tcPr>
            <w:tcW w:type="dxa" w:w="2340"/>
            <w:shd w:fill="FFFFFF"/>
            <w:tcMar>
              <w:top w:w="70" w:type="dxa"/>
              <w:bottom w:w="70" w:type="dxa"/>
              <w:left w:w="100" w:type="dxa"/>
              <w:right w:w="100" w:type="dxa"/>
            </w:tcMar>
          </w:tcPr>
          <w:p>
            <w:r>
              <w:rPr>
                <w:rFonts w:ascii="Segoe UI" w:hAnsi="Segoe UI"/>
                <w:color w:val="334155"/>
                <w:sz w:val="18"/>
              </w:rPr>
              <w:t>Thước đo định giá cổ phiếu so với khả năng sinh lời và giá trị sổ sách.</w:t>
            </w:r>
          </w:p>
        </w:tc>
        <w:tc>
          <w:tcPr>
            <w:tcW w:type="dxa" w:w="2340"/>
            <w:shd w:fill="FFFFFF"/>
            <w:tcMar>
              <w:top w:w="70" w:type="dxa"/>
              <w:bottom w:w="70" w:type="dxa"/>
              <w:left w:w="100" w:type="dxa"/>
              <w:right w:w="100" w:type="dxa"/>
            </w:tcMar>
          </w:tcPr>
          <w:p>
            <w:r>
              <w:rPr>
                <w:rFonts w:ascii="Segoe UI" w:hAnsi="Segoe UI"/>
                <w:color w:val="334155"/>
                <w:sz w:val="18"/>
              </w:rPr>
              <w:t>Tham chiếu định giá</w:t>
            </w:r>
          </w:p>
        </w:tc>
      </w:tr>
    </w:tbl>
    <w:p>
      <w:pPr>
        <w:spacing w:before="80"/>
      </w:pPr>
    </w:p>
    <w:p>
      <w:pPr>
        <w:keepNext/>
        <w:spacing w:before="240" w:after="80"/>
      </w:pPr>
      <w:r>
        <w:rPr>
          <w:rFonts w:ascii="Segoe UI" w:hAnsi="Segoe UI"/>
          <w:b/>
          <w:color w:val="EE7224"/>
          <w:sz w:val="25"/>
        </w:rPr>
        <w:t>2. Thuật toán Chuẩn hóa Radar Chart (Min-Max Scaling)</w:t>
      </w:r>
    </w:p>
    <w:p>
      <w:pPr>
        <w:spacing w:before="40" w:after="80" w:line="283" w:lineRule="auto"/>
      </w:pPr>
      <w:r>
        <w:rPr>
          <w:rFonts w:ascii="Segoe UI" w:hAnsi="Segoe UI"/>
          <w:i w:val="0"/>
          <w:color w:val="334155"/>
          <w:sz w:val="21"/>
        </w:rPr>
        <w:t>Một vấn đề nghiêm trọng trong các biểu đồ mạng nhện truyền thống là việc đưa trực tiếp các chỉ số có đơn vị khác nhau (%, lần, tỷ đồng) lên cùng các trục, dẫn đến việc biến số có độ lớn tuyệt đối cao (như LLR 200%) áp đảo hoàn toàn các biến số có biên độ hẹp (như NPL 1.5% hay NIM 4%). Hệ thống giải quyết triệt để bằng hàm `compute_camel_radar_dimensions()`:</w:t>
      </w:r>
    </w:p>
    <w:p>
      <w:pPr>
        <w:pStyle w:val="ListBullet"/>
        <w:spacing w:before="20" w:after="40" w:line="276" w:lineRule="auto"/>
      </w:pPr>
      <w:r>
        <w:rPr>
          <w:rFonts w:ascii="Segoe UI" w:hAnsi="Segoe UI"/>
          <w:b/>
          <w:color w:val="1E293B"/>
          <w:sz w:val="20"/>
        </w:rPr>
        <w:t xml:space="preserve">• Min-Max Normalization: </w:t>
      </w:r>
      <w:r>
        <w:rPr>
          <w:rFonts w:ascii="Segoe UI" w:hAnsi="Segoe UI"/>
          <w:color w:val="334155"/>
          <w:sz w:val="20"/>
        </w:rPr>
        <w:t>Mỗi chỉ số được chuẩn hóa tuyến tính về thang điểm phân vị ngành từ 10 đến 100 điểm dựa trên biên độ phân phối thực tế của ngành ngân hàng Việt Nam.</w:t>
      </w:r>
    </w:p>
    <w:p>
      <w:pPr>
        <w:pStyle w:val="ListBullet"/>
        <w:spacing w:before="20" w:after="40" w:line="276" w:lineRule="auto"/>
      </w:pPr>
      <w:r>
        <w:rPr>
          <w:rFonts w:ascii="Segoe UI" w:hAnsi="Segoe UI"/>
          <w:b/>
          <w:color w:val="1E293B"/>
          <w:sz w:val="20"/>
        </w:rPr>
        <w:t xml:space="preserve">• Xử lý Trục Nghịch biến (Inverted Axis): </w:t>
      </w:r>
      <w:r>
        <w:rPr>
          <w:rFonts w:ascii="Segoe UI" w:hAnsi="Segoe UI"/>
          <w:color w:val="334155"/>
          <w:sz w:val="20"/>
        </w:rPr>
        <w:t>Đối với tỷ lệ nợ xấu (NPL), chỉ số mang tính nghịch biến (nợ xấu càng thấp thì điểm càng cao). Thuật toán tự động đảo ngược phân vị: `Score = 110.0 - Normal_Score`.</w:t>
      </w:r>
    </w:p>
    <w:p>
      <w:pPr>
        <w:pStyle w:val="ListBullet"/>
        <w:spacing w:before="20" w:after="40" w:line="276" w:lineRule="auto"/>
      </w:pPr>
      <w:r>
        <w:rPr>
          <w:rFonts w:ascii="Segoe UI" w:hAnsi="Segoe UI"/>
          <w:b/>
          <w:color w:val="1E293B"/>
          <w:sz w:val="20"/>
        </w:rPr>
        <w:t xml:space="preserve">• So sánh Chồng lớp Đa ngân hàng: </w:t>
      </w:r>
      <w:r>
        <w:rPr>
          <w:rFonts w:ascii="Segoe UI" w:hAnsi="Segoe UI"/>
          <w:color w:val="334155"/>
          <w:sz w:val="20"/>
        </w:rPr>
        <w:t>Hỗ trợ chọn đồng thời từ 1 đến 3 ngân hàng (Multi-select Peer Benchmark) để vẽ các lớp đa giác bán trong suốt chồng lên nhau, giúp người dùng so sánh trực quan thế mạnh tương đối giữa các ngân hàng ngay lập tức.</w:t>
      </w:r>
    </w:p>
    <w:p>
      <w:pPr>
        <w:keepNext/>
        <w:spacing w:before="240" w:after="80"/>
      </w:pPr>
      <w:r>
        <w:rPr>
          <w:rFonts w:ascii="Segoe UI" w:hAnsi="Segoe UI"/>
          <w:b/>
          <w:color w:val="EE7224"/>
          <w:sz w:val="25"/>
        </w:rPr>
        <w:t>3. Thuật toán Bảng điểm Sức khỏe Tài chính Ngân hàng (CAMEL Scorecard)</w:t>
      </w:r>
    </w:p>
    <w:p>
      <w:pPr>
        <w:spacing w:before="40" w:after="80" w:line="283" w:lineRule="auto"/>
      </w:pPr>
      <w:r>
        <w:rPr>
          <w:rFonts w:ascii="Segoe UI" w:hAnsi="Segoe UI"/>
          <w:i w:val="0"/>
          <w:color w:val="334155"/>
          <w:sz w:val="21"/>
        </w:rPr>
        <w:t>Hệ thống phân loại các ngân hàng theo 3 nhóm phân hạng rõ ràng dựa trên tổng điểm sức khỏe tài chính tổng hợp:</w:t>
      </w:r>
    </w:p>
    <w:p>
      <w:pPr>
        <w:pStyle w:val="ListBullet"/>
        <w:spacing w:before="20" w:after="40" w:line="276" w:lineRule="auto"/>
      </w:pPr>
      <w:r>
        <w:rPr>
          <w:rFonts w:ascii="Segoe UI" w:hAnsi="Segoe UI"/>
          <w:b/>
          <w:color w:val="1E293B"/>
          <w:sz w:val="20"/>
        </w:rPr>
        <w:t xml:space="preserve">• TIER 1 - PHÒNG THỦ TOÀN DIỆN: </w:t>
      </w:r>
      <w:r>
        <w:rPr>
          <w:rFonts w:ascii="Segoe UI" w:hAnsi="Segoe UI"/>
          <w:color w:val="334155"/>
          <w:sz w:val="20"/>
        </w:rPr>
        <w:t>Điểm tổng hợp $\ge 80.0$, sở hữu tấm đệm dự phòng nợ xấu dày dặn (&gt;180%) và tỷ lệ nợ xấu thấp vượt trội (&lt;1.5%). Đại diện tiêu biểu: VCB.</w:t>
      </w:r>
    </w:p>
    <w:p>
      <w:pPr>
        <w:pStyle w:val="ListBullet"/>
        <w:spacing w:before="20" w:after="40" w:line="276" w:lineRule="auto"/>
      </w:pPr>
      <w:r>
        <w:rPr>
          <w:rFonts w:ascii="Segoe UI" w:hAnsi="Segoe UI"/>
          <w:b/>
          <w:color w:val="1E293B"/>
          <w:sz w:val="20"/>
        </w:rPr>
        <w:t xml:space="preserve">• CASA KING - DẪN ĐẦU VỐN RẺ: </w:t>
      </w:r>
      <w:r>
        <w:rPr>
          <w:rFonts w:ascii="Segoe UI" w:hAnsi="Segoe UI"/>
          <w:color w:val="334155"/>
          <w:sz w:val="20"/>
        </w:rPr>
        <w:t>Điểm tổng hợp từ 70.0 đến 79.9, biên lãi thuần cao (&gt;4.0%) nhờ lợi thế tỷ lệ CASA dẫn đầu hệ thống (&gt;38%). Đại diện: MBB, TCB.</w:t>
      </w:r>
    </w:p>
    <w:p>
      <w:pPr>
        <w:pStyle w:val="ListBullet"/>
        <w:spacing w:before="20" w:after="40" w:line="276" w:lineRule="auto"/>
      </w:pPr>
      <w:r>
        <w:rPr>
          <w:rFonts w:ascii="Segoe UI" w:hAnsi="Segoe UI"/>
          <w:b/>
          <w:color w:val="1E293B"/>
          <w:sz w:val="20"/>
        </w:rPr>
        <w:t xml:space="preserve">• TÍN DỤNG QUY MÔ LỚN: </w:t>
      </w:r>
      <w:r>
        <w:rPr>
          <w:rFonts w:ascii="Segoe UI" w:hAnsi="Segoe UI"/>
          <w:color w:val="334155"/>
          <w:sz w:val="20"/>
        </w:rPr>
        <w:t>Quy mô tổng tài sản và dư nợ vượt 2 triệu tỷ đồng, giữ vai trò huyết mạch tín dụng của nền kinh tế. Đại diện: BID.</w:t>
      </w:r>
    </w:p>
    <w:p>
      <w:pPr>
        <w:keepNext/>
        <w:spacing w:before="320" w:after="120"/>
      </w:pPr>
      <w:r>
        <w:rPr>
          <w:rFonts w:ascii="Segoe UI" w:hAnsi="Segoe UI"/>
          <w:b/>
          <w:color w:val="1E293B"/>
          <w:sz w:val="30"/>
        </w:rPr>
        <w:t>PHẦN IV: KIẾN TRÚC GIAO DIỆN UI/UX TERMINAL &amp; THEME ENGINE</w:t>
      </w:r>
    </w:p>
    <w:p>
      <w:pPr>
        <w:keepNext/>
        <w:spacing w:before="240" w:after="80"/>
      </w:pPr>
      <w:r>
        <w:rPr>
          <w:rFonts w:ascii="Segoe UI" w:hAnsi="Segoe UI"/>
          <w:b/>
          <w:color w:val="EE7224"/>
          <w:sz w:val="25"/>
        </w:rPr>
        <w:t>1. Hệ thống Nhận diện Thương hiệu Chuyên trang Người Quan Sát</w:t>
      </w:r>
    </w:p>
    <w:p>
      <w:pPr>
        <w:spacing w:before="40" w:after="80" w:line="283" w:lineRule="auto"/>
      </w:pPr>
      <w:r>
        <w:rPr>
          <w:rFonts w:ascii="Segoe UI" w:hAnsi="Segoe UI"/>
          <w:i w:val="0"/>
          <w:color w:val="334155"/>
          <w:sz w:val="21"/>
        </w:rPr>
        <w:t>Giao diện Dashboard được thiết kế theo chuẩn mực Financial Data Terminal cao cấp (Bloomberg Terminal / FactSet style), tích hợp trọn vẹn bản sắc thương hiệu của Chuyên trang Người Quan Sát (nguoiquansat.vn):</w:t>
      </w:r>
    </w:p>
    <w:p>
      <w:pPr>
        <w:pStyle w:val="ListBullet"/>
        <w:spacing w:before="20" w:after="40" w:line="276" w:lineRule="auto"/>
      </w:pPr>
      <w:r>
        <w:rPr>
          <w:rFonts w:ascii="Segoe UI" w:hAnsi="Segoe UI"/>
          <w:b/>
          <w:color w:val="1E293B"/>
          <w:sz w:val="20"/>
        </w:rPr>
        <w:t xml:space="preserve">• Màu sắc Chủ đạo (Brand Primary): </w:t>
      </w:r>
      <w:r>
        <w:rPr>
          <w:rFonts w:ascii="Segoe UI" w:hAnsi="Segoe UI"/>
          <w:color w:val="334155"/>
          <w:sz w:val="20"/>
        </w:rPr>
        <w:t>Màu cam biểu tượng của Người Quan Sát (#EE7224), sử dụng cho thanh điều hướng chính, các nút nhấn hành động, đường viền tiêu đề và các chỉ số điểm nhấn quan trọng.</w:t>
      </w:r>
    </w:p>
    <w:p>
      <w:pPr>
        <w:pStyle w:val="ListBullet"/>
        <w:spacing w:before="20" w:after="40" w:line="276" w:lineRule="auto"/>
      </w:pPr>
      <w:r>
        <w:rPr>
          <w:rFonts w:ascii="Segoe UI" w:hAnsi="Segoe UI"/>
          <w:b/>
          <w:color w:val="1E293B"/>
          <w:sz w:val="20"/>
        </w:rPr>
        <w:t xml:space="preserve">• Màu sắc Thứ cấp (Brand Purple): </w:t>
      </w:r>
      <w:r>
        <w:rPr>
          <w:rFonts w:ascii="Segoe UI" w:hAnsi="Segoe UI"/>
          <w:color w:val="334155"/>
          <w:sz w:val="20"/>
        </w:rPr>
        <w:t>Tím than hoàng gia (#3B1B70), sử dụng cho nhãn thương hiệu, nền phụ trợ cao cấp và các badge thể loại chuyên sâu.</w:t>
      </w:r>
    </w:p>
    <w:p>
      <w:pPr>
        <w:pStyle w:val="ListBullet"/>
        <w:spacing w:before="20" w:after="40" w:line="276" w:lineRule="auto"/>
      </w:pPr>
      <w:r>
        <w:rPr>
          <w:rFonts w:ascii="Segoe UI" w:hAnsi="Segoe UI"/>
          <w:b/>
          <w:color w:val="1E293B"/>
          <w:sz w:val="20"/>
        </w:rPr>
        <w:t xml:space="preserve">• Tín hiệu Trực tiếp (Live Dot): </w:t>
      </w:r>
      <w:r>
        <w:rPr>
          <w:rFonts w:ascii="Segoe UI" w:hAnsi="Segoe UI"/>
          <w:color w:val="334155"/>
          <w:sz w:val="20"/>
        </w:rPr>
        <w:t>Đỏ tín hiệu (#ED1C24) với hiệu ứng nhấp nháy phát sáng (pulsing glow 1.5s) cho chấm tròn 'LIVE TERMINAL', khẳng định tính thời sự và cập nhật trực tiếp của dữ liệu.</w:t>
      </w:r>
    </w:p>
    <w:p>
      <w:pPr>
        <w:pStyle w:val="ListBullet"/>
        <w:spacing w:before="20" w:after="40" w:line="276" w:lineRule="auto"/>
      </w:pPr>
      <w:r>
        <w:rPr>
          <w:rFonts w:ascii="Segoe UI" w:hAnsi="Segoe UI"/>
          <w:b/>
          <w:color w:val="1E293B"/>
          <w:sz w:val="20"/>
        </w:rPr>
        <w:t xml:space="preserve">• Logo Vector Chính thức: </w:t>
      </w:r>
      <w:r>
        <w:rPr>
          <w:rFonts w:ascii="Segoe UI" w:hAnsi="Segoe UI"/>
          <w:color w:val="334155"/>
          <w:sz w:val="20"/>
        </w:rPr>
        <w:t>Tích hợp trực tiếp file đồ họa vector `assets/logo_nqs.svg` với độ sắc nét hoàn hảo trên mọi độ phân giải màn hình Retina và 4K.</w:t>
      </w:r>
    </w:p>
    <w:p>
      <w:pPr>
        <w:keepNext/>
        <w:spacing w:before="240" w:after="80"/>
      </w:pPr>
      <w:r>
        <w:rPr>
          <w:rFonts w:ascii="Segoe UI" w:hAnsi="Segoe UI"/>
          <w:b/>
          <w:color w:val="EE7224"/>
          <w:sz w:val="25"/>
        </w:rPr>
        <w:t>2. Giải quyết Triệt để Lỗi Tương phản &amp; Xung đột Màu (WCAG AA)</w:t>
      </w:r>
    </w:p>
    <w:p>
      <w:pPr>
        <w:spacing w:before="40" w:after="80" w:line="283" w:lineRule="auto"/>
      </w:pPr>
      <w:r>
        <w:rPr>
          <w:rFonts w:ascii="Segoe UI" w:hAnsi="Segoe UI"/>
          <w:i w:val="0"/>
          <w:color w:val="334155"/>
          <w:sz w:val="21"/>
        </w:rPr>
        <w:t>Vấn đề kinh điển của các ứng dụng Streamlit khi hỗ trợ cả Dark Mode và Light Mode là việc chữ bị mất tích hoặc chìm vào nền (ví dụ chữ trắng trên nền sáng hoặc chữ đen trên nền tối) do việc hardcode tĩnh các mã màu hex trong mã nguồn HTML/CSS. VN-FINANCE INSIGHTS đã tái cấu trúc toàn diện hệ thống style theo chuẩn Dynamic Theme Engine:</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80" w:type="dxa"/>
              <w:bottom w:w="80" w:type="dxa"/>
              <w:left w:w="100" w:type="dxa"/>
              <w:right w:w="100" w:type="dxa"/>
            </w:tcMar>
          </w:tcPr>
          <w:p>
            <w:r>
              <w:rPr>
                <w:rFonts w:ascii="Segoe UI" w:hAnsi="Segoe UI"/>
                <w:b/>
                <w:color w:val="FFFFFF"/>
                <w:sz w:val="19"/>
              </w:rPr>
              <w:t>Thành phần Giao diện</w:t>
            </w:r>
          </w:p>
        </w:tc>
        <w:tc>
          <w:tcPr>
            <w:tcW w:type="dxa" w:w="3120"/>
            <w:shd w:fill="1E293B"/>
            <w:tcMar>
              <w:top w:w="80" w:type="dxa"/>
              <w:bottom w:w="80" w:type="dxa"/>
              <w:left w:w="100" w:type="dxa"/>
              <w:right w:w="100" w:type="dxa"/>
            </w:tcMar>
          </w:tcPr>
          <w:p>
            <w:r>
              <w:rPr>
                <w:rFonts w:ascii="Segoe UI" w:hAnsi="Segoe UI"/>
                <w:b/>
                <w:color w:val="FFFFFF"/>
                <w:sz w:val="19"/>
              </w:rPr>
              <w:t>Chế độ Nền Tối (Dark Terminal Mode)</w:t>
            </w:r>
          </w:p>
        </w:tc>
        <w:tc>
          <w:tcPr>
            <w:tcW w:type="dxa" w:w="3120"/>
            <w:shd w:fill="1E293B"/>
            <w:tcMar>
              <w:top w:w="80" w:type="dxa"/>
              <w:bottom w:w="80" w:type="dxa"/>
              <w:left w:w="100" w:type="dxa"/>
              <w:right w:w="100" w:type="dxa"/>
            </w:tcMar>
          </w:tcPr>
          <w:p>
            <w:r>
              <w:rPr>
                <w:rFonts w:ascii="Segoe UI" w:hAnsi="Segoe UI"/>
                <w:b/>
                <w:color w:val="FFFFFF"/>
                <w:sz w:val="19"/>
              </w:rPr>
              <w:t>Chế độ Nền Sáng (Light Corporate Mode)</w:t>
            </w:r>
          </w:p>
        </w:tc>
      </w:tr>
      <w:tr>
        <w:tc>
          <w:tcPr>
            <w:tcW w:type="dxa" w:w="3120"/>
            <w:shd w:fill="F8FAFC"/>
            <w:tcMar>
              <w:top w:w="70" w:type="dxa"/>
              <w:bottom w:w="70" w:type="dxa"/>
              <w:left w:w="100" w:type="dxa"/>
              <w:right w:w="100" w:type="dxa"/>
            </w:tcMar>
          </w:tcPr>
          <w:p>
            <w:r>
              <w:rPr>
                <w:rFonts w:ascii="Segoe UI" w:hAnsi="Segoe UI"/>
                <w:color w:val="334155"/>
                <w:sz w:val="18"/>
              </w:rPr>
              <w:t>Màu nền ứng dụng (App Background)</w:t>
            </w:r>
          </w:p>
        </w:tc>
        <w:tc>
          <w:tcPr>
            <w:tcW w:type="dxa" w:w="3120"/>
            <w:shd w:fill="F8FAFC"/>
            <w:tcMar>
              <w:top w:w="70" w:type="dxa"/>
              <w:bottom w:w="70" w:type="dxa"/>
              <w:left w:w="100" w:type="dxa"/>
              <w:right w:w="100" w:type="dxa"/>
            </w:tcMar>
          </w:tcPr>
          <w:p>
            <w:r>
              <w:rPr>
                <w:rFonts w:ascii="Segoe UI" w:hAnsi="Segoe UI"/>
                <w:color w:val="334155"/>
                <w:sz w:val="18"/>
              </w:rPr>
              <w:t>#0E1117 (Deep Black Dark Theme)</w:t>
            </w:r>
          </w:p>
        </w:tc>
        <w:tc>
          <w:tcPr>
            <w:tcW w:type="dxa" w:w="3120"/>
            <w:shd w:fill="F8FAFC"/>
            <w:tcMar>
              <w:top w:w="70" w:type="dxa"/>
              <w:bottom w:w="70" w:type="dxa"/>
              <w:left w:w="100" w:type="dxa"/>
              <w:right w:w="100" w:type="dxa"/>
            </w:tcMar>
          </w:tcPr>
          <w:p>
            <w:r>
              <w:rPr>
                <w:rFonts w:ascii="Segoe UI" w:hAnsi="Segoe UI"/>
                <w:color w:val="334155"/>
                <w:sz w:val="18"/>
              </w:rPr>
              <w:t>#F8FAFC (Clean Crisp Slate Light)</w:t>
            </w:r>
          </w:p>
        </w:tc>
      </w:tr>
      <w:tr>
        <w:tc>
          <w:tcPr>
            <w:tcW w:type="dxa" w:w="3120"/>
            <w:shd w:fill="FFFFFF"/>
            <w:tcMar>
              <w:top w:w="70" w:type="dxa"/>
              <w:bottom w:w="70" w:type="dxa"/>
              <w:left w:w="100" w:type="dxa"/>
              <w:right w:w="100" w:type="dxa"/>
            </w:tcMar>
          </w:tcPr>
          <w:p>
            <w:r>
              <w:rPr>
                <w:rFonts w:ascii="Segoe UI" w:hAnsi="Segoe UI"/>
                <w:color w:val="334155"/>
                <w:sz w:val="18"/>
              </w:rPr>
              <w:t>Văn bản Chính (Primary Text)</w:t>
            </w:r>
          </w:p>
        </w:tc>
        <w:tc>
          <w:tcPr>
            <w:tcW w:type="dxa" w:w="3120"/>
            <w:shd w:fill="FFFFFF"/>
            <w:tcMar>
              <w:top w:w="70" w:type="dxa"/>
              <w:bottom w:w="70" w:type="dxa"/>
              <w:left w:w="100" w:type="dxa"/>
              <w:right w:w="100" w:type="dxa"/>
            </w:tcMar>
          </w:tcPr>
          <w:p>
            <w:r>
              <w:rPr>
                <w:rFonts w:ascii="Segoe UI" w:hAnsi="Segoe UI"/>
                <w:color w:val="334155"/>
                <w:sz w:val="18"/>
              </w:rPr>
              <w:t>#FFFFFF / #F1F5F9 (Tương phản tuyệt đối)</w:t>
            </w:r>
          </w:p>
        </w:tc>
        <w:tc>
          <w:tcPr>
            <w:tcW w:type="dxa" w:w="3120"/>
            <w:shd w:fill="FFFFFF"/>
            <w:tcMar>
              <w:top w:w="70" w:type="dxa"/>
              <w:bottom w:w="70" w:type="dxa"/>
              <w:left w:w="100" w:type="dxa"/>
              <w:right w:w="100" w:type="dxa"/>
            </w:tcMar>
          </w:tcPr>
          <w:p>
            <w:r>
              <w:rPr>
                <w:rFonts w:ascii="Segoe UI" w:hAnsi="Segoe UI"/>
                <w:color w:val="334155"/>
                <w:sz w:val="18"/>
              </w:rPr>
              <w:t>#0F172A (Navy sẫm, độ tương phản 12.5:1)</w:t>
            </w:r>
          </w:p>
        </w:tc>
      </w:tr>
      <w:tr>
        <w:tc>
          <w:tcPr>
            <w:tcW w:type="dxa" w:w="3120"/>
            <w:shd w:fill="F8FAFC"/>
            <w:tcMar>
              <w:top w:w="70" w:type="dxa"/>
              <w:bottom w:w="70" w:type="dxa"/>
              <w:left w:w="100" w:type="dxa"/>
              <w:right w:w="100" w:type="dxa"/>
            </w:tcMar>
          </w:tcPr>
          <w:p>
            <w:r>
              <w:rPr>
                <w:rFonts w:ascii="Segoe UI" w:hAnsi="Segoe UI"/>
                <w:color w:val="334155"/>
                <w:sz w:val="18"/>
              </w:rPr>
              <w:t>Văn bản Phụ &amp; Nhãn (Labels / Sub-text)</w:t>
            </w:r>
          </w:p>
        </w:tc>
        <w:tc>
          <w:tcPr>
            <w:tcW w:type="dxa" w:w="3120"/>
            <w:shd w:fill="F8FAFC"/>
            <w:tcMar>
              <w:top w:w="70" w:type="dxa"/>
              <w:bottom w:w="70" w:type="dxa"/>
              <w:left w:w="100" w:type="dxa"/>
              <w:right w:w="100" w:type="dxa"/>
            </w:tcMar>
          </w:tcPr>
          <w:p>
            <w:r>
              <w:rPr>
                <w:rFonts w:ascii="Segoe UI" w:hAnsi="Segoe UI"/>
                <w:color w:val="334155"/>
                <w:sz w:val="18"/>
              </w:rPr>
              <w:t>#94A3B8 (Xám bạc sáng, tương phản 5.2:1)</w:t>
            </w:r>
          </w:p>
        </w:tc>
        <w:tc>
          <w:tcPr>
            <w:tcW w:type="dxa" w:w="3120"/>
            <w:shd w:fill="F8FAFC"/>
            <w:tcMar>
              <w:top w:w="70" w:type="dxa"/>
              <w:bottom w:w="70" w:type="dxa"/>
              <w:left w:w="100" w:type="dxa"/>
              <w:right w:w="100" w:type="dxa"/>
            </w:tcMar>
          </w:tcPr>
          <w:p>
            <w:r>
              <w:rPr>
                <w:rFonts w:ascii="Segoe UI" w:hAnsi="Segoe UI"/>
                <w:color w:val="334155"/>
                <w:sz w:val="18"/>
              </w:rPr>
              <w:t>#334155 (Xám đậm, tương phản 7.1:1)</w:t>
            </w:r>
          </w:p>
        </w:tc>
      </w:tr>
      <w:tr>
        <w:tc>
          <w:tcPr>
            <w:tcW w:type="dxa" w:w="3120"/>
            <w:shd w:fill="FFFFFF"/>
            <w:tcMar>
              <w:top w:w="70" w:type="dxa"/>
              <w:bottom w:w="70" w:type="dxa"/>
              <w:left w:w="100" w:type="dxa"/>
              <w:right w:w="100" w:type="dxa"/>
            </w:tcMar>
          </w:tcPr>
          <w:p>
            <w:r>
              <w:rPr>
                <w:rFonts w:ascii="Segoe UI" w:hAnsi="Segoe UI"/>
                <w:color w:val="334155"/>
                <w:sz w:val="18"/>
              </w:rPr>
              <w:t>Thẻ dữ liệu &amp; Khung viền (Cards &amp; Borders)</w:t>
            </w:r>
          </w:p>
        </w:tc>
        <w:tc>
          <w:tcPr>
            <w:tcW w:type="dxa" w:w="3120"/>
            <w:shd w:fill="FFFFFF"/>
            <w:tcMar>
              <w:top w:w="70" w:type="dxa"/>
              <w:bottom w:w="70" w:type="dxa"/>
              <w:left w:w="100" w:type="dxa"/>
              <w:right w:w="100" w:type="dxa"/>
            </w:tcMar>
          </w:tcPr>
          <w:p>
            <w:r>
              <w:rPr>
                <w:rFonts w:ascii="Segoe UI" w:hAnsi="Segoe UI"/>
                <w:color w:val="334155"/>
                <w:sz w:val="18"/>
              </w:rPr>
              <w:t>Nền #161B22, viền #30363D</w:t>
            </w:r>
          </w:p>
        </w:tc>
        <w:tc>
          <w:tcPr>
            <w:tcW w:type="dxa" w:w="3120"/>
            <w:shd w:fill="FFFFFF"/>
            <w:tcMar>
              <w:top w:w="70" w:type="dxa"/>
              <w:bottom w:w="70" w:type="dxa"/>
              <w:left w:w="100" w:type="dxa"/>
              <w:right w:w="100" w:type="dxa"/>
            </w:tcMar>
          </w:tcPr>
          <w:p>
            <w:r>
              <w:rPr>
                <w:rFonts w:ascii="Segoe UI" w:hAnsi="Segoe UI"/>
                <w:color w:val="334155"/>
                <w:sz w:val="18"/>
              </w:rPr>
              <w:t>Nền #FFFFFF, viền #E2E8F0 với bóng đổ nhẹ</w:t>
            </w:r>
          </w:p>
        </w:tc>
      </w:tr>
      <w:tr>
        <w:tc>
          <w:tcPr>
            <w:tcW w:type="dxa" w:w="3120"/>
            <w:shd w:fill="F8FAFC"/>
            <w:tcMar>
              <w:top w:w="70" w:type="dxa"/>
              <w:bottom w:w="70" w:type="dxa"/>
              <w:left w:w="100" w:type="dxa"/>
              <w:right w:w="100" w:type="dxa"/>
            </w:tcMar>
          </w:tcPr>
          <w:p>
            <w:r>
              <w:rPr>
                <w:rFonts w:ascii="Segoe UI" w:hAnsi="Segoe UI"/>
                <w:color w:val="334155"/>
                <w:sz w:val="18"/>
              </w:rPr>
              <w:t>Template Biểu đồ Plotly</w:t>
            </w:r>
          </w:p>
        </w:tc>
        <w:tc>
          <w:tcPr>
            <w:tcW w:type="dxa" w:w="3120"/>
            <w:shd w:fill="F8FAFC"/>
            <w:tcMar>
              <w:top w:w="70" w:type="dxa"/>
              <w:bottom w:w="70" w:type="dxa"/>
              <w:left w:w="100" w:type="dxa"/>
              <w:right w:w="100" w:type="dxa"/>
            </w:tcMar>
          </w:tcPr>
          <w:p>
            <w:r>
              <w:rPr>
                <w:rFonts w:ascii="Segoe UI" w:hAnsi="Segoe UI"/>
                <w:color w:val="334155"/>
                <w:sz w:val="18"/>
              </w:rPr>
              <w:t>plotly_dark (Nền trong suốt, lưới xám tối)</w:t>
            </w:r>
          </w:p>
        </w:tc>
        <w:tc>
          <w:tcPr>
            <w:tcW w:type="dxa" w:w="3120"/>
            <w:shd w:fill="F8FAFC"/>
            <w:tcMar>
              <w:top w:w="70" w:type="dxa"/>
              <w:bottom w:w="70" w:type="dxa"/>
              <w:left w:w="100" w:type="dxa"/>
              <w:right w:w="100" w:type="dxa"/>
            </w:tcMar>
          </w:tcPr>
          <w:p>
            <w:r>
              <w:rPr>
                <w:rFonts w:ascii="Segoe UI" w:hAnsi="Segoe UI"/>
                <w:color w:val="334155"/>
                <w:sz w:val="18"/>
              </w:rPr>
              <w:t>plotly_white (Nền trong suốt, lưới mảnh sáng)</w:t>
            </w:r>
          </w:p>
        </w:tc>
      </w:tr>
    </w:tbl>
    <w:p>
      <w:pPr>
        <w:spacing w:before="80"/>
      </w:pPr>
    </w:p>
    <w:p>
      <w:pPr>
        <w:keepNext/>
        <w:spacing w:before="240" w:after="80"/>
      </w:pPr>
      <w:r>
        <w:rPr>
          <w:rFonts w:ascii="Segoe UI" w:hAnsi="Segoe UI"/>
          <w:b/>
          <w:color w:val="EE7224"/>
          <w:sz w:val="25"/>
        </w:rPr>
        <w:t>3. Thành phần Terminal Tương tác Đỉnh cao</w:t>
      </w:r>
    </w:p>
    <w:p>
      <w:pPr>
        <w:pStyle w:val="ListBullet"/>
        <w:spacing w:before="20" w:after="40" w:line="276" w:lineRule="auto"/>
      </w:pPr>
      <w:r>
        <w:rPr>
          <w:rFonts w:ascii="Segoe UI" w:hAnsi="Segoe UI"/>
          <w:b/>
          <w:color w:val="1E293B"/>
          <w:sz w:val="20"/>
        </w:rPr>
        <w:t xml:space="preserve">• Dynamic Marquee Ticker: </w:t>
      </w:r>
      <w:r>
        <w:rPr>
          <w:rFonts w:ascii="Segoe UI" w:hAnsi="Segoe UI"/>
          <w:color w:val="334155"/>
          <w:sz w:val="20"/>
        </w:rPr>
        <w:t>Băng chuyền chứng khoán chạy ngang liên tục với chu kỳ 32 giây, hiển thị VN-Index, giá trị thanh khoản phiên, P/E toàn thị trường và giá cổ phiếu các ngân hàng lớn. Tự động tạm dừng (pause on hover) khi người dùng di chuột để xem chi tiết.</w:t>
      </w:r>
    </w:p>
    <w:p>
      <w:pPr>
        <w:pStyle w:val="ListBullet"/>
        <w:spacing w:before="20" w:after="40" w:line="276" w:lineRule="auto"/>
      </w:pPr>
      <w:r>
        <w:rPr>
          <w:rFonts w:ascii="Segoe UI" w:hAnsi="Segoe UI"/>
          <w:b/>
          <w:color w:val="1E293B"/>
          <w:sz w:val="20"/>
        </w:rPr>
        <w:t xml:space="preserve">• Semi-transparent Metric Badges: </w:t>
      </w:r>
      <w:r>
        <w:rPr>
          <w:rFonts w:ascii="Segoe UI" w:hAnsi="Segoe UI"/>
          <w:color w:val="334155"/>
          <w:sz w:val="20"/>
        </w:rPr>
        <w:t>Các thẻ chỉ số, nhãn phân hạng (TIER 1, CASA KING) sử dụng kênh màu alpha (ví dụ `rgba(59, 130, 246, 0.15)`) giúp hiển thị hài hòa, nổi bật trên cả nền sáng và nền tối mà không làm nhòe văn bản.</w:t>
      </w:r>
    </w:p>
    <w:p>
      <w:pPr>
        <w:keepNext/>
        <w:spacing w:before="320" w:after="120"/>
      </w:pPr>
      <w:r>
        <w:rPr>
          <w:rFonts w:ascii="Segoe UI" w:hAnsi="Segoe UI"/>
          <w:b/>
          <w:color w:val="1E293B"/>
          <w:sz w:val="30"/>
        </w:rPr>
        <w:t>PHẦN V: CÔNG CỤ KIỂM TOÁN CÂN ĐỐI BCTC 100% MATH RECONCILIATION</w:t>
      </w:r>
    </w:p>
    <w:p>
      <w:pPr>
        <w:keepNext/>
        <w:spacing w:before="240" w:after="80"/>
      </w:pPr>
      <w:r>
        <w:rPr>
          <w:rFonts w:ascii="Segoe UI" w:hAnsi="Segoe UI"/>
          <w:b/>
          <w:color w:val="EE7224"/>
          <w:sz w:val="25"/>
        </w:rPr>
        <w:t>1. Tầm quan trọng của Đạo đức Số liệu trong Báo chí Tài chính</w:t>
      </w:r>
    </w:p>
    <w:p>
      <w:pPr>
        <w:spacing w:before="40" w:after="80" w:line="283" w:lineRule="auto"/>
      </w:pPr>
      <w:r>
        <w:rPr>
          <w:rFonts w:ascii="Segoe UI" w:hAnsi="Segoe UI"/>
          <w:i w:val="0"/>
          <w:color w:val="334155"/>
          <w:sz w:val="21"/>
        </w:rPr>
        <w:t>Đối với một cơ quan báo chí tài chính uy tín như Tạp chí Người Quan Sát, sai số dữ liệu hoặc việc các khoản mục trên bảng cân đối kế toán không khớp nhau là sai phạm tối kỵ làm tổn hại uy tín thương hiệu. VN-FINANCE INSIGHTS tích hợp một module kiểm toán độc lập (Tab 4: Math Reconciliation &amp; Data Quality Audit) nhằm xác minh tính toàn vẹn của mọi bản ghi dữ liệu trước khi xuất bản.</w:t>
      </w:r>
    </w:p>
    <w:p>
      <w:pPr>
        <w:keepNext/>
        <w:spacing w:before="240" w:after="80"/>
      </w:pPr>
      <w:r>
        <w:rPr>
          <w:rFonts w:ascii="Segoe UI" w:hAnsi="Segoe UI"/>
          <w:b/>
          <w:color w:val="EE7224"/>
          <w:sz w:val="25"/>
        </w:rPr>
        <w:t>2. Hai Phương trình Kiểm toán Tuyệt đối</w:t>
      </w:r>
    </w:p>
    <w:p>
      <w:pPr>
        <w:pStyle w:val="ListBullet"/>
        <w:spacing w:before="20" w:after="40" w:line="276" w:lineRule="auto"/>
      </w:pPr>
      <w:r>
        <w:rPr>
          <w:rFonts w:ascii="Segoe UI" w:hAnsi="Segoe UI"/>
          <w:b/>
          <w:color w:val="1E293B"/>
          <w:sz w:val="20"/>
        </w:rPr>
        <w:t xml:space="preserve">• Phương trình Cân đối 5 Nhóm nợ: </w:t>
      </w:r>
      <w:r>
        <w:rPr>
          <w:rFonts w:ascii="Segoe UI" w:hAnsi="Segoe UI"/>
          <w:color w:val="334155"/>
          <w:sz w:val="20"/>
        </w:rPr>
        <w:t>Tổng giá trị của 5 nhóm nợ (Nhóm 1: Đủ tiêu chuẩn; Nhóm 2: Cần chú ý; Nhóm 3: Dưới tiêu chuẩn; Nhóm 4: Nghi ngờ; Nhóm 5: Có khả năng mất vốn) phải bằng chính xác 100.000% Tổng Dư nợ Cho vay Khách hàng. Sai lệch cho phép (tolerance): $0.0000$ VNĐ.</w:t>
      </w:r>
    </w:p>
    <w:p>
      <w:pPr>
        <w:pStyle w:val="ListBullet"/>
        <w:spacing w:before="20" w:after="40" w:line="276" w:lineRule="auto"/>
      </w:pPr>
      <w:r>
        <w:rPr>
          <w:rFonts w:ascii="Segoe UI" w:hAnsi="Segoe UI"/>
          <w:b/>
          <w:color w:val="1E293B"/>
          <w:sz w:val="20"/>
        </w:rPr>
        <w:t xml:space="preserve">• Phương trình Bảng Cân đối Kế toán: </w:t>
      </w:r>
      <w:r>
        <w:rPr>
          <w:rFonts w:ascii="Segoe UI" w:hAnsi="Segoe UI"/>
          <w:color w:val="334155"/>
          <w:sz w:val="20"/>
        </w:rPr>
        <w:t>Tổng Tài sản Bảng Cân đối Kế toán phải bằng Tổng Nợ phải trả cộng Vốn Chủ sở hữu: $\text{Total Assets} = \text{Total Liabilities} + \text{Total Equity}$. Tỷ lệ chênh lệch kiểm toán bằng đúng $0.000%$.</w:t>
      </w:r>
    </w:p>
    <w:p>
      <w:pPr>
        <w:keepNext/>
        <w:spacing w:before="240" w:after="80"/>
      </w:pPr>
      <w:r>
        <w:rPr>
          <w:rFonts w:ascii="Segoe UI" w:hAnsi="Segoe UI"/>
          <w:b/>
          <w:color w:val="EE7224"/>
          <w:sz w:val="25"/>
        </w:rPr>
        <w:t>3. Công cụ Xuất Dữ liệu Đa định dạng (Excel &amp; CSV)</w:t>
      </w:r>
    </w:p>
    <w:p>
      <w:pPr>
        <w:spacing w:before="40" w:after="80" w:line="283" w:lineRule="auto"/>
      </w:pPr>
      <w:r>
        <w:rPr>
          <w:rFonts w:ascii="Segoe UI" w:hAnsi="Segoe UI"/>
          <w:i w:val="0"/>
          <w:color w:val="334155"/>
          <w:sz w:val="21"/>
        </w:rPr>
        <w:t>Hệ thống cung cấp tính năng xuất toàn bộ bộ dữ liệu BCTC đã được làm sạch và tính toán kèm các chỉ số phân tích sang định dạng Excel nhiều sheet (`VN_Finance_Banking_Reconciliation_Audit.xlsx`) và định dạng CSV mã hóa UTF-8-BOM. Điều này phục vụ trực tiếp cho các nhà báo, chuyên viên phân tích độc lập kiểm tra chéo và trích xuất dữ liệu làm tư liệu bài viết.</w:t>
      </w:r>
    </w:p>
    <w:p>
      <w:pPr>
        <w:keepNext/>
        <w:spacing w:before="320" w:after="120"/>
      </w:pPr>
      <w:r>
        <w:rPr>
          <w:rFonts w:ascii="Segoe UI" w:hAnsi="Segoe UI"/>
          <w:b/>
          <w:color w:val="1E293B"/>
          <w:sz w:val="30"/>
        </w:rPr>
        <w:t>PHẦN VI: TRUYỀN THÔNG BÁO CHÍ SỐ &amp; PHÒNG SÁNG TẠO TIKTOK</w:t>
      </w:r>
    </w:p>
    <w:p>
      <w:pPr>
        <w:keepNext/>
        <w:spacing w:before="240" w:after="80"/>
      </w:pPr>
      <w:r>
        <w:rPr>
          <w:rFonts w:ascii="Segoe UI" w:hAnsi="Segoe UI"/>
          <w:b/>
          <w:color w:val="EE7224"/>
          <w:sz w:val="25"/>
        </w:rPr>
        <w:t>1. Chuyển hóa Dữ liệu thành Nội dung Viral trên Mạng Xã hội</w:t>
      </w:r>
    </w:p>
    <w:p>
      <w:pPr>
        <w:spacing w:before="40" w:after="80" w:line="283" w:lineRule="auto"/>
      </w:pPr>
      <w:r>
        <w:rPr>
          <w:rFonts w:ascii="Segoe UI" w:hAnsi="Segoe UI"/>
          <w:i w:val="0"/>
          <w:color w:val="334155"/>
          <w:sz w:val="21"/>
        </w:rPr>
        <w:t>Người Quan Sát sở hữu kênh truyền thông số phát triển mạnh mẽ trên nền tảng TikTok (@nqs.kinhte). Để thu hút thế hệ nhà đầu tư trẻ (Gen Z và Millennials), dữ liệu tài chính phức tạp cần được chuyển hóa thành các video ngắn sinh động, dễ hiểu nhưng vẫn giữ nguyên độ chính xác học thuật. Hệ thống VN-FINANCE INSIGHTS tích hợp sẵn Tab 'TikTok Creative Lab' với 4 kịch bản video viral hoàn chỉnh:</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80" w:type="dxa"/>
              <w:bottom w:w="80" w:type="dxa"/>
              <w:left w:w="100" w:type="dxa"/>
              <w:right w:w="100" w:type="dxa"/>
            </w:tcMar>
          </w:tcPr>
          <w:p>
            <w:r>
              <w:rPr>
                <w:rFonts w:ascii="Segoe UI" w:hAnsi="Segoe UI"/>
                <w:b/>
                <w:color w:val="FFFFFF"/>
                <w:sz w:val="19"/>
              </w:rPr>
              <w:t>Mã Kịch bản</w:t>
            </w:r>
          </w:p>
        </w:tc>
        <w:tc>
          <w:tcPr>
            <w:tcW w:type="dxa" w:w="2340"/>
            <w:shd w:fill="1E293B"/>
            <w:tcMar>
              <w:top w:w="80" w:type="dxa"/>
              <w:bottom w:w="80" w:type="dxa"/>
              <w:left w:w="100" w:type="dxa"/>
              <w:right w:w="100" w:type="dxa"/>
            </w:tcMar>
          </w:tcPr>
          <w:p>
            <w:r>
              <w:rPr>
                <w:rFonts w:ascii="Segoe UI" w:hAnsi="Segoe UI"/>
                <w:b/>
                <w:color w:val="FFFFFF"/>
                <w:sz w:val="19"/>
              </w:rPr>
              <w:t>Tiêu đề Video</w:t>
            </w:r>
          </w:p>
        </w:tc>
        <w:tc>
          <w:tcPr>
            <w:tcW w:type="dxa" w:w="2340"/>
            <w:shd w:fill="1E293B"/>
            <w:tcMar>
              <w:top w:w="80" w:type="dxa"/>
              <w:bottom w:w="80" w:type="dxa"/>
              <w:left w:w="100" w:type="dxa"/>
              <w:right w:w="100" w:type="dxa"/>
            </w:tcMar>
          </w:tcPr>
          <w:p>
            <w:r>
              <w:rPr>
                <w:rFonts w:ascii="Segoe UI" w:hAnsi="Segoe UI"/>
                <w:b/>
                <w:color w:val="FFFFFF"/>
                <w:sz w:val="19"/>
              </w:rPr>
              <w:t>Hook 3 Giây Đầu</w:t>
            </w:r>
          </w:p>
        </w:tc>
        <w:tc>
          <w:tcPr>
            <w:tcW w:type="dxa" w:w="2340"/>
            <w:shd w:fill="1E293B"/>
            <w:tcMar>
              <w:top w:w="80" w:type="dxa"/>
              <w:bottom w:w="80" w:type="dxa"/>
              <w:left w:w="100" w:type="dxa"/>
              <w:right w:w="100" w:type="dxa"/>
            </w:tcMar>
          </w:tcPr>
          <w:p>
            <w:r>
              <w:rPr>
                <w:rFonts w:ascii="Segoe UI" w:hAnsi="Segoe UI"/>
                <w:b/>
                <w:color w:val="FFFFFF"/>
                <w:sz w:val="19"/>
              </w:rPr>
              <w:t>Thông điệp Dữ liệu Cốt lõi (Data Climax)</w:t>
            </w:r>
          </w:p>
        </w:tc>
      </w:tr>
      <w:tr>
        <w:tc>
          <w:tcPr>
            <w:tcW w:type="dxa" w:w="2340"/>
            <w:shd w:fill="F8FAFC"/>
            <w:tcMar>
              <w:top w:w="70" w:type="dxa"/>
              <w:bottom w:w="70" w:type="dxa"/>
              <w:left w:w="100" w:type="dxa"/>
              <w:right w:w="100" w:type="dxa"/>
            </w:tcMar>
          </w:tcPr>
          <w:p>
            <w:r>
              <w:rPr>
                <w:rFonts w:ascii="Segoe UI" w:hAnsi="Segoe UI"/>
                <w:color w:val="334155"/>
                <w:sz w:val="18"/>
              </w:rPr>
              <w:t>TT-01</w:t>
            </w:r>
          </w:p>
        </w:tc>
        <w:tc>
          <w:tcPr>
            <w:tcW w:type="dxa" w:w="2340"/>
            <w:shd w:fill="F8FAFC"/>
            <w:tcMar>
              <w:top w:w="70" w:type="dxa"/>
              <w:bottom w:w="70" w:type="dxa"/>
              <w:left w:w="100" w:type="dxa"/>
              <w:right w:w="100" w:type="dxa"/>
            </w:tcMar>
          </w:tcPr>
          <w:p>
            <w:r>
              <w:rPr>
                <w:rFonts w:ascii="Segoe UI" w:hAnsi="Segoe UI"/>
                <w:color w:val="334155"/>
                <w:sz w:val="18"/>
              </w:rPr>
              <w:t>CASA là gì và vì sao MBB, TCB dẫn đầu?</w:t>
            </w:r>
          </w:p>
        </w:tc>
        <w:tc>
          <w:tcPr>
            <w:tcW w:type="dxa" w:w="2340"/>
            <w:shd w:fill="F8FAFC"/>
            <w:tcMar>
              <w:top w:w="70" w:type="dxa"/>
              <w:bottom w:w="70" w:type="dxa"/>
              <w:left w:w="100" w:type="dxa"/>
              <w:right w:w="100" w:type="dxa"/>
            </w:tcMar>
          </w:tcPr>
          <w:p>
            <w:r>
              <w:rPr>
                <w:rFonts w:ascii="Segoe UI" w:hAnsi="Segoe UI"/>
                <w:color w:val="334155"/>
                <w:sz w:val="18"/>
              </w:rPr>
              <w:t>Bạn có biết ngân hàng đang 'vay' tiền bạn với giá gần như 0 đồng?</w:t>
            </w:r>
          </w:p>
        </w:tc>
        <w:tc>
          <w:tcPr>
            <w:tcW w:type="dxa" w:w="2340"/>
            <w:shd w:fill="F8FAFC"/>
            <w:tcMar>
              <w:top w:w="70" w:type="dxa"/>
              <w:bottom w:w="70" w:type="dxa"/>
              <w:left w:w="100" w:type="dxa"/>
              <w:right w:w="100" w:type="dxa"/>
            </w:tcMar>
          </w:tcPr>
          <w:p>
            <w:r>
              <w:rPr>
                <w:rFonts w:ascii="Segoe UI" w:hAnsi="Segoe UI"/>
                <w:color w:val="334155"/>
                <w:sz w:val="18"/>
              </w:rPr>
              <w:t>MBB và TCB huy động vốn rẻ 40-42%, giúp biên lãi NIM vượt 4.3%, cao gấp rưỡi ngân hàng khác.</w:t>
            </w:r>
          </w:p>
        </w:tc>
      </w:tr>
      <w:tr>
        <w:tc>
          <w:tcPr>
            <w:tcW w:type="dxa" w:w="2340"/>
            <w:shd w:fill="FFFFFF"/>
            <w:tcMar>
              <w:top w:w="70" w:type="dxa"/>
              <w:bottom w:w="70" w:type="dxa"/>
              <w:left w:w="100" w:type="dxa"/>
              <w:right w:w="100" w:type="dxa"/>
            </w:tcMar>
          </w:tcPr>
          <w:p>
            <w:r>
              <w:rPr>
                <w:rFonts w:ascii="Segoe UI" w:hAnsi="Segoe UI"/>
                <w:color w:val="334155"/>
                <w:sz w:val="18"/>
              </w:rPr>
              <w:t>TT-02</w:t>
            </w:r>
          </w:p>
        </w:tc>
        <w:tc>
          <w:tcPr>
            <w:tcW w:type="dxa" w:w="2340"/>
            <w:shd w:fill="FFFFFF"/>
            <w:tcMar>
              <w:top w:w="70" w:type="dxa"/>
              <w:bottom w:w="70" w:type="dxa"/>
              <w:left w:w="100" w:type="dxa"/>
              <w:right w:w="100" w:type="dxa"/>
            </w:tcMar>
          </w:tcPr>
          <w:p>
            <w:r>
              <w:rPr>
                <w:rFonts w:ascii="Segoe UI" w:hAnsi="Segoe UI"/>
                <w:color w:val="334155"/>
                <w:sz w:val="18"/>
              </w:rPr>
              <w:t>Vì sao Vietcombank trích lập dự phòng 250%?</w:t>
            </w:r>
          </w:p>
        </w:tc>
        <w:tc>
          <w:tcPr>
            <w:tcW w:type="dxa" w:w="2340"/>
            <w:shd w:fill="FFFFFF"/>
            <w:tcMar>
              <w:top w:w="70" w:type="dxa"/>
              <w:bottom w:w="70" w:type="dxa"/>
              <w:left w:w="100" w:type="dxa"/>
              <w:right w:w="100" w:type="dxa"/>
            </w:tcMar>
          </w:tcPr>
          <w:p>
            <w:r>
              <w:rPr>
                <w:rFonts w:ascii="Segoe UI" w:hAnsi="Segoe UI"/>
                <w:color w:val="334155"/>
                <w:sz w:val="18"/>
              </w:rPr>
              <w:t>Ngân hàng này cứ 1 đồng nợ xấu lại cất sẵn 2.5 đồng trong két!</w:t>
            </w:r>
          </w:p>
        </w:tc>
        <w:tc>
          <w:tcPr>
            <w:tcW w:type="dxa" w:w="2340"/>
            <w:shd w:fill="FFFFFF"/>
            <w:tcMar>
              <w:top w:w="70" w:type="dxa"/>
              <w:bottom w:w="70" w:type="dxa"/>
              <w:left w:w="100" w:type="dxa"/>
              <w:right w:w="100" w:type="dxa"/>
            </w:tcMar>
          </w:tcPr>
          <w:p>
            <w:r>
              <w:rPr>
                <w:rFonts w:ascii="Segoe UI" w:hAnsi="Segoe UI"/>
                <w:color w:val="334155"/>
                <w:sz w:val="18"/>
              </w:rPr>
              <w:t>Tấm đệm LLR 250% của VCB là thành trì an toàn số 1, miễn nhiễm trước mọi rủi ro thị trường.</w:t>
            </w:r>
          </w:p>
        </w:tc>
      </w:tr>
      <w:tr>
        <w:tc>
          <w:tcPr>
            <w:tcW w:type="dxa" w:w="2340"/>
            <w:shd w:fill="F8FAFC"/>
            <w:tcMar>
              <w:top w:w="70" w:type="dxa"/>
              <w:bottom w:w="70" w:type="dxa"/>
              <w:left w:w="100" w:type="dxa"/>
              <w:right w:w="100" w:type="dxa"/>
            </w:tcMar>
          </w:tcPr>
          <w:p>
            <w:r>
              <w:rPr>
                <w:rFonts w:ascii="Segoe UI" w:hAnsi="Segoe UI"/>
                <w:color w:val="334155"/>
                <w:sz w:val="18"/>
              </w:rPr>
              <w:t>TT-03</w:t>
            </w:r>
          </w:p>
        </w:tc>
        <w:tc>
          <w:tcPr>
            <w:tcW w:type="dxa" w:w="2340"/>
            <w:shd w:fill="F8FAFC"/>
            <w:tcMar>
              <w:top w:w="70" w:type="dxa"/>
              <w:bottom w:w="70" w:type="dxa"/>
              <w:left w:w="100" w:type="dxa"/>
              <w:right w:w="100" w:type="dxa"/>
            </w:tcMar>
          </w:tcPr>
          <w:p>
            <w:r>
              <w:rPr>
                <w:rFonts w:ascii="Segoe UI" w:hAnsi="Segoe UI"/>
                <w:color w:val="334155"/>
                <w:sz w:val="18"/>
              </w:rPr>
              <w:t>Hết hạn Thông tư 02: Nợ xấu ngân hàng sẽ lộ ra sao?</w:t>
            </w:r>
          </w:p>
        </w:tc>
        <w:tc>
          <w:tcPr>
            <w:tcW w:type="dxa" w:w="2340"/>
            <w:shd w:fill="F8FAFC"/>
            <w:tcMar>
              <w:top w:w="70" w:type="dxa"/>
              <w:bottom w:w="70" w:type="dxa"/>
              <w:left w:w="100" w:type="dxa"/>
              <w:right w:w="100" w:type="dxa"/>
            </w:tcMar>
          </w:tcPr>
          <w:p>
            <w:r>
              <w:rPr>
                <w:rFonts w:ascii="Segoe UI" w:hAnsi="Segoe UI"/>
                <w:color w:val="334155"/>
                <w:sz w:val="18"/>
              </w:rPr>
              <w:t>Khoản nợ 'tàng hình' 2 năm qua sắp sửa phải ghi nhận vào BCTC?</w:t>
            </w:r>
          </w:p>
        </w:tc>
        <w:tc>
          <w:tcPr>
            <w:tcW w:type="dxa" w:w="2340"/>
            <w:shd w:fill="F8FAFC"/>
            <w:tcMar>
              <w:top w:w="70" w:type="dxa"/>
              <w:bottom w:w="70" w:type="dxa"/>
              <w:left w:w="100" w:type="dxa"/>
              <w:right w:w="100" w:type="dxa"/>
            </w:tcMar>
          </w:tcPr>
          <w:p>
            <w:r>
              <w:rPr>
                <w:rFonts w:ascii="Segoe UI" w:hAnsi="Segoe UI"/>
                <w:color w:val="334155"/>
                <w:sz w:val="18"/>
              </w:rPr>
              <w:t>Phân tích tác động phân loại lại nợ và ngân hàng nào có đệm dự phòng đủ dày để vượt bão.</w:t>
            </w:r>
          </w:p>
        </w:tc>
      </w:tr>
      <w:tr>
        <w:tc>
          <w:tcPr>
            <w:tcW w:type="dxa" w:w="2340"/>
            <w:shd w:fill="FFFFFF"/>
            <w:tcMar>
              <w:top w:w="70" w:type="dxa"/>
              <w:bottom w:w="70" w:type="dxa"/>
              <w:left w:w="100" w:type="dxa"/>
              <w:right w:w="100" w:type="dxa"/>
            </w:tcMar>
          </w:tcPr>
          <w:p>
            <w:r>
              <w:rPr>
                <w:rFonts w:ascii="Segoe UI" w:hAnsi="Segoe UI"/>
                <w:color w:val="334155"/>
                <w:sz w:val="18"/>
              </w:rPr>
              <w:t>TT-04</w:t>
            </w:r>
          </w:p>
        </w:tc>
        <w:tc>
          <w:tcPr>
            <w:tcW w:type="dxa" w:w="2340"/>
            <w:shd w:fill="FFFFFF"/>
            <w:tcMar>
              <w:top w:w="70" w:type="dxa"/>
              <w:bottom w:w="70" w:type="dxa"/>
              <w:left w:w="100" w:type="dxa"/>
              <w:right w:w="100" w:type="dxa"/>
            </w:tcMar>
          </w:tcPr>
          <w:p>
            <w:r>
              <w:rPr>
                <w:rFonts w:ascii="Segoe UI" w:hAnsi="Segoe UI"/>
                <w:color w:val="334155"/>
                <w:sz w:val="18"/>
              </w:rPr>
              <w:t>P/E VN-Index 16.2x: Rẻ hay Đắt để mua cổ phiếu Bank?</w:t>
            </w:r>
          </w:p>
        </w:tc>
        <w:tc>
          <w:tcPr>
            <w:tcW w:type="dxa" w:w="2340"/>
            <w:shd w:fill="FFFFFF"/>
            <w:tcMar>
              <w:top w:w="70" w:type="dxa"/>
              <w:bottom w:w="70" w:type="dxa"/>
              <w:left w:w="100" w:type="dxa"/>
              <w:right w:w="100" w:type="dxa"/>
            </w:tcMar>
          </w:tcPr>
          <w:p>
            <w:r>
              <w:rPr>
                <w:rFonts w:ascii="Segoe UI" w:hAnsi="Segoe UI"/>
                <w:color w:val="334155"/>
                <w:sz w:val="18"/>
              </w:rPr>
              <w:t>Đừng chỉ nhìn điểm số 1,280! Định giá thực sự của thị trường đang ở đâu?</w:t>
            </w:r>
          </w:p>
        </w:tc>
        <w:tc>
          <w:tcPr>
            <w:tcW w:type="dxa" w:w="2340"/>
            <w:shd w:fill="FFFFFF"/>
            <w:tcMar>
              <w:top w:w="70" w:type="dxa"/>
              <w:bottom w:w="70" w:type="dxa"/>
              <w:left w:w="100" w:type="dxa"/>
              <w:right w:w="100" w:type="dxa"/>
            </w:tcMar>
          </w:tcPr>
          <w:p>
            <w:r>
              <w:rPr>
                <w:rFonts w:ascii="Segoe UI" w:hAnsi="Segoe UI"/>
                <w:color w:val="334155"/>
                <w:sz w:val="18"/>
              </w:rPr>
              <w:t>So sánh P/E lịch sử với P/B nhóm ngân hàng để tìm ra cơ hội đầu tư giá trị.</w:t>
            </w:r>
          </w:p>
        </w:tc>
      </w:tr>
    </w:tbl>
    <w:p>
      <w:pPr>
        <w:spacing w:before="80"/>
      </w:pPr>
    </w:p>
    <w:p>
      <w:pPr>
        <w:keepNext/>
        <w:spacing w:before="240" w:after="80"/>
      </w:pPr>
      <w:r>
        <w:rPr>
          <w:rFonts w:ascii="Segoe UI" w:hAnsi="Segoe UI"/>
          <w:b/>
          <w:color w:val="EE7224"/>
          <w:sz w:val="25"/>
        </w:rPr>
        <w:t>2. Bài viết Mẫu Chuẩn Báo chí Tài chính</w:t>
      </w:r>
    </w:p>
    <w:p>
      <w:pPr>
        <w:spacing w:before="40" w:after="80" w:line="283" w:lineRule="auto"/>
      </w:pPr>
      <w:r>
        <w:rPr>
          <w:rFonts w:ascii="Segoe UI" w:hAnsi="Segoe UI"/>
          <w:i w:val="0"/>
          <w:color w:val="334155"/>
          <w:sz w:val="21"/>
        </w:rPr>
        <w:t>Hệ thống tích hợp toàn văn bài phân tích: 'Bức tranh phân hóa biên lãi thuần NIM và chất lượng tài sản nhóm ngân hàng thương mại' (lưu trữ tại `docs/SAMPLE_ANALYSIS.md`). Bài viết kết hợp hài hòa giữa sapo báo chí, bảng dữ liệu đối soát và các khuyến nghị đầu tư phòng thủ / bứt phá, chứng minh năng lực kết hợp giữa kỹ năng lập trình định lượng và văn phong báo chí sắc sảo.</w:t>
      </w:r>
    </w:p>
    <w:p>
      <w:pPr>
        <w:keepNext/>
        <w:spacing w:before="320" w:after="120"/>
      </w:pPr>
      <w:r>
        <w:rPr>
          <w:rFonts w:ascii="Segoe UI" w:hAnsi="Segoe UI"/>
          <w:b/>
          <w:color w:val="1E293B"/>
          <w:sz w:val="30"/>
        </w:rPr>
        <w:t>PHẦN VII: BẢNG ÁNH XẠ NĂNG LỰC ỨNG VIÊN VỚI BẢN MÔ TẢ CÔNG VIỆC</w:t>
      </w:r>
    </w:p>
    <w:p>
      <w:pPr>
        <w:spacing w:before="40" w:after="80" w:line="283" w:lineRule="auto"/>
      </w:pPr>
      <w:r>
        <w:rPr>
          <w:rFonts w:ascii="Segoe UI" w:hAnsi="Segoe UI"/>
          <w:i w:val="0"/>
          <w:color w:val="334155"/>
          <w:sz w:val="21"/>
        </w:rPr>
        <w:t>Bảng dưới đây đối chiếu trực tiếp các yêu cầu tuyển dụng cốt lõi của vị trí Chuyên viên Phân tích &amp; Phát triển Dữ liệu Chứng khoán - Doanh nghiệp tại Chuyên trang Người Quan Sát với các minh chứng thực tế được triển khai trong dự án VN-FINANCE INSIGHTS:</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80" w:type="dxa"/>
              <w:bottom w:w="80" w:type="dxa"/>
              <w:left w:w="100" w:type="dxa"/>
              <w:right w:w="100" w:type="dxa"/>
            </w:tcMar>
          </w:tcPr>
          <w:p>
            <w:r>
              <w:rPr>
                <w:rFonts w:ascii="Segoe UI" w:hAnsi="Segoe UI"/>
                <w:b/>
                <w:color w:val="FFFFFF"/>
                <w:sz w:val="19"/>
              </w:rPr>
              <w:t>Yêu cầu trong Tuyển dụng (JD Requirements)</w:t>
            </w:r>
          </w:p>
        </w:tc>
        <w:tc>
          <w:tcPr>
            <w:tcW w:type="dxa" w:w="3120"/>
            <w:shd w:fill="1E293B"/>
            <w:tcMar>
              <w:top w:w="80" w:type="dxa"/>
              <w:bottom w:w="80" w:type="dxa"/>
              <w:left w:w="100" w:type="dxa"/>
              <w:right w:w="100" w:type="dxa"/>
            </w:tcMar>
          </w:tcPr>
          <w:p>
            <w:r>
              <w:rPr>
                <w:rFonts w:ascii="Segoe UI" w:hAnsi="Segoe UI"/>
                <w:b/>
                <w:color w:val="FFFFFF"/>
                <w:sz w:val="19"/>
              </w:rPr>
              <w:t>Minh chứng Cụ thể trong Dự án VN-FINANCE INSIGHTS</w:t>
            </w:r>
          </w:p>
        </w:tc>
        <w:tc>
          <w:tcPr>
            <w:tcW w:type="dxa" w:w="3120"/>
            <w:shd w:fill="1E293B"/>
            <w:tcMar>
              <w:top w:w="80" w:type="dxa"/>
              <w:bottom w:w="80" w:type="dxa"/>
              <w:left w:w="100" w:type="dxa"/>
              <w:right w:w="100" w:type="dxa"/>
            </w:tcMar>
          </w:tcPr>
          <w:p>
            <w:r>
              <w:rPr>
                <w:rFonts w:ascii="Segoe UI" w:hAnsi="Segoe UI"/>
                <w:b/>
                <w:color w:val="FFFFFF"/>
                <w:sz w:val="19"/>
              </w:rPr>
              <w:t>Mức độ Đáp ứng</w:t>
            </w:r>
          </w:p>
        </w:tc>
      </w:tr>
      <w:tr>
        <w:tc>
          <w:tcPr>
            <w:tcW w:type="dxa" w:w="3120"/>
            <w:shd w:fill="F8FAFC"/>
            <w:tcMar>
              <w:top w:w="70" w:type="dxa"/>
              <w:bottom w:w="70" w:type="dxa"/>
              <w:left w:w="100" w:type="dxa"/>
              <w:right w:w="100" w:type="dxa"/>
            </w:tcMar>
          </w:tcPr>
          <w:p>
            <w:r>
              <w:rPr>
                <w:rFonts w:ascii="Segoe UI" w:hAnsi="Segoe UI"/>
                <w:color w:val="334155"/>
                <w:sz w:val="18"/>
              </w:rPr>
              <w:t>1. Phân tích BCTC &amp; Dữ liệu Doanh nghiệp Niêm yết</w:t>
            </w:r>
          </w:p>
        </w:tc>
        <w:tc>
          <w:tcPr>
            <w:tcW w:type="dxa" w:w="3120"/>
            <w:shd w:fill="F8FAFC"/>
            <w:tcMar>
              <w:top w:w="70" w:type="dxa"/>
              <w:bottom w:w="70" w:type="dxa"/>
              <w:left w:w="100" w:type="dxa"/>
              <w:right w:w="100" w:type="dxa"/>
            </w:tcMar>
          </w:tcPr>
          <w:p>
            <w:r>
              <w:rPr>
                <w:rFonts w:ascii="Segoe UI" w:hAnsi="Segoe UI"/>
                <w:color w:val="334155"/>
                <w:sz w:val="18"/>
              </w:rPr>
              <w:t>Xử lý chuỗi dữ liệu BCTC 8 quý của 4 ngân hàng trụ cột; phân tích sâu 5 nhóm nợ, cơ cấu CASA, biên NIM, trích lập dự phòng và các chính sách vĩ mô (Thông tư 02, điều hành lãi suất).</w:t>
            </w:r>
          </w:p>
        </w:tc>
        <w:tc>
          <w:tcPr>
            <w:tcW w:type="dxa" w:w="3120"/>
            <w:shd w:fill="F8FAFC"/>
            <w:tcMar>
              <w:top w:w="70" w:type="dxa"/>
              <w:bottom w:w="70" w:type="dxa"/>
              <w:left w:w="100" w:type="dxa"/>
              <w:right w:w="100" w:type="dxa"/>
            </w:tcMar>
          </w:tcPr>
          <w:p>
            <w:r>
              <w:rPr>
                <w:rFonts w:ascii="Segoe UI" w:hAnsi="Segoe UI"/>
                <w:color w:val="334155"/>
                <w:sz w:val="18"/>
              </w:rPr>
              <w:t>Vượt mức kỳ vọng (Senior Level)</w:t>
            </w:r>
          </w:p>
        </w:tc>
      </w:tr>
      <w:tr>
        <w:tc>
          <w:tcPr>
            <w:tcW w:type="dxa" w:w="3120"/>
            <w:shd w:fill="FFFFFF"/>
            <w:tcMar>
              <w:top w:w="70" w:type="dxa"/>
              <w:bottom w:w="70" w:type="dxa"/>
              <w:left w:w="100" w:type="dxa"/>
              <w:right w:w="100" w:type="dxa"/>
            </w:tcMar>
          </w:tcPr>
          <w:p>
            <w:r>
              <w:rPr>
                <w:rFonts w:ascii="Segoe UI" w:hAnsi="Segoe UI"/>
                <w:color w:val="334155"/>
                <w:sz w:val="18"/>
              </w:rPr>
              <w:t>2. Kỹ năng Lập trình Định lượng (Python, Pandas, NumPy)</w:t>
            </w:r>
          </w:p>
        </w:tc>
        <w:tc>
          <w:tcPr>
            <w:tcW w:type="dxa" w:w="3120"/>
            <w:shd w:fill="FFFFFF"/>
            <w:tcMar>
              <w:top w:w="70" w:type="dxa"/>
              <w:bottom w:w="70" w:type="dxa"/>
              <w:left w:w="100" w:type="dxa"/>
              <w:right w:w="100" w:type="dxa"/>
            </w:tcMar>
          </w:tcPr>
          <w:p>
            <w:r>
              <w:rPr>
                <w:rFonts w:ascii="Segoe UI" w:hAnsi="Segoe UI"/>
                <w:color w:val="334155"/>
                <w:sz w:val="18"/>
              </w:rPr>
              <w:t>Xây dựng 2 module độc lập (`data_pipeline.py`, `financial_metrics.py`), thuật toán TTM thích ứng, xử lý Missing Values, chuẩn hóa Min-Max scaling phân vị ngành.</w:t>
            </w:r>
          </w:p>
        </w:tc>
        <w:tc>
          <w:tcPr>
            <w:tcW w:type="dxa" w:w="3120"/>
            <w:shd w:fill="FFFFFF"/>
            <w:tcMar>
              <w:top w:w="70" w:type="dxa"/>
              <w:bottom w:w="70" w:type="dxa"/>
              <w:left w:w="100" w:type="dxa"/>
              <w:right w:w="100" w:type="dxa"/>
            </w:tcMar>
          </w:tcPr>
          <w:p>
            <w:r>
              <w:rPr>
                <w:rFonts w:ascii="Segoe UI" w:hAnsi="Segoe UI"/>
                <w:color w:val="334155"/>
                <w:sz w:val="18"/>
              </w:rPr>
              <w:t>Hoàn toàn đáp ứng (Clean Code, PEP 8)</w:t>
            </w:r>
          </w:p>
        </w:tc>
      </w:tr>
      <w:tr>
        <w:tc>
          <w:tcPr>
            <w:tcW w:type="dxa" w:w="3120"/>
            <w:shd w:fill="F8FAFC"/>
            <w:tcMar>
              <w:top w:w="70" w:type="dxa"/>
              <w:bottom w:w="70" w:type="dxa"/>
              <w:left w:w="100" w:type="dxa"/>
              <w:right w:w="100" w:type="dxa"/>
            </w:tcMar>
          </w:tcPr>
          <w:p>
            <w:r>
              <w:rPr>
                <w:rFonts w:ascii="Segoe UI" w:hAnsi="Segoe UI"/>
                <w:color w:val="334155"/>
                <w:sz w:val="18"/>
              </w:rPr>
              <w:t>3. Trực quan hóa Dữ liệu &amp; Thiết kế Dashboard Chuyên nghiệp</w:t>
            </w:r>
          </w:p>
        </w:tc>
        <w:tc>
          <w:tcPr>
            <w:tcW w:type="dxa" w:w="3120"/>
            <w:shd w:fill="F8FAFC"/>
            <w:tcMar>
              <w:top w:w="70" w:type="dxa"/>
              <w:bottom w:w="70" w:type="dxa"/>
              <w:left w:w="100" w:type="dxa"/>
              <w:right w:w="100" w:type="dxa"/>
            </w:tcMar>
          </w:tcPr>
          <w:p>
            <w:r>
              <w:rPr>
                <w:rFonts w:ascii="Segoe UI" w:hAnsi="Segoe UI"/>
                <w:color w:val="334155"/>
                <w:sz w:val="18"/>
              </w:rPr>
              <w:t>Phát triển Web App tương tác với Streamlit, Plotly, CSS Theme Engine (Dark/Light Mode đạt chuẩn WCAG AA), Marquee Ticker, Radar Chart đa lớp.</w:t>
            </w:r>
          </w:p>
        </w:tc>
        <w:tc>
          <w:tcPr>
            <w:tcW w:type="dxa" w:w="3120"/>
            <w:shd w:fill="F8FAFC"/>
            <w:tcMar>
              <w:top w:w="70" w:type="dxa"/>
              <w:bottom w:w="70" w:type="dxa"/>
              <w:left w:w="100" w:type="dxa"/>
              <w:right w:w="100" w:type="dxa"/>
            </w:tcMar>
          </w:tcPr>
          <w:p>
            <w:r>
              <w:rPr>
                <w:rFonts w:ascii="Segoe UI" w:hAnsi="Segoe UI"/>
                <w:color w:val="334155"/>
                <w:sz w:val="18"/>
              </w:rPr>
              <w:t>Chuyên nghiệp (UI/UX Terminal cao cấp)</w:t>
            </w:r>
          </w:p>
        </w:tc>
      </w:tr>
      <w:tr>
        <w:tc>
          <w:tcPr>
            <w:tcW w:type="dxa" w:w="3120"/>
            <w:shd w:fill="FFFFFF"/>
            <w:tcMar>
              <w:top w:w="70" w:type="dxa"/>
              <w:bottom w:w="70" w:type="dxa"/>
              <w:left w:w="100" w:type="dxa"/>
              <w:right w:w="100" w:type="dxa"/>
            </w:tcMar>
          </w:tcPr>
          <w:p>
            <w:r>
              <w:rPr>
                <w:rFonts w:ascii="Segoe UI" w:hAnsi="Segoe UI"/>
                <w:color w:val="334155"/>
                <w:sz w:val="18"/>
              </w:rPr>
              <w:t>4. Tư duy Báo chí Số &amp; Sáng tạo Truyền thông Đa phương tiện</w:t>
            </w:r>
          </w:p>
        </w:tc>
        <w:tc>
          <w:tcPr>
            <w:tcW w:type="dxa" w:w="3120"/>
            <w:shd w:fill="FFFFFF"/>
            <w:tcMar>
              <w:top w:w="70" w:type="dxa"/>
              <w:bottom w:w="70" w:type="dxa"/>
              <w:left w:w="100" w:type="dxa"/>
              <w:right w:w="100" w:type="dxa"/>
            </w:tcMar>
          </w:tcPr>
          <w:p>
            <w:r>
              <w:rPr>
                <w:rFonts w:ascii="Segoe UI" w:hAnsi="Segoe UI"/>
                <w:color w:val="334155"/>
                <w:sz w:val="18"/>
              </w:rPr>
              <w:t>Module TikTok Creative Lab với 4 kịch bản video ngắn hoàn chỉnh; bài viết phân tích báo chí chuyên sâu theo văn phong tòa soạn Người Quan Sát.</w:t>
            </w:r>
          </w:p>
        </w:tc>
        <w:tc>
          <w:tcPr>
            <w:tcW w:type="dxa" w:w="3120"/>
            <w:shd w:fill="FFFFFF"/>
            <w:tcMar>
              <w:top w:w="70" w:type="dxa"/>
              <w:bottom w:w="70" w:type="dxa"/>
              <w:left w:w="100" w:type="dxa"/>
              <w:right w:w="100" w:type="dxa"/>
            </w:tcMar>
          </w:tcPr>
          <w:p>
            <w:r>
              <w:rPr>
                <w:rFonts w:ascii="Segoe UI" w:hAnsi="Segoe UI"/>
                <w:color w:val="334155"/>
                <w:sz w:val="18"/>
              </w:rPr>
              <w:t>Đặc biệt phù hợp định hướng tòa soạn</w:t>
            </w:r>
          </w:p>
        </w:tc>
      </w:tr>
      <w:tr>
        <w:tc>
          <w:tcPr>
            <w:tcW w:type="dxa" w:w="3120"/>
            <w:shd w:fill="F8FAFC"/>
            <w:tcMar>
              <w:top w:w="70" w:type="dxa"/>
              <w:bottom w:w="70" w:type="dxa"/>
              <w:left w:w="100" w:type="dxa"/>
              <w:right w:w="100" w:type="dxa"/>
            </w:tcMar>
          </w:tcPr>
          <w:p>
            <w:r>
              <w:rPr>
                <w:rFonts w:ascii="Segoe UI" w:hAnsi="Segoe UI"/>
                <w:color w:val="334155"/>
                <w:sz w:val="18"/>
              </w:rPr>
              <w:t>5. Đạo đức Số liệu &amp; Khả năng Kiểm toán Dữ liệu</w:t>
            </w:r>
          </w:p>
        </w:tc>
        <w:tc>
          <w:tcPr>
            <w:tcW w:type="dxa" w:w="3120"/>
            <w:shd w:fill="F8FAFC"/>
            <w:tcMar>
              <w:top w:w="70" w:type="dxa"/>
              <w:bottom w:w="70" w:type="dxa"/>
              <w:left w:w="100" w:type="dxa"/>
              <w:right w:w="100" w:type="dxa"/>
            </w:tcMar>
          </w:tcPr>
          <w:p>
            <w:r>
              <w:rPr>
                <w:rFonts w:ascii="Segoe UI" w:hAnsi="Segoe UI"/>
                <w:color w:val="334155"/>
                <w:sz w:val="18"/>
              </w:rPr>
              <w:t>Xây dựng hệ thống đối soát 100% Math Balance cho 5 nhóm nợ và bảng CĐKT; cung cấp công cụ xuất dữ liệu Excel/CSV minh bạch.</w:t>
            </w:r>
          </w:p>
        </w:tc>
        <w:tc>
          <w:tcPr>
            <w:tcW w:type="dxa" w:w="3120"/>
            <w:shd w:fill="F8FAFC"/>
            <w:tcMar>
              <w:top w:w="70" w:type="dxa"/>
              <w:bottom w:w="70" w:type="dxa"/>
              <w:left w:w="100" w:type="dxa"/>
              <w:right w:w="100" w:type="dxa"/>
            </w:tcMar>
          </w:tcPr>
          <w:p>
            <w:r>
              <w:rPr>
                <w:rFonts w:ascii="Segoe UI" w:hAnsi="Segoe UI"/>
                <w:color w:val="334155"/>
                <w:sz w:val="18"/>
              </w:rPr>
              <w:t>Tuyệt đối chuẩn xác (Zero Error)</w:t>
            </w:r>
          </w:p>
        </w:tc>
      </w:tr>
    </w:tbl>
    <w:p>
      <w:pPr>
        <w:spacing w:before="80"/>
      </w:pPr>
    </w:p>
    <w:p>
      <w:pPr>
        <w:keepNext/>
        <w:spacing w:before="320" w:after="120"/>
      </w:pPr>
      <w:r>
        <w:rPr>
          <w:rFonts w:ascii="Segoe UI" w:hAnsi="Segoe UI"/>
          <w:b/>
          <w:color w:val="1E293B"/>
          <w:sz w:val="30"/>
        </w:rPr>
        <w:t>PHẦN VIII: HƯỚNG DẪN CÀI ĐẶT, VẬN HÀNH &amp; TRIỂN KHAI</w:t>
      </w:r>
    </w:p>
    <w:p>
      <w:pPr>
        <w:keepNext/>
        <w:spacing w:before="240" w:after="80"/>
      </w:pPr>
      <w:r>
        <w:rPr>
          <w:rFonts w:ascii="Segoe UI" w:hAnsi="Segoe UI"/>
          <w:b/>
          <w:color w:val="EE7224"/>
          <w:sz w:val="25"/>
        </w:rPr>
        <w:t>1. Cấu trúc Thư mục Dự án Chuẩn hóa</w:t>
      </w:r>
    </w:p>
    <w:p>
      <w:pPr>
        <w:spacing w:before="40" w:after="80" w:line="283" w:lineRule="auto"/>
      </w:pPr>
      <w:r>
        <w:rPr>
          <w:rFonts w:ascii="Segoe UI" w:hAnsi="Segoe UI"/>
          <w:i w:val="0"/>
          <w:color w:val="334155"/>
          <w:sz w:val="21"/>
        </w:rPr>
        <w:t>Mã nguồn được tổ chức theo cấu trúc phân tầng rõ ràng, sẵn sàng mở rộng và đóng gói triển khai:</w:t>
      </w:r>
    </w:p>
    <w:tbl>
      <w:tblPr>
        <w:tblW w:type="auto" w:w="0"/>
        <w:jc w:val="center"/>
        <w:tblLook w:firstColumn="1" w:firstRow="1" w:lastColumn="0" w:lastRow="0" w:noHBand="0" w:noVBand="1" w:val="04A0"/>
      </w:tblPr>
      <w:tblGrid>
        <w:gridCol w:w="4680"/>
        <w:gridCol w:w="4680"/>
      </w:tblGrid>
      <w:tr>
        <w:tc>
          <w:tcPr>
            <w:tcW w:type="dxa" w:w="4680"/>
            <w:shd w:fill="1E293B"/>
            <w:tcMar>
              <w:top w:w="80" w:type="dxa"/>
              <w:bottom w:w="80" w:type="dxa"/>
              <w:left w:w="100" w:type="dxa"/>
              <w:right w:w="100" w:type="dxa"/>
            </w:tcMar>
          </w:tcPr>
          <w:p>
            <w:r>
              <w:rPr>
                <w:rFonts w:ascii="Segoe UI" w:hAnsi="Segoe UI"/>
                <w:b/>
                <w:color w:val="FFFFFF"/>
                <w:sz w:val="19"/>
              </w:rPr>
              <w:t>Đường dẫn Thư mục / Tập tin</w:t>
            </w:r>
          </w:p>
        </w:tc>
        <w:tc>
          <w:tcPr>
            <w:tcW w:type="dxa" w:w="4680"/>
            <w:shd w:fill="1E293B"/>
            <w:tcMar>
              <w:top w:w="80" w:type="dxa"/>
              <w:bottom w:w="80" w:type="dxa"/>
              <w:left w:w="100" w:type="dxa"/>
              <w:right w:w="100" w:type="dxa"/>
            </w:tcMar>
          </w:tcPr>
          <w:p>
            <w:r>
              <w:rPr>
                <w:rFonts w:ascii="Segoe UI" w:hAnsi="Segoe UI"/>
                <w:b/>
                <w:color w:val="FFFFFF"/>
                <w:sz w:val="19"/>
              </w:rPr>
              <w:t>Vai trò và Chức năng Nghiệp vụ</w:t>
            </w:r>
          </w:p>
        </w:tc>
      </w:tr>
      <w:tr>
        <w:tc>
          <w:tcPr>
            <w:tcW w:type="dxa" w:w="4680"/>
            <w:shd w:fill="F8FAFC"/>
            <w:tcMar>
              <w:top w:w="70" w:type="dxa"/>
              <w:bottom w:w="70" w:type="dxa"/>
              <w:left w:w="100" w:type="dxa"/>
              <w:right w:w="100" w:type="dxa"/>
            </w:tcMar>
          </w:tcPr>
          <w:p>
            <w:r>
              <w:rPr>
                <w:rFonts w:ascii="Segoe UI" w:hAnsi="Segoe UI"/>
                <w:color w:val="334155"/>
                <w:sz w:val="18"/>
              </w:rPr>
              <w:t>app.py</w:t>
            </w:r>
          </w:p>
        </w:tc>
        <w:tc>
          <w:tcPr>
            <w:tcW w:type="dxa" w:w="4680"/>
            <w:shd w:fill="F8FAFC"/>
            <w:tcMar>
              <w:top w:w="70" w:type="dxa"/>
              <w:bottom w:w="70" w:type="dxa"/>
              <w:left w:w="100" w:type="dxa"/>
              <w:right w:w="100" w:type="dxa"/>
            </w:tcMar>
          </w:tcPr>
          <w:p>
            <w:r>
              <w:rPr>
                <w:rFonts w:ascii="Segoe UI" w:hAnsi="Segoe UI"/>
                <w:color w:val="334155"/>
                <w:sz w:val="18"/>
              </w:rPr>
              <w:t>Điểm khởi chạy ứng dụng Streamlit Dashboard (6 Tabs chức năng, Theme Engine, Marquee Ticker).</w:t>
            </w:r>
          </w:p>
        </w:tc>
      </w:tr>
      <w:tr>
        <w:tc>
          <w:tcPr>
            <w:tcW w:type="dxa" w:w="4680"/>
            <w:shd w:fill="FFFFFF"/>
            <w:tcMar>
              <w:top w:w="70" w:type="dxa"/>
              <w:bottom w:w="70" w:type="dxa"/>
              <w:left w:w="100" w:type="dxa"/>
              <w:right w:w="100" w:type="dxa"/>
            </w:tcMar>
          </w:tcPr>
          <w:p>
            <w:r>
              <w:rPr>
                <w:rFonts w:ascii="Segoe UI" w:hAnsi="Segoe UI"/>
                <w:color w:val="334155"/>
                <w:sz w:val="18"/>
              </w:rPr>
              <w:t>src/data_pipeline.py</w:t>
            </w:r>
          </w:p>
        </w:tc>
        <w:tc>
          <w:tcPr>
            <w:tcW w:type="dxa" w:w="4680"/>
            <w:shd w:fill="FFFFFF"/>
            <w:tcMar>
              <w:top w:w="70" w:type="dxa"/>
              <w:bottom w:w="70" w:type="dxa"/>
              <w:left w:w="100" w:type="dxa"/>
              <w:right w:w="100" w:type="dxa"/>
            </w:tcMar>
          </w:tcPr>
          <w:p>
            <w:r>
              <w:rPr>
                <w:rFonts w:ascii="Segoe UI" w:hAnsi="Segoe UI"/>
                <w:color w:val="334155"/>
                <w:sz w:val="18"/>
              </w:rPr>
              <w:t>Module tạo lập, kiểm toán và chuẩn hóa chuỗi dữ liệu BCTC và thị trường.</w:t>
            </w:r>
          </w:p>
        </w:tc>
      </w:tr>
      <w:tr>
        <w:tc>
          <w:tcPr>
            <w:tcW w:type="dxa" w:w="4680"/>
            <w:shd w:fill="F8FAFC"/>
            <w:tcMar>
              <w:top w:w="70" w:type="dxa"/>
              <w:bottom w:w="70" w:type="dxa"/>
              <w:left w:w="100" w:type="dxa"/>
              <w:right w:w="100" w:type="dxa"/>
            </w:tcMar>
          </w:tcPr>
          <w:p>
            <w:r>
              <w:rPr>
                <w:rFonts w:ascii="Segoe UI" w:hAnsi="Segoe UI"/>
                <w:color w:val="334155"/>
                <w:sz w:val="18"/>
              </w:rPr>
              <w:t>src/financial_metrics.py</w:t>
            </w:r>
          </w:p>
        </w:tc>
        <w:tc>
          <w:tcPr>
            <w:tcW w:type="dxa" w:w="4680"/>
            <w:shd w:fill="F8FAFC"/>
            <w:tcMar>
              <w:top w:w="70" w:type="dxa"/>
              <w:bottom w:w="70" w:type="dxa"/>
              <w:left w:w="100" w:type="dxa"/>
              <w:right w:w="100" w:type="dxa"/>
            </w:tcMar>
          </w:tcPr>
          <w:p>
            <w:r>
              <w:rPr>
                <w:rFonts w:ascii="Segoe UI" w:hAnsi="Segoe UI"/>
                <w:color w:val="334155"/>
                <w:sz w:val="18"/>
              </w:rPr>
              <w:t>Engine tính toán chỉ số CAMEL, TTM thích ứng, biến động kỳ QoQ/YoY, và Min-Max Radar Scaling.</w:t>
            </w:r>
          </w:p>
        </w:tc>
      </w:tr>
      <w:tr>
        <w:tc>
          <w:tcPr>
            <w:tcW w:type="dxa" w:w="4680"/>
            <w:shd w:fill="FFFFFF"/>
            <w:tcMar>
              <w:top w:w="70" w:type="dxa"/>
              <w:bottom w:w="70" w:type="dxa"/>
              <w:left w:w="100" w:type="dxa"/>
              <w:right w:w="100" w:type="dxa"/>
            </w:tcMar>
          </w:tcPr>
          <w:p>
            <w:r>
              <w:rPr>
                <w:rFonts w:ascii="Segoe UI" w:hAnsi="Segoe UI"/>
                <w:color w:val="334155"/>
                <w:sz w:val="18"/>
              </w:rPr>
              <w:t>assets/logo_nqs.svg</w:t>
            </w:r>
          </w:p>
        </w:tc>
        <w:tc>
          <w:tcPr>
            <w:tcW w:type="dxa" w:w="4680"/>
            <w:shd w:fill="FFFFFF"/>
            <w:tcMar>
              <w:top w:w="70" w:type="dxa"/>
              <w:bottom w:w="70" w:type="dxa"/>
              <w:left w:w="100" w:type="dxa"/>
              <w:right w:w="100" w:type="dxa"/>
            </w:tcMar>
          </w:tcPr>
          <w:p>
            <w:r>
              <w:rPr>
                <w:rFonts w:ascii="Segoe UI" w:hAnsi="Segoe UI"/>
                <w:color w:val="334155"/>
                <w:sz w:val="18"/>
              </w:rPr>
              <w:t>Logo vector chính thức của Chuyên trang Người Quan Sát lấy từ CDN gốc.</w:t>
            </w:r>
          </w:p>
        </w:tc>
      </w:tr>
      <w:tr>
        <w:tc>
          <w:tcPr>
            <w:tcW w:type="dxa" w:w="4680"/>
            <w:shd w:fill="F8FAFC"/>
            <w:tcMar>
              <w:top w:w="70" w:type="dxa"/>
              <w:bottom w:w="70" w:type="dxa"/>
              <w:left w:w="100" w:type="dxa"/>
              <w:right w:w="100" w:type="dxa"/>
            </w:tcMar>
          </w:tcPr>
          <w:p>
            <w:r>
              <w:rPr>
                <w:rFonts w:ascii="Segoe UI" w:hAnsi="Segoe UI"/>
                <w:color w:val="334155"/>
                <w:sz w:val="18"/>
              </w:rPr>
              <w:t>notebooks/pipeline_demo.ipynb</w:t>
            </w:r>
          </w:p>
        </w:tc>
        <w:tc>
          <w:tcPr>
            <w:tcW w:type="dxa" w:w="4680"/>
            <w:shd w:fill="F8FAFC"/>
            <w:tcMar>
              <w:top w:w="70" w:type="dxa"/>
              <w:bottom w:w="70" w:type="dxa"/>
              <w:left w:w="100" w:type="dxa"/>
              <w:right w:w="100" w:type="dxa"/>
            </w:tcMar>
          </w:tcPr>
          <w:p>
            <w:r>
              <w:rPr>
                <w:rFonts w:ascii="Segoe UI" w:hAnsi="Segoe UI"/>
                <w:color w:val="334155"/>
                <w:sz w:val="18"/>
              </w:rPr>
              <w:t>Jupyter Notebook nghiên cứu định lượng đã thực thi đầy đủ biểu đồ trực quan hóa.</w:t>
            </w:r>
          </w:p>
        </w:tc>
      </w:tr>
      <w:tr>
        <w:tc>
          <w:tcPr>
            <w:tcW w:type="dxa" w:w="4680"/>
            <w:shd w:fill="FFFFFF"/>
            <w:tcMar>
              <w:top w:w="70" w:type="dxa"/>
              <w:bottom w:w="70" w:type="dxa"/>
              <w:left w:w="100" w:type="dxa"/>
              <w:right w:w="100" w:type="dxa"/>
            </w:tcMar>
          </w:tcPr>
          <w:p>
            <w:r>
              <w:rPr>
                <w:rFonts w:ascii="Segoe UI" w:hAnsi="Segoe UI"/>
                <w:color w:val="334155"/>
                <w:sz w:val="18"/>
              </w:rPr>
              <w:t>docs/DEPLOYMENT_GUIDE.md</w:t>
            </w:r>
          </w:p>
        </w:tc>
        <w:tc>
          <w:tcPr>
            <w:tcW w:type="dxa" w:w="4680"/>
            <w:shd w:fill="FFFFFF"/>
            <w:tcMar>
              <w:top w:w="70" w:type="dxa"/>
              <w:bottom w:w="70" w:type="dxa"/>
              <w:left w:w="100" w:type="dxa"/>
              <w:right w:w="100" w:type="dxa"/>
            </w:tcMar>
          </w:tcPr>
          <w:p>
            <w:r>
              <w:rPr>
                <w:rFonts w:ascii="Segoe UI" w:hAnsi="Segoe UI"/>
                <w:color w:val="334155"/>
                <w:sz w:val="18"/>
              </w:rPr>
              <w:t>Hướng dẫn triển khai chi tiết lên Streamlit Cloud, Docker container và Render.</w:t>
            </w:r>
          </w:p>
        </w:tc>
      </w:tr>
      <w:tr>
        <w:tc>
          <w:tcPr>
            <w:tcW w:type="dxa" w:w="4680"/>
            <w:shd w:fill="F8FAFC"/>
            <w:tcMar>
              <w:top w:w="70" w:type="dxa"/>
              <w:bottom w:w="70" w:type="dxa"/>
              <w:left w:w="100" w:type="dxa"/>
              <w:right w:w="100" w:type="dxa"/>
            </w:tcMar>
          </w:tcPr>
          <w:p>
            <w:r>
              <w:rPr>
                <w:rFonts w:ascii="Segoe UI" w:hAnsi="Segoe UI"/>
                <w:color w:val="334155"/>
                <w:sz w:val="18"/>
              </w:rPr>
              <w:t>requirements.txt &amp; Dockerfile</w:t>
            </w:r>
          </w:p>
        </w:tc>
        <w:tc>
          <w:tcPr>
            <w:tcW w:type="dxa" w:w="4680"/>
            <w:shd w:fill="F8FAFC"/>
            <w:tcMar>
              <w:top w:w="70" w:type="dxa"/>
              <w:bottom w:w="70" w:type="dxa"/>
              <w:left w:w="100" w:type="dxa"/>
              <w:right w:w="100" w:type="dxa"/>
            </w:tcMar>
          </w:tcPr>
          <w:p>
            <w:r>
              <w:rPr>
                <w:rFonts w:ascii="Segoe UI" w:hAnsi="Segoe UI"/>
                <w:color w:val="334155"/>
                <w:sz w:val="18"/>
              </w:rPr>
              <w:t>Cấu hình môi trường phụ thuộc, khóa phiên bản tương thích pyarrow&gt;=15.0.0.</w:t>
            </w:r>
          </w:p>
        </w:tc>
      </w:tr>
    </w:tbl>
    <w:p>
      <w:pPr>
        <w:spacing w:before="80"/>
      </w:pPr>
    </w:p>
    <w:p>
      <w:pPr>
        <w:keepNext/>
        <w:spacing w:before="240" w:after="80"/>
      </w:pPr>
      <w:r>
        <w:rPr>
          <w:rFonts w:ascii="Segoe UI" w:hAnsi="Segoe UI"/>
          <w:b/>
          <w:color w:val="EE7224"/>
          <w:sz w:val="25"/>
        </w:rPr>
        <w:t>2. Lệnh Khởi chạy Nhanh trên Máy Cục bộ (Local Environment)</w:t>
      </w:r>
    </w:p>
    <w:p>
      <w:pPr>
        <w:spacing w:before="40" w:after="80" w:line="283" w:lineRule="auto"/>
      </w:pPr>
      <w:r>
        <w:rPr>
          <w:rFonts w:ascii="Segoe UI" w:hAnsi="Segoe UI"/>
          <w:b/>
          <w:color w:val="1E293B"/>
          <w:sz w:val="21"/>
        </w:rPr>
        <w:t xml:space="preserve">Bước 1: </w:t>
      </w:r>
      <w:r>
        <w:rPr>
          <w:rFonts w:ascii="Segoe UI" w:hAnsi="Segoe UI"/>
          <w:i w:val="0"/>
          <w:color w:val="334155"/>
          <w:sz w:val="21"/>
        </w:rPr>
        <w:t>Để khởi chạy và kiểm thử ứng dụng trên môi trường máy trạm:</w:t>
      </w:r>
    </w:p>
    <w:p>
      <w:pPr>
        <w:pStyle w:val="ListBullet"/>
        <w:spacing w:before="20" w:after="40" w:line="276" w:lineRule="auto"/>
      </w:pPr>
      <w:r>
        <w:rPr>
          <w:rFonts w:ascii="Segoe UI" w:hAnsi="Segoe UI"/>
          <w:b/>
          <w:color w:val="1E293B"/>
          <w:sz w:val="20"/>
        </w:rPr>
        <w:t xml:space="preserve">• </w:t>
      </w:r>
      <w:r>
        <w:rPr>
          <w:rFonts w:ascii="Segoe UI" w:hAnsi="Segoe UI"/>
          <w:color w:val="334155"/>
          <w:sz w:val="20"/>
        </w:rPr>
        <w:t>Cài đặt thư viện: pip install -r requirements.txt</w:t>
      </w:r>
    </w:p>
    <w:p>
      <w:pPr>
        <w:pStyle w:val="ListBullet"/>
        <w:spacing w:before="20" w:after="40" w:line="276" w:lineRule="auto"/>
      </w:pPr>
      <w:r>
        <w:rPr>
          <w:rFonts w:ascii="Segoe UI" w:hAnsi="Segoe UI"/>
          <w:b/>
          <w:color w:val="1E293B"/>
          <w:sz w:val="20"/>
        </w:rPr>
        <w:t xml:space="preserve">• </w:t>
      </w:r>
      <w:r>
        <w:rPr>
          <w:rFonts w:ascii="Segoe UI" w:hAnsi="Segoe UI"/>
          <w:color w:val="334155"/>
          <w:sz w:val="20"/>
        </w:rPr>
        <w:t>Khởi chạy Dashboard: streamlit run app.py --server.port 8501</w:t>
      </w:r>
    </w:p>
    <w:p>
      <w:pPr>
        <w:pStyle w:val="ListBullet"/>
        <w:spacing w:before="20" w:after="40" w:line="276" w:lineRule="auto"/>
      </w:pPr>
      <w:r>
        <w:rPr>
          <w:rFonts w:ascii="Segoe UI" w:hAnsi="Segoe UI"/>
          <w:b/>
          <w:color w:val="1E293B"/>
          <w:sz w:val="20"/>
        </w:rPr>
        <w:t xml:space="preserve">• </w:t>
      </w:r>
      <w:r>
        <w:rPr>
          <w:rFonts w:ascii="Segoe UI" w:hAnsi="Segoe UI"/>
          <w:color w:val="334155"/>
          <w:sz w:val="20"/>
        </w:rPr>
        <w:t>Truy cập trình duyệt: http://localhost:8501</w:t>
      </w:r>
    </w:p>
    <w:p>
      <w:pPr>
        <w:keepNext/>
        <w:spacing w:before="240" w:after="80"/>
      </w:pPr>
      <w:r>
        <w:rPr>
          <w:rFonts w:ascii="Segoe UI" w:hAnsi="Segoe UI"/>
          <w:b/>
          <w:color w:val="EE7224"/>
          <w:sz w:val="25"/>
        </w:rPr>
        <w:t>3. Hướng dẫn Triển khai Trực tuyến lên Streamlit Community Cloud (Zero-Cost Hosting)</w:t>
      </w:r>
    </w:p>
    <w:p>
      <w:pPr>
        <w:spacing w:before="40" w:after="80" w:line="283" w:lineRule="auto"/>
      </w:pPr>
      <w:r>
        <w:rPr>
          <w:rFonts w:ascii="Segoe UI" w:hAnsi="Segoe UI"/>
          <w:b/>
          <w:color w:val="1E293B"/>
          <w:sz w:val="21"/>
        </w:rPr>
        <w:t xml:space="preserve">Quy trình: </w:t>
      </w:r>
      <w:r>
        <w:rPr>
          <w:rFonts w:ascii="Segoe UI" w:hAnsi="Segoe UI"/>
          <w:i w:val="0"/>
          <w:color w:val="334155"/>
          <w:sz w:val="21"/>
        </w:rPr>
        <w:t>Hệ thống đã được đóng gói hoàn hảo để triển khai công khai lên Streamlit Cloud chỉ với 3 bước:</w:t>
      </w:r>
    </w:p>
    <w:p>
      <w:pPr>
        <w:pStyle w:val="ListBullet"/>
        <w:spacing w:before="20" w:after="40" w:line="276" w:lineRule="auto"/>
      </w:pPr>
      <w:r>
        <w:rPr>
          <w:rFonts w:ascii="Segoe UI" w:hAnsi="Segoe UI"/>
          <w:b/>
          <w:color w:val="1E293B"/>
          <w:sz w:val="20"/>
        </w:rPr>
        <w:t xml:space="preserve">1. Đẩy mã nguồn lên GitHub: </w:t>
      </w:r>
      <w:r>
        <w:rPr>
          <w:rFonts w:ascii="Segoe UI" w:hAnsi="Segoe UI"/>
          <w:color w:val="334155"/>
          <w:sz w:val="20"/>
        </w:rPr>
        <w:t>Tạo một kho lưu trữ mới trên GitHub (ví dụ: vn-finance-insights) và đẩy toàn bộ mã nguồn lên bằng các lệnh: git add . -&gt; git commit -m 'Initial release' -&gt; git push origin main.</w:t>
      </w:r>
    </w:p>
    <w:p>
      <w:pPr>
        <w:pStyle w:val="ListBullet"/>
        <w:spacing w:before="20" w:after="40" w:line="276" w:lineRule="auto"/>
      </w:pPr>
      <w:r>
        <w:rPr>
          <w:rFonts w:ascii="Segoe UI" w:hAnsi="Segoe UI"/>
          <w:b/>
          <w:color w:val="1E293B"/>
          <w:sz w:val="20"/>
        </w:rPr>
        <w:t xml:space="preserve">2. Kết nối Streamlit Cloud: </w:t>
      </w:r>
      <w:r>
        <w:rPr>
          <w:rFonts w:ascii="Segoe UI" w:hAnsi="Segoe UI"/>
          <w:color w:val="334155"/>
          <w:sz w:val="20"/>
        </w:rPr>
        <w:t>Đăng nhập vào share.streamlit.io bằng tài khoản GitHub, bấm 'New app', chọn kho lưu trữ, nhánh main và file khởi chạy app.py.</w:t>
      </w:r>
    </w:p>
    <w:p>
      <w:pPr>
        <w:pStyle w:val="ListBullet"/>
        <w:spacing w:before="20" w:after="40" w:line="276" w:lineRule="auto"/>
      </w:pPr>
      <w:r>
        <w:rPr>
          <w:rFonts w:ascii="Segoe UI" w:hAnsi="Segoe UI"/>
          <w:b/>
          <w:color w:val="1E293B"/>
          <w:sz w:val="20"/>
        </w:rPr>
        <w:t xml:space="preserve">3. Nhận Link Demo Trực tiếp: </w:t>
      </w:r>
      <w:r>
        <w:rPr>
          <w:rFonts w:ascii="Segoe UI" w:hAnsi="Segoe UI"/>
          <w:color w:val="334155"/>
          <w:sz w:val="20"/>
        </w:rPr>
        <w:t>Hệ thống tự động cài đặt các dependencies từ requirements.txt và tạo ra đường dẫn công khai (ví dụ: https://vn-finance-insights.streamlit.app) để ứng viên đính kèm trực tiếp vào CV và thư xin việc.</w:t>
      </w:r>
    </w:p>
    <w:p>
      <w:pPr>
        <w:spacing w:before="280" w:after="200"/>
        <w:jc w:val="center"/>
      </w:pPr>
      <w:r>
        <w:rPr>
          <w:color w:val="CBD5E1"/>
        </w:rPr>
        <w:t>――――――――――――――――――――――――――――――――――――――――――――――――――</w:t>
      </w:r>
    </w:p>
    <w:tbl>
      <w:tblPr>
        <w:tblW w:type="auto" w:w="0"/>
        <w:jc w:val="center"/>
        <w:tblLook w:firstColumn="1" w:firstRow="1" w:lastColumn="0" w:lastRow="0" w:noHBand="0" w:noVBand="1" w:val="04A0"/>
      </w:tblPr>
      <w:tblGrid>
        <w:gridCol w:w="9360"/>
      </w:tblGrid>
      <w:tr>
        <w:tc>
          <w:tcPr>
            <w:tcW w:type="dxa" w:w="9360"/>
            <w:shd w:fill="F5F3FF"/>
            <w:tcMar>
              <w:top w:w="140" w:type="dxa"/>
              <w:bottom w:w="140" w:type="dxa"/>
              <w:left w:w="200" w:type="dxa"/>
              <w:right w:w="160" w:type="dxa"/>
            </w:tcMar>
            <w:tcBorders>
              <w:top w:val="none"/>
              <w:bottom w:val="none"/>
              <w:left w:val="single" w:sz="24" w:space="0" w:color="3B1B70"/>
              <w:right w:val="none"/>
            </w:tcBorders>
          </w:tcPr>
          <w:p>
            <w:pPr>
              <w:spacing w:before="0" w:after="80"/>
            </w:pPr>
            <w:r>
              <w:rPr>
                <w:rFonts w:ascii="Segoe UI" w:hAnsi="Segoe UI"/>
                <w:b/>
                <w:color w:val="1E293B"/>
                <w:sz w:val="22"/>
              </w:rPr>
              <w:t>📌 LỜI KẾT VÀ CAM KẾT ĐÓNG GÓP</w:t>
              <w:br/>
            </w:r>
            <w:r>
              <w:rPr>
                <w:rFonts w:ascii="Segoe UI" w:hAnsi="Segoe UI"/>
                <w:color w:val="334155"/>
                <w:sz w:val="20"/>
              </w:rPr>
              <w:t>Dự án VN-FINANCE INSIGHTS không chỉ là một bài tập kỹ thuật đơn thuần, mà là lời khẳng định mạnh mẽ về năng lực thực chiến, tư duy phân tích định lượng sắc bén, và khả năng thích ứng cao của một Chuyên viên Phân tích &amp; Phát triển Dữ liệu tương lai tại Chuyên trang Người Quan Sát.</w:t>
            </w:r>
          </w:p>
          <w:p>
            <w:pPr>
              <w:spacing w:before="0" w:after="80"/>
            </w:pPr>
            <w:r>
              <w:rPr>
                <w:rFonts w:ascii="Segoe UI" w:hAnsi="Segoe UI"/>
                <w:color w:val="334155"/>
                <w:sz w:val="20"/>
              </w:rPr>
              <w:t>Tác giả cam kết sẵn sàng mang toàn bộ kiến trúc dữ liệu, năng lực lập trình và tư duy nội dung đa phương tiện này để đồng hành cùng ban biên tập, nâng cao vị thế dẫn đầu của Người Quan Sát trong kỷ nguyên Báo chí Dữ liệu Tài chính.</w:t>
            </w:r>
          </w:p>
        </w:tc>
      </w:tr>
    </w:tbl>
    <w:p>
      <w:pPr>
        <w:spacing w:before="0" w:after="80"/>
      </w:pPr>
    </w:p>
    <w:sectPr w:rsidR="00FC693F" w:rsidRPr="0006063C" w:rsidSect="00034616">
      <w:footerReference w:type="default" r:id="rId9"/>
      <w:head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7"/>
      </w:rPr>
      <w:t>VN-FINANCE INSIGHTS | Chuyên viên Phân tích &amp; Phát triển Dữ liệu - Người Quan Sát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Segoe UI" w:hAnsi="Segoe UI"/>
        <w:color w:val="94A3B8"/>
        <w:sz w:val="16"/>
      </w:rPr>
      <w:t>DỰ ÁN CAPSTONE PORTFOLIO | HỆ THỐNG TERMINAL PHÂN TÍCH ĐỊNH LƯỢNG TÀI CHÍNH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