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t xml:space="preserve">TRƯỜNG ĐẠI HỌC ...</w:t>
      </w:r>
      <w:r>
        <w:rPr>
          <w:rFonts w:ascii="Times New Roman" w:cs="Times New Roman" w:eastAsia="Times New Roman" w:hAnsi="Times New Roman"/>
          <w:b/>
          <w:bCs/>
          <w:sz w:val="24"/>
          <w:szCs w:val="24"/>
        </w:rPr>
        <w:t xml:space="preserve">TRƯỜNG ĐẠI HỌC ...</w:t>
      </w:r>
    </w:p>
    <w:p>
      <w:pPr>
        <w:spacing w:after="400"/>
        <w:jc w:val="center"/>
      </w:pPr>
      <w:r>
        <w:rPr>
          <w:rFonts w:ascii="Times New Roman" w:cs="Times New Roman" w:eastAsia="Times New Roman" w:hAnsi="Times New Roman"/>
          <w:sz w:val="24"/>
          <w:szCs w:val="24"/>
        </w:rPr>
        <w:t xml:space="preserve">Chuyên đề: Phân tích dữ liệu - IS6502.CH201</w:t>
      </w:r>
    </w:p>
    <w:p>
      <w:pPr>
        <w:spacing w:after="400" w:before="800"/>
        <w:jc w:val="center"/>
      </w:pPr>
      <w:r>
        <w:rPr>
          <w:rFonts w:ascii="Times New Roman" w:cs="Times New Roman" w:eastAsia="Times New Roman" w:hAnsi="Times New Roman"/>
          <w:b/>
          <w:bCs/>
          <w:sz w:val="32"/>
          <w:szCs w:val="32"/>
        </w:rPr>
        <w:t xml:space="preserve">PHÂN TÍCH DỰ ĐOÁN RỜI MẠNG KHÁCH HÀNG VIỄN THÔNG KẾT HỢP SHAP THEO CHỦ ĐỀ NGHIỆP VỤ VÀ TRỰC GIAO HOÁ PCA: MỘT NGHIÊN CỨU ABLATION VỀ KHÔNG GIAN PHÂN CỤM</w:t>
      </w:r>
    </w:p>
    <w:p>
      <w:pPr>
        <w:spacing w:after="40"/>
        <w:jc w:val="center"/>
      </w:pPr>
      <w:r>
        <w:rPr>
          <w:rFonts w:ascii="Times New Roman" w:cs="Times New Roman" w:eastAsia="Times New Roman" w:hAnsi="Times New Roman"/>
          <w:sz w:val="24"/>
          <w:szCs w:val="24"/>
        </w:rPr>
        <w:t xml:space="preserve">Học viên thực hiện: Vũ Trung Kiên</w:t>
      </w:r>
    </w:p>
    <w:p>
      <w:pPr>
        <w:spacing w:after="40"/>
        <w:jc w:val="center"/>
      </w:pPr>
      <w:r>
        <w:rPr>
          <w:rFonts w:ascii="Times New Roman" w:cs="Times New Roman" w:eastAsia="Times New Roman" w:hAnsi="Times New Roman"/>
          <w:sz w:val="24"/>
          <w:szCs w:val="24"/>
        </w:rPr>
        <w:t xml:space="preserve">Mã học viên: 250104011</w:t>
      </w:r>
    </w:p>
    <w:p>
      <w:pPr>
        <w:spacing w:after="40"/>
        <w:jc w:val="center"/>
      </w:pPr>
      <w:r>
        <w:rPr>
          <w:rFonts w:ascii="Times New Roman" w:cs="Times New Roman" w:eastAsia="Times New Roman" w:hAnsi="Times New Roman"/>
          <w:sz w:val="24"/>
          <w:szCs w:val="24"/>
        </w:rPr>
        <w:t xml:space="preserve">Giảng viên hướng dẫn: Thầy Nguyễn Đình Thuận</w:t>
      </w:r>
    </w:p>
    <w:p>
      <w:r>
        <w:br w:type="page"/>
      </w:r>
    </w:p>
    <w:p>
      <w:pPr>
        <w:pStyle w:val="Heading1"/>
        <w:spacing w:after="120" w:before="240"/>
      </w:pPr>
      <w:r>
        <w:t xml:space="preserve">Tóm tắt</w:t>
      </w:r>
    </w:p>
    <w:p>
      <w:pPr>
        <w:spacing w:after="160" w:line="360"/>
        <w:jc w:val="both"/>
      </w:pPr>
      <w:r>
        <w:rPr>
          <w:rFonts w:ascii="Times New Roman" w:cs="Times New Roman" w:eastAsia="Times New Roman" w:hAnsi="Times New Roman"/>
          <w:i/>
          <w:iCs/>
          <w:sz w:val="24"/>
          <w:szCs w:val="24"/>
        </w:rPr>
        <w:t xml:space="preserve">Dự đoán khách hàng rời mạng (customer churn) là bài toán trọng yếu trong ngành viễn thông, nơi chi phí giữ chân khách hàng hiện hữu thường thấp hơn nhiều so với chi phí thu hút khách hàng mới. Các nghiên cứu ứng dụng Explainable AI (XAI) kết hợp phân cụm khách hàng theo giá trị SHAP hiện nay phần lớn dừng lại ở việc xếp hạng đặc trưng quan trọng (feature ranking) mà chưa kiểm định persona thu được có ý nghĩa thống kê hay không, đồng thời dễ bị chi phối bởi hiện tượng đa cộng tuyến giữa các đặc trưng liên quan (ví dụ Contract, tenure, AvgMonthlyCharge). Nghiên cứu này đề xuất một framework ba tầng Predict-Explain-Act, với đóng góp trọng tâm là: (1) một nghiên cứu ablation so sánh định lượng ba không gian phân cụm - đặc trưng thô (raw feature), giá trị SHAP theo từng đặc trưng (per-feature SHAP), và điểm số SHAP gộp theo chủ đề nghiệp vụ đã trực giao hoá bằng PCA (theme-based SHAP, PCA-orthogonalized); (2) quy trình xử lý đa cộng tuyến giữa các chủ đề hành vi bằng phân tích thành phần chính (PCA); và (3) kiểm định thống kê Kruskal-Wallis kèm effect size (epsilon-squared) để xác nhận các persona thu được có khác biệt thực chất, không phải ngẫu nhiên do cỡ mẫu lớn. Thực nghiệm trên bộ dữ liệu Telco-Customer-Churn cho thấy phương pháp đề xuất tạo ra 5 persona khách hàng phân biệt rõ theo 4 chủ đề hành vi khác nhau (áp lực chi phí, cam kết hợp đồng, chất lượng dịch vụ, gói dịch vụ giải trí) với effect size lớn (Cohen's d từ 0,83 đến 2,04), khắc phục được hạn chế của các phương pháp phân cụm trên không gian đặc trưng thô hoặc SHAP theo từng đặc trưng riêng lẻ - vốn cho ra persona trùng lặp do bị chi phối bởi một trục hành vi chi phối duy nhất.</w:t>
      </w:r>
    </w:p>
    <w:p>
      <w:pPr>
        <w:spacing w:after="160" w:line="360"/>
        <w:jc w:val="both"/>
      </w:pPr>
      <w:r>
        <w:rPr>
          <w:rFonts w:ascii="Times New Roman" w:cs="Times New Roman" w:eastAsia="Times New Roman" w:hAnsi="Times New Roman"/>
          <w:i/>
          <w:iCs/>
          <w:sz w:val="24"/>
          <w:szCs w:val="24"/>
        </w:rPr>
        <w:t xml:space="preserve">Từ khoá: customer churn, SHAP, Explainable AI, phân cụm khách hàng, PCA, ablation study, Kruskal-Wallis</w:t>
      </w:r>
    </w:p>
    <w:p>
      <w:pPr>
        <w:pStyle w:val="Heading1"/>
        <w:spacing w:after="120" w:before="240"/>
      </w:pPr>
      <w:r>
        <w:t xml:space="preserve">1. Giới thiệu</w:t>
      </w:r>
    </w:p>
    <w:p>
      <w:pPr>
        <w:spacing w:after="160" w:line="360"/>
        <w:jc w:val="both"/>
      </w:pPr>
      <w:r>
        <w:rPr>
          <w:rFonts w:ascii="Times New Roman" w:cs="Times New Roman" w:eastAsia="Times New Roman" w:hAnsi="Times New Roman"/>
          <w:sz w:val="24"/>
          <w:szCs w:val="24"/>
        </w:rPr>
        <w:t xml:space="preserve">Rời mạng khách hàng (customer churn) là một trong những chỉ số vận hành quan trọng nhất đối với các doanh nghiệp viễn thông, do chi phí giữ chân một khách hàng hiện hữu thường thấp hơn đáng kể so với chi phí thu hút một khách hàng mới. Các mô hình học máy dự đoán churn (Logistic Regression, Random Forest, XGBoost...) đã đạt độ chính xác khá tốt, tuy nhiên phần lớn dừng lại ở việc đưa ra xác suất rời mạng mà không lý giải được nguyên nhân, khiến bộ phận vận hành khó thiết kế hành động giữ chân phù hợp cho từng nhóm khách hàng.</w:t>
      </w:r>
    </w:p>
    <w:p>
      <w:pPr>
        <w:spacing w:after="160" w:line="360"/>
        <w:jc w:val="both"/>
      </w:pPr>
      <w:r>
        <w:rPr>
          <w:rFonts w:ascii="Times New Roman" w:cs="Times New Roman" w:eastAsia="Times New Roman" w:hAnsi="Times New Roman"/>
          <w:sz w:val="24"/>
          <w:szCs w:val="24"/>
        </w:rPr>
        <w:t xml:space="preserve">Các nghiên cứu gần đây ứng dụng SHAP (SHapley Additive exPlanations) để diễn giải mô hình, sau đó phân cụm khách hàng dựa trên giá trị SHAP nhằm tạo ra các "persona" - nhóm khách hàng có nguyên nhân rời mạng tương đồng. Tuy nhiên, cách tiếp cận này gặp hai hạn chế phổ biến chưa được giải quyết thoả đáng trong tài liệu hiện có:</w:t>
      </w:r>
    </w:p>
    <w:p>
      <w:pPr>
        <w:pStyle w:val="ListParagraph"/>
        <w:numPr>
          <w:ilvl w:val="0"/>
          <w:numId w:val="1"/>
        </w:numPr>
        <w:spacing w:after="80"/>
      </w:pPr>
      <w:r>
        <w:rPr>
          <w:rFonts w:ascii="Times New Roman" w:cs="Times New Roman" w:eastAsia="Times New Roman" w:hAnsi="Times New Roman"/>
          <w:sz w:val="24"/>
          <w:szCs w:val="24"/>
        </w:rPr>
        <w:t xml:space="preserve">Đa cộng tuyến giữa các đặc trưng: khi các đặc trưng như Contract, tenure, AvgMonthlyCharge có tương quan cao, việc phân cụm trên giá trị SHAP theo từng đặc trưng riêng lẻ dễ bị chi phối bởi một trục biến thiên duy nhất, khiến các persona thu được chỉ khác nhau về cường độ mà không khác nhau về loại nguyên nhân chi phối.</w:t>
      </w:r>
    </w:p>
    <w:p>
      <w:pPr>
        <w:pStyle w:val="ListParagraph"/>
        <w:numPr>
          <w:ilvl w:val="0"/>
          <w:numId w:val="1"/>
        </w:numPr>
        <w:spacing w:after="80"/>
      </w:pPr>
      <w:r>
        <w:rPr>
          <w:rFonts w:ascii="Times New Roman" w:cs="Times New Roman" w:eastAsia="Times New Roman" w:hAnsi="Times New Roman"/>
          <w:sz w:val="24"/>
          <w:szCs w:val="24"/>
        </w:rPr>
        <w:t xml:space="preserve">Thiếu kiểm định thống kê: phần lớn nghiên cứu chỉ báo cáo chỉ số Silhouette mà không kiểm định xem sự khác biệt giữa các cụm có ý nghĩa thống kê thực sự hay không, và không phân biệt giữa ý nghĩa thống kê (statistical significance) với độ lớn hiệu ứng thực chất (effect size).</w:t>
      </w:r>
    </w:p>
    <w:p>
      <w:pPr>
        <w:spacing w:after="160" w:line="360"/>
        <w:jc w:val="both"/>
      </w:pPr>
      <w:r>
        <w:rPr>
          <w:rFonts w:ascii="Times New Roman" w:cs="Times New Roman" w:eastAsia="Times New Roman" w:hAnsi="Times New Roman"/>
          <w:sz w:val="24"/>
          <w:szCs w:val="24"/>
        </w:rPr>
        <w:t xml:space="preserve">Đóng góp của nghiên cứu này bao gồm bốn điểm chính:</w:t>
      </w:r>
    </w:p>
    <w:p>
      <w:pPr>
        <w:pStyle w:val="ListParagraph"/>
        <w:numPr>
          <w:ilvl w:val="0"/>
          <w:numId w:val="1"/>
        </w:numPr>
        <w:spacing w:after="80"/>
      </w:pPr>
      <w:r>
        <w:rPr>
          <w:rFonts w:ascii="Times New Roman" w:cs="Times New Roman" w:eastAsia="Times New Roman" w:hAnsi="Times New Roman"/>
          <w:sz w:val="24"/>
          <w:szCs w:val="24"/>
        </w:rPr>
        <w:t xml:space="preserve">Đề xuất và định lượng lợi ích của việc gộp giá trị SHAP theo chủ đề nghiệp vụ (theme aggregation), kết hợp trực giao hoá bằng PCA khi các chủ đề vẫn còn tương quan, nhằm xử lý tận gốc vấn đề đa cộng tuyến.</w:t>
      </w:r>
    </w:p>
    <w:p>
      <w:pPr>
        <w:pStyle w:val="ListParagraph"/>
        <w:numPr>
          <w:ilvl w:val="0"/>
          <w:numId w:val="1"/>
        </w:numPr>
        <w:spacing w:after="80"/>
      </w:pPr>
      <w:r>
        <w:rPr>
          <w:rFonts w:ascii="Times New Roman" w:cs="Times New Roman" w:eastAsia="Times New Roman" w:hAnsi="Times New Roman"/>
          <w:sz w:val="24"/>
          <w:szCs w:val="24"/>
        </w:rPr>
        <w:t xml:space="preserve">Thực hiện nghiên cứu ablation so sánh định lượng ba không gian phân cụm (raw feature, per-feature SHAP, theme-based SHAP đã trực giao hoá) bằng chỉ số Silhouette và Davies-Bouldin Index.</w:t>
      </w:r>
    </w:p>
    <w:p>
      <w:pPr>
        <w:pStyle w:val="ListParagraph"/>
        <w:numPr>
          <w:ilvl w:val="0"/>
          <w:numId w:val="1"/>
        </w:numPr>
        <w:spacing w:after="80"/>
      </w:pPr>
      <w:r>
        <w:rPr>
          <w:rFonts w:ascii="Times New Roman" w:cs="Times New Roman" w:eastAsia="Times New Roman" w:hAnsi="Times New Roman"/>
          <w:sz w:val="24"/>
          <w:szCs w:val="24"/>
        </w:rPr>
        <w:t xml:space="preserve">Bổ sung kiểm định Kruskal-Wallis kèm effect size (epsilon-squared) để xác nhận persona khác biệt có ý nghĩa thực chất, không chỉ do cỡ mẫu lớn.</w:t>
      </w:r>
    </w:p>
    <w:p>
      <w:pPr>
        <w:pStyle w:val="ListParagraph"/>
        <w:numPr>
          <w:ilvl w:val="0"/>
          <w:numId w:val="1"/>
        </w:numPr>
        <w:spacing w:after="80"/>
      </w:pPr>
      <w:r>
        <w:rPr>
          <w:rFonts w:ascii="Times New Roman" w:cs="Times New Roman" w:eastAsia="Times New Roman" w:hAnsi="Times New Roman"/>
          <w:sz w:val="24"/>
          <w:szCs w:val="24"/>
        </w:rPr>
        <w:t xml:space="preserve">Chuyển hoá kết quả phân cụm thành đề xuất hành động giữ chân (retention action) cụ thể theo từng chủ đề hành vi, hoàn thiện framework ba tầng Predict - Explain - Act.</w:t>
      </w:r>
    </w:p>
    <w:p>
      <w:pPr>
        <w:pStyle w:val="Heading1"/>
        <w:spacing w:after="120" w:before="240"/>
      </w:pPr>
      <w:r>
        <w:t xml:space="preserve">2. Các nghiên cứu liên quan</w:t>
      </w:r>
    </w:p>
    <w:p>
      <w:pPr>
        <w:spacing w:after="160" w:line="360"/>
        <w:jc w:val="both"/>
      </w:pPr>
      <w:r>
        <w:rPr>
          <w:rFonts w:ascii="Times New Roman" w:cs="Times New Roman" w:eastAsia="Times New Roman" w:hAnsi="Times New Roman"/>
          <w:sz w:val="24"/>
          <w:szCs w:val="24"/>
        </w:rPr>
        <w:t xml:space="preserve">Các nghiên cứu về dự đoán churn trong viễn thông đã khảo sát nhiều mô hình học máy khác nhau, từ hồi quy logistic, cây quyết định, đến các mô hình ensemble như Random Forest và XGBoost. Song song đó, các nghiên cứu về Explainable AI đã ứng dụng SHAP để diễn giải đóng góp của từng đặc trưng vào quyết định của mô hình. Việc kết hợp SHAP với phân cụm khách hàng (customer segmentation) nhằm tạo ra persona có thể diễn giải được là một hướng đi đang được quan tâm, tuy nhiên phần lớn công trình hiện có dừng lại ở bước xếp hạng đặc trưng toàn cục (global feature importance) mà chưa khai thác sâu giá trị SHAP cho mục đích phân khúc khách hàng có kiểm định thống kê.</w:t>
      </w:r>
    </w:p>
    <w:p>
      <w:pPr>
        <w:spacing w:after="160"/>
      </w:pPr>
      <w:r>
        <w:rPr>
          <w:rFonts w:ascii="Times New Roman" w:cs="Times New Roman" w:eastAsia="Times New Roman" w:hAnsi="Times New Roman"/>
          <w:b/>
          <w:bCs/>
          <w:color w:val="C00000"/>
          <w:sz w:val="24"/>
          <w:szCs w:val="24"/>
        </w:rPr>
        <w:t xml:space="preserve">[CẦN BỔ SUNG] Bổ sung 5-8 trích dẫn cụ thể (tên tác giả, năm, tên bài báo) cho phần này theo đúng thư viện tham khảo của bạn - ví dụ các bài về SHAP-based customer segmentation, XAI cho churn prediction, PCA cho xử lý đa cộng tuyến trong clustering.</w:t>
      </w:r>
    </w:p>
    <w:p>
      <w:pPr>
        <w:pStyle w:val="Heading1"/>
        <w:spacing w:after="120" w:before="240"/>
      </w:pPr>
      <w:r>
        <w:t xml:space="preserve">3. Phương pháp luận</w:t>
      </w:r>
    </w:p>
    <w:p>
      <w:pPr>
        <w:pStyle w:val="Heading2"/>
        <w:spacing w:after="120" w:before="240"/>
      </w:pPr>
      <w:r>
        <w:t xml:space="preserve">3.1. Dữ liệu và tiền xử lý</w:t>
      </w:r>
    </w:p>
    <w:p>
      <w:pPr>
        <w:spacing w:after="160" w:line="360"/>
        <w:jc w:val="both"/>
      </w:pPr>
      <w:r>
        <w:rPr>
          <w:rFonts w:ascii="Times New Roman" w:cs="Times New Roman" w:eastAsia="Times New Roman" w:hAnsi="Times New Roman"/>
          <w:sz w:val="24"/>
          <w:szCs w:val="24"/>
        </w:rPr>
        <w:t xml:space="preserve">Nghiên cứu sử dụng bộ dữ liệu công khai Telco-Customer-Churn, bao gồm thông tin nhân khẩu học, dịch vụ sử dụng và trạng thái rời mạng của khách hàng. Các bước tiền xử lý gồm: chuyển đổi cột TotalCharges về dạng số và loại bỏ các dòng thiếu giá trị, loại bỏ cột định danh customerID, mã hoá các biến phân loại bằng LabelEncoder, và chuẩn hoá các biến số bằng StandardScaler. Ba đặc trưng mới được xây dựng nhằm tăng khả năng giải thích: AvgMonthlyCharge (tổng chi phí chia cho thời gian sử dụng), HighCharge (khách hàng có mức phí thuộc nhóm 25% cao nhất), và LowTenureHighCharge (khách hàng mới nhưng phí cao - nhóm rủi ro tiềm ẩn).</w:t>
      </w:r>
    </w:p>
    <w:p>
      <w:pPr>
        <w:pStyle w:val="Heading2"/>
        <w:spacing w:after="120" w:before="240"/>
      </w:pPr>
      <w:r>
        <w:t xml:space="preserve">3.2. Huấn luyện và lựa chọn mô hình dự đoán</w:t>
      </w:r>
    </w:p>
    <w:p>
      <w:pPr>
        <w:spacing w:after="160" w:line="360"/>
        <w:jc w:val="both"/>
      </w:pPr>
      <w:r>
        <w:rPr>
          <w:rFonts w:ascii="Times New Roman" w:cs="Times New Roman" w:eastAsia="Times New Roman" w:hAnsi="Times New Roman"/>
          <w:sz w:val="24"/>
          <w:szCs w:val="24"/>
        </w:rPr>
        <w:t xml:space="preserve">Bảy mô hình phân loại được huấn luyện và so sánh: Logistic Regression, Random Forest, Decision Tree, AdaBoost, SVM (kernel tuyến tính), KNN và Naive Bayes. Mặc dù Logistic Regression đạt F1-score cao nhất trong tập ứng viên (Bảng 1), nghiên cứu lựa chọn Random Forest làm mô hình nền tảng vì đây là mô hình tree-based duy nhất trong nhóm có F1-score cạnh tranh, đồng thời tương thích trực tiếp với SHAP TreeExplainer - cho phép tính toán giá trị SHAP chính xác và hiệu quả về mặt tính toán so với KernelExplainer (vốn cần thiết cho các mô hình phi cây như Logistic Regression hay SVM). Đây là một đánh đổi (trade-off) có chủ đích giữa hiệu năng dự đoán thuần tuý và khả năng diễn giải, được trình bày minh bạch như một giới hạn của nghiên cứu ở Mục 6.</w:t>
      </w:r>
    </w:p>
    <w:p>
      <w:pPr>
        <w:pStyle w:val="Heading2"/>
        <w:spacing w:after="120" w:before="240"/>
      </w:pPr>
      <w:r>
        <w:t xml:space="preserve">3.3. Giải thích mô hình bằng SHAP</w:t>
      </w:r>
    </w:p>
    <w:p>
      <w:pPr>
        <w:spacing w:after="160" w:line="360"/>
        <w:jc w:val="both"/>
      </w:pPr>
      <w:r>
        <w:rPr>
          <w:rFonts w:ascii="Times New Roman" w:cs="Times New Roman" w:eastAsia="Times New Roman" w:hAnsi="Times New Roman"/>
          <w:sz w:val="24"/>
          <w:szCs w:val="24"/>
        </w:rPr>
        <w:t xml:space="preserve">Giá trị SHAP được tính cho từng khách hàng trong tập kiểm tra bằng TreeExplainer. Mười đặc trưng có giá trị |SHAP| trung bình lớn nhất được giữ lại để phân tích sâu, với bước lọc loại bỏ đặc trưng dư thừa có tương quan SHAP cao (&gt;0,85) với đặc trưng đã chọn, nhằm giảm nhiễu đa cộng tuyến ngay từ bước lựa chọn đặc trưng.</w:t>
      </w:r>
    </w:p>
    <w:p>
      <w:pPr>
        <w:pStyle w:val="Heading2"/>
        <w:spacing w:after="120" w:before="240"/>
      </w:pPr>
      <w:r>
        <w:t xml:space="preserve">3.4. Gộp giá trị SHAP theo chủ đề nghiệp vụ</w:t>
      </w:r>
    </w:p>
    <w:p>
      <w:pPr>
        <w:spacing w:after="160" w:line="360"/>
        <w:jc w:val="both"/>
      </w:pPr>
      <w:r>
        <w:rPr>
          <w:rFonts w:ascii="Times New Roman" w:cs="Times New Roman" w:eastAsia="Times New Roman" w:hAnsi="Times New Roman"/>
          <w:sz w:val="24"/>
          <w:szCs w:val="24"/>
        </w:rPr>
        <w:t xml:space="preserve">Để giảm ảnh hưởng của đa cộng tuyến giữa các đặc trưng liên quan, giá trị SHAP của các đặc trưng được gộp thành bốn điểm số chủ đề (theme score) theo ý nghĩa nghiệp vụ, thể hiện trong Bảng dưới: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E2F3" w:val="clear"/>
          </w:tcPr>
          <w:p>
            <w:pPr>
              <w:jc w:val="left"/>
            </w:pPr>
            <w:r>
              <w:rPr>
                <w:rFonts w:ascii="Times New Roman" w:cs="Times New Roman" w:eastAsia="Times New Roman" w:hAnsi="Times New Roman"/>
                <w:b/>
                <w:bCs/>
                <w:sz w:val="22"/>
                <w:szCs w:val="22"/>
              </w:rPr>
              <w:t xml:space="preserve">Chủ đề (Theme)</w:t>
            </w:r>
          </w:p>
        </w:tc>
        <w:tc>
          <w:tcPr>
            <w:tcW w:type="dxa" w:w="6000"/>
            <w:shd w:fill="D9E2F3" w:val="clear"/>
          </w:tcPr>
          <w:p>
            <w:pPr>
              <w:jc w:val="left"/>
            </w:pPr>
            <w:r>
              <w:rPr>
                <w:rFonts w:ascii="Times New Roman" w:cs="Times New Roman" w:eastAsia="Times New Roman" w:hAnsi="Times New Roman"/>
                <w:b/>
                <w:bCs/>
                <w:sz w:val="22"/>
                <w:szCs w:val="22"/>
              </w:rPr>
              <w:t xml:space="preserve">Đặc trưng thành phần</w:t>
            </w:r>
          </w:p>
        </w:tc>
      </w:tr>
      <w:tr>
        <w:tc>
          <w:tcPr>
            <w:tcW w:type="dxa" w:w="3000"/>
          </w:tcPr>
          <w:p>
            <w:pPr>
              <w:jc w:val="left"/>
            </w:pPr>
            <w:r>
              <w:rPr>
                <w:rFonts w:ascii="Times New Roman" w:cs="Times New Roman" w:eastAsia="Times New Roman" w:hAnsi="Times New Roman"/>
                <w:b w:val="false"/>
                <w:bCs w:val="false"/>
                <w:sz w:val="22"/>
                <w:szCs w:val="22"/>
              </w:rPr>
              <w:t xml:space="preserve">Cost_Pressure</w:t>
            </w:r>
          </w:p>
        </w:tc>
        <w:tc>
          <w:tcPr>
            <w:tcW w:type="dxa" w:w="6000"/>
          </w:tcPr>
          <w:p>
            <w:pPr>
              <w:jc w:val="left"/>
            </w:pPr>
            <w:r>
              <w:rPr>
                <w:rFonts w:ascii="Times New Roman" w:cs="Times New Roman" w:eastAsia="Times New Roman" w:hAnsi="Times New Roman"/>
                <w:b w:val="false"/>
                <w:bCs w:val="false"/>
                <w:sz w:val="22"/>
                <w:szCs w:val="22"/>
              </w:rPr>
              <w:t xml:space="preserve">MonthlyCharges, TotalCharges, AvgMonthlyCharge, HighCharge</w:t>
            </w:r>
          </w:p>
        </w:tc>
      </w:tr>
      <w:tr>
        <w:tc>
          <w:tcPr>
            <w:tcW w:type="dxa" w:w="3000"/>
          </w:tcPr>
          <w:p>
            <w:pPr>
              <w:jc w:val="left"/>
            </w:pPr>
            <w:r>
              <w:rPr>
                <w:rFonts w:ascii="Times New Roman" w:cs="Times New Roman" w:eastAsia="Times New Roman" w:hAnsi="Times New Roman"/>
                <w:b w:val="false"/>
                <w:bCs w:val="false"/>
                <w:sz w:val="22"/>
                <w:szCs w:val="22"/>
              </w:rPr>
              <w:t xml:space="preserve">Commitment</w:t>
            </w:r>
          </w:p>
        </w:tc>
        <w:tc>
          <w:tcPr>
            <w:tcW w:type="dxa" w:w="6000"/>
          </w:tcPr>
          <w:p>
            <w:pPr>
              <w:jc w:val="left"/>
            </w:pPr>
            <w:r>
              <w:rPr>
                <w:rFonts w:ascii="Times New Roman" w:cs="Times New Roman" w:eastAsia="Times New Roman" w:hAnsi="Times New Roman"/>
                <w:b w:val="false"/>
                <w:bCs w:val="false"/>
                <w:sz w:val="22"/>
                <w:szCs w:val="22"/>
              </w:rPr>
              <w:t xml:space="preserve">Contract, tenure, PaperlessBilling</w:t>
            </w:r>
          </w:p>
        </w:tc>
      </w:tr>
      <w:tr>
        <w:tc>
          <w:tcPr>
            <w:tcW w:type="dxa" w:w="3000"/>
          </w:tcPr>
          <w:p>
            <w:pPr>
              <w:jc w:val="left"/>
            </w:pPr>
            <w:r>
              <w:rPr>
                <w:rFonts w:ascii="Times New Roman" w:cs="Times New Roman" w:eastAsia="Times New Roman" w:hAnsi="Times New Roman"/>
                <w:b w:val="false"/>
                <w:bCs w:val="false"/>
                <w:sz w:val="22"/>
                <w:szCs w:val="22"/>
              </w:rPr>
              <w:t xml:space="preserve">Service_Quality</w:t>
            </w:r>
          </w:p>
        </w:tc>
        <w:tc>
          <w:tcPr>
            <w:tcW w:type="dxa" w:w="6000"/>
          </w:tcPr>
          <w:p>
            <w:pPr>
              <w:jc w:val="left"/>
            </w:pPr>
            <w:r>
              <w:rPr>
                <w:rFonts w:ascii="Times New Roman" w:cs="Times New Roman" w:eastAsia="Times New Roman" w:hAnsi="Times New Roman"/>
                <w:b w:val="false"/>
                <w:bCs w:val="false"/>
                <w:sz w:val="22"/>
                <w:szCs w:val="22"/>
              </w:rPr>
              <w:t xml:space="preserve">InternetService, OnlineSecurity, OnlineBackup, DeviceProtection, TechSupport</w:t>
            </w:r>
          </w:p>
        </w:tc>
      </w:tr>
      <w:tr>
        <w:tc>
          <w:tcPr>
            <w:tcW w:type="dxa" w:w="3000"/>
          </w:tcPr>
          <w:p>
            <w:pPr>
              <w:jc w:val="left"/>
            </w:pPr>
            <w:r>
              <w:rPr>
                <w:rFonts w:ascii="Times New Roman" w:cs="Times New Roman" w:eastAsia="Times New Roman" w:hAnsi="Times New Roman"/>
                <w:b w:val="false"/>
                <w:bCs w:val="false"/>
                <w:sz w:val="22"/>
                <w:szCs w:val="22"/>
              </w:rPr>
              <w:t xml:space="preserve">Lifestyle_Bundle</w:t>
            </w:r>
          </w:p>
        </w:tc>
        <w:tc>
          <w:tcPr>
            <w:tcW w:type="dxa" w:w="6000"/>
          </w:tcPr>
          <w:p>
            <w:pPr>
              <w:jc w:val="left"/>
            </w:pPr>
            <w:r>
              <w:rPr>
                <w:rFonts w:ascii="Times New Roman" w:cs="Times New Roman" w:eastAsia="Times New Roman" w:hAnsi="Times New Roman"/>
                <w:b w:val="false"/>
                <w:bCs w:val="false"/>
                <w:sz w:val="22"/>
                <w:szCs w:val="22"/>
              </w:rPr>
              <w:t xml:space="preserve">StreamingTV, StreamingMovies, MultipleLines, PhoneService</w:t>
            </w:r>
          </w:p>
        </w:tc>
      </w:tr>
    </w:tbl>
    <w:p>
      <w:pPr>
        <w:spacing w:after="16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Mỗi điểm số chủ đề được tính bằng tổng giá trị SHAP của các đặc trưng thành phần cho từng khách hàng, phản ánh mức độ đóng góp tổng thể của cả nhóm đặc trưng đó vào xác suất rời mạng.</w:t>
      </w:r>
    </w:p>
    <w:p>
      <w:pPr>
        <w:pStyle w:val="Heading2"/>
        <w:spacing w:after="120" w:before="240"/>
      </w:pPr>
      <w:r>
        <w:t xml:space="preserve">3.5. Trực giao hoá bằng PCA</w:t>
      </w:r>
    </w:p>
    <w:p>
      <w:pPr>
        <w:spacing w:after="160" w:line="360"/>
        <w:jc w:val="both"/>
      </w:pPr>
      <w:r>
        <w:rPr>
          <w:rFonts w:ascii="Times New Roman" w:cs="Times New Roman" w:eastAsia="Times New Roman" w:hAnsi="Times New Roman"/>
          <w:sz w:val="24"/>
          <w:szCs w:val="24"/>
        </w:rPr>
        <w:t xml:space="preserve">Phân tích ma trận tương quan giữa bốn điểm số chủ đề (Bảng 3, Mục 4.3) cho thấy tương quan đáng kể giữa Cost_Pressure và Commitment (r = 0,55), vượt ngưỡng 0,5 được thiết lập trước. Điều này cho thấy các chủ đề vẫn còn phản ánh một phần chung của một trục hành vi tiềm ẩn, có nguy cơ khiến KMeans bị chi phối bởi trục đó thay vì phân biệt đa chiều. Để xử lý, nghiên cứu áp dụng PCA (Principal Component Analysis) trên bốn điểm số chủ đề đã chuẩn hoá, giữ lại số thành phần chính đủ giải thích tối thiểu 95% phương sai, và sử dụng không gian thành phần chính (PC) này - thay vì điểm số chủ đề thô - làm không gian đầu vào chính thức cho bước phân cụm KMeans.</w:t>
      </w:r>
    </w:p>
    <w:p>
      <w:pPr>
        <w:pStyle w:val="Heading2"/>
        <w:spacing w:after="120" w:before="240"/>
      </w:pPr>
      <w:r>
        <w:t xml:space="preserve">3.6. Nghiên cứu Ablation: so sánh ba không gian phân cụm</w:t>
      </w:r>
    </w:p>
    <w:p>
      <w:pPr>
        <w:spacing w:after="160" w:line="360"/>
        <w:jc w:val="both"/>
      </w:pPr>
      <w:r>
        <w:rPr>
          <w:rFonts w:ascii="Times New Roman" w:cs="Times New Roman" w:eastAsia="Times New Roman" w:hAnsi="Times New Roman"/>
          <w:sz w:val="24"/>
          <w:szCs w:val="24"/>
        </w:rPr>
        <w:t xml:space="preserve">Ba không gian phân cụm được so sánh định lượng bằng chỉ số Silhouette (càng cao càng tốt) và Davies-Bouldin Index (càng thấp càng tốt), với số cụm k chạy từ 2 đến 5 cho mỗi không gian:</w:t>
      </w:r>
    </w:p>
    <w:p>
      <w:pPr>
        <w:pStyle w:val="ListParagraph"/>
        <w:numPr>
          <w:ilvl w:val="0"/>
          <w:numId w:val="1"/>
        </w:numPr>
        <w:spacing w:after="80"/>
      </w:pPr>
      <w:r>
        <w:rPr>
          <w:rFonts w:ascii="Times New Roman" w:cs="Times New Roman" w:eastAsia="Times New Roman" w:hAnsi="Times New Roman"/>
          <w:sz w:val="24"/>
          <w:szCs w:val="24"/>
        </w:rPr>
        <w:t xml:space="preserve">raw_feature: mười đặc trưng gốc quan trọng nhất sau chuẩn hoá - đại diện cho cách tiếp cận phân khúc khách hàng truyền thống.</w:t>
      </w:r>
    </w:p>
    <w:p>
      <w:pPr>
        <w:pStyle w:val="ListParagraph"/>
        <w:numPr>
          <w:ilvl w:val="0"/>
          <w:numId w:val="1"/>
        </w:numPr>
        <w:spacing w:after="80"/>
      </w:pPr>
      <w:r>
        <w:rPr>
          <w:rFonts w:ascii="Times New Roman" w:cs="Times New Roman" w:eastAsia="Times New Roman" w:hAnsi="Times New Roman"/>
          <w:sz w:val="24"/>
          <w:szCs w:val="24"/>
        </w:rPr>
        <w:t xml:space="preserve">shap_value: giá trị SHAP theo từng đặc trưng riêng lẻ - cách tiếp cận SHAP-based segmentation phổ biến trong tài liệu hiện có.</w:t>
      </w:r>
    </w:p>
    <w:p>
      <w:pPr>
        <w:pStyle w:val="ListParagraph"/>
        <w:numPr>
          <w:ilvl w:val="0"/>
          <w:numId w:val="1"/>
        </w:numPr>
        <w:spacing w:after="80"/>
      </w:pPr>
      <w:r>
        <w:rPr>
          <w:rFonts w:ascii="Times New Roman" w:cs="Times New Roman" w:eastAsia="Times New Roman" w:hAnsi="Times New Roman"/>
          <w:sz w:val="24"/>
          <w:szCs w:val="24"/>
        </w:rPr>
        <w:t xml:space="preserve">shap_theme: điểm số SHAP gộp theo chủ đề đã trực giao hoá bằng PCA - đề xuất chính của nghiên cứu này.</w:t>
      </w:r>
    </w:p>
    <w:p>
      <w:pPr>
        <w:spacing w:after="160" w:line="360"/>
        <w:jc w:val="both"/>
      </w:pPr>
      <w:r>
        <w:rPr>
          <w:rFonts w:ascii="Times New Roman" w:cs="Times New Roman" w:eastAsia="Times New Roman" w:hAnsi="Times New Roman"/>
          <w:sz w:val="24"/>
          <w:szCs w:val="24"/>
        </w:rPr>
        <w:t xml:space="preserve">Với mỗi không gian, cấu hình k cho Silhouette cao nhất được chọn làm cấu hình tốt nhất (best-of-each) để so sánh công bằng giữa các không gian.</w:t>
      </w:r>
    </w:p>
    <w:p>
      <w:pPr>
        <w:pStyle w:val="Heading2"/>
        <w:spacing w:after="120" w:before="240"/>
      </w:pPr>
      <w:r>
        <w:t xml:space="preserve">3.7. Kiểm định thống kê cho persona</w:t>
      </w:r>
    </w:p>
    <w:p>
      <w:pPr>
        <w:spacing w:after="160" w:line="360"/>
        <w:jc w:val="both"/>
      </w:pPr>
      <w:r>
        <w:rPr>
          <w:rFonts w:ascii="Times New Roman" w:cs="Times New Roman" w:eastAsia="Times New Roman" w:hAnsi="Times New Roman"/>
          <w:sz w:val="24"/>
          <w:szCs w:val="24"/>
        </w:rPr>
        <w:t xml:space="preserve">Sau khi chọn không gian phân cụm chính thức, kiểm định Kruskal-Wallis H-test (phi tham số, phù hợp khi dữ liệu không thoả giả định phân phối chuẩn) được thực hiện cho từng chủ đề giữa các cụm, nhằm xác nhận sự khác biệt có ý nghĩa thống kê (p &lt; 0,05). Do cỡ mẫu tương đối lớn có thể khiến kiểm định cho ra ý nghĩa thống kê ngay cả với khác biệt nhỏ, effect size epsilon-squared được tính kèm theo (ngưỡng diễn giải: 0,01 = nhỏ; 0,06 = vừa; 0,14 trở lên = lớn), và Cohen's d (chuẩn hoá theo độ lệch chuẩn toàn bộ dân số) được dùng để xác định chủ đề đặc trưng nhất (distinctive theme) của từng persona, tránh việc chủ đề có SHAP importance toàn cục lớn nhất luôn áp đảo mọi persona.</w:t>
      </w:r>
    </w:p>
    <w:p>
      <w:pPr>
        <w:pStyle w:val="Heading1"/>
        <w:spacing w:after="120" w:before="240"/>
      </w:pPr>
      <w:r>
        <w:t xml:space="preserve">4. Kết quả thực nghiệm</w:t>
      </w:r>
    </w:p>
    <w:p>
      <w:pPr>
        <w:pStyle w:val="Heading2"/>
        <w:spacing w:after="120" w:before="240"/>
      </w:pPr>
      <w:r>
        <w:t xml:space="preserve">4.1. So sánh hiệu năng các mô hình dự đoán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300"/>
      </w:tblGrid>
      <w:tr>
        <w:tc>
          <w:tcPr>
            <w:tcW w:type="dxa" w:w="2600"/>
            <w:shd w:fill="D9E2F3" w:val="clear"/>
          </w:tcPr>
          <w:p>
            <w:pPr>
              <w:jc w:val="left"/>
            </w:pPr>
            <w:r>
              <w:rPr>
                <w:rFonts w:ascii="Times New Roman" w:cs="Times New Roman" w:eastAsia="Times New Roman" w:hAnsi="Times New Roman"/>
                <w:b/>
                <w:bCs/>
                <w:sz w:val="22"/>
                <w:szCs w:val="22"/>
              </w:rPr>
              <w:t xml:space="preserve">Mô hình</w:t>
            </w:r>
          </w:p>
        </w:tc>
        <w:tc>
          <w:tcPr>
            <w:tcW w:type="dxa" w:w="1300"/>
            <w:shd w:fill="D9E2F3" w:val="clear"/>
          </w:tcPr>
          <w:p>
            <w:pPr>
              <w:jc w:val="left"/>
            </w:pPr>
            <w:r>
              <w:rPr>
                <w:rFonts w:ascii="Times New Roman" w:cs="Times New Roman" w:eastAsia="Times New Roman" w:hAnsi="Times New Roman"/>
                <w:b/>
                <w:bCs/>
                <w:sz w:val="22"/>
                <w:szCs w:val="22"/>
              </w:rPr>
              <w:t xml:space="preserve">Accuracy</w:t>
            </w:r>
          </w:p>
        </w:tc>
        <w:tc>
          <w:tcPr>
            <w:tcW w:type="dxa" w:w="1300"/>
            <w:shd w:fill="D9E2F3" w:val="clear"/>
          </w:tcPr>
          <w:p>
            <w:pPr>
              <w:jc w:val="left"/>
            </w:pPr>
            <w:r>
              <w:rPr>
                <w:rFonts w:ascii="Times New Roman" w:cs="Times New Roman" w:eastAsia="Times New Roman" w:hAnsi="Times New Roman"/>
                <w:b/>
                <w:bCs/>
                <w:sz w:val="22"/>
                <w:szCs w:val="22"/>
              </w:rPr>
              <w:t xml:space="preserve">Precision</w:t>
            </w:r>
          </w:p>
        </w:tc>
        <w:tc>
          <w:tcPr>
            <w:tcW w:type="dxa" w:w="1300"/>
            <w:shd w:fill="D9E2F3" w:val="clear"/>
          </w:tcPr>
          <w:p>
            <w:pPr>
              <w:jc w:val="left"/>
            </w:pPr>
            <w:r>
              <w:rPr>
                <w:rFonts w:ascii="Times New Roman" w:cs="Times New Roman" w:eastAsia="Times New Roman" w:hAnsi="Times New Roman"/>
                <w:b/>
                <w:bCs/>
                <w:sz w:val="22"/>
                <w:szCs w:val="22"/>
              </w:rPr>
              <w:t xml:space="preserve">Recall</w:t>
            </w:r>
          </w:p>
        </w:tc>
        <w:tc>
          <w:tcPr>
            <w:tcW w:type="dxa" w:w="1300"/>
            <w:shd w:fill="D9E2F3" w:val="clear"/>
          </w:tcPr>
          <w:p>
            <w:pPr>
              <w:jc w:val="left"/>
            </w:pPr>
            <w:r>
              <w:rPr>
                <w:rFonts w:ascii="Times New Roman" w:cs="Times New Roman" w:eastAsia="Times New Roman" w:hAnsi="Times New Roman"/>
                <w:b/>
                <w:bCs/>
                <w:sz w:val="22"/>
                <w:szCs w:val="22"/>
              </w:rPr>
              <w:t xml:space="preserve">F1</w:t>
            </w:r>
          </w:p>
        </w:tc>
        <w:tc>
          <w:tcPr>
            <w:tcW w:type="dxa" w:w="1300"/>
            <w:shd w:fill="D9E2F3" w:val="clear"/>
          </w:tcPr>
          <w:p>
            <w:pPr>
              <w:jc w:val="left"/>
            </w:pPr>
            <w:r>
              <w:rPr>
                <w:rFonts w:ascii="Times New Roman" w:cs="Times New Roman" w:eastAsia="Times New Roman" w:hAnsi="Times New Roman"/>
                <w:b/>
                <w:bCs/>
                <w:sz w:val="22"/>
                <w:szCs w:val="22"/>
              </w:rPr>
              <w:t xml:space="preserve">AUC</w:t>
            </w:r>
          </w:p>
        </w:tc>
      </w:tr>
      <w:tr>
        <w:tc>
          <w:tcPr>
            <w:tcW w:type="dxa" w:w="2600"/>
          </w:tcPr>
          <w:p>
            <w:pPr>
              <w:jc w:val="left"/>
            </w:pPr>
            <w:r>
              <w:rPr>
                <w:rFonts w:ascii="Times New Roman" w:cs="Times New Roman" w:eastAsia="Times New Roman" w:hAnsi="Times New Roman"/>
                <w:b w:val="false"/>
                <w:bCs w:val="false"/>
                <w:sz w:val="22"/>
                <w:szCs w:val="22"/>
              </w:rPr>
              <w:t xml:space="preserve">Logistic Regression</w:t>
            </w:r>
          </w:p>
        </w:tc>
        <w:tc>
          <w:tcPr>
            <w:tcW w:type="dxa" w:w="1300"/>
          </w:tcPr>
          <w:p>
            <w:pPr>
              <w:jc w:val="left"/>
            </w:pPr>
            <w:r>
              <w:rPr>
                <w:rFonts w:ascii="Times New Roman" w:cs="Times New Roman" w:eastAsia="Times New Roman" w:hAnsi="Times New Roman"/>
                <w:b w:val="false"/>
                <w:bCs w:val="false"/>
                <w:sz w:val="22"/>
                <w:szCs w:val="22"/>
              </w:rPr>
              <w:t xml:space="preserve">0,7903</w:t>
            </w:r>
          </w:p>
        </w:tc>
        <w:tc>
          <w:tcPr>
            <w:tcW w:type="dxa" w:w="1300"/>
          </w:tcPr>
          <w:p>
            <w:pPr>
              <w:jc w:val="left"/>
            </w:pPr>
            <w:r>
              <w:rPr>
                <w:rFonts w:ascii="Times New Roman" w:cs="Times New Roman" w:eastAsia="Times New Roman" w:hAnsi="Times New Roman"/>
                <w:b w:val="false"/>
                <w:bCs w:val="false"/>
                <w:sz w:val="22"/>
                <w:szCs w:val="22"/>
              </w:rPr>
              <w:t xml:space="preserve">0,6215</w:t>
            </w:r>
          </w:p>
        </w:tc>
        <w:tc>
          <w:tcPr>
            <w:tcW w:type="dxa" w:w="1300"/>
          </w:tcPr>
          <w:p>
            <w:pPr>
              <w:jc w:val="left"/>
            </w:pPr>
            <w:r>
              <w:rPr>
                <w:rFonts w:ascii="Times New Roman" w:cs="Times New Roman" w:eastAsia="Times New Roman" w:hAnsi="Times New Roman"/>
                <w:b w:val="false"/>
                <w:bCs w:val="false"/>
                <w:sz w:val="22"/>
                <w:szCs w:val="22"/>
              </w:rPr>
              <w:t xml:space="preserve">0,5401</w:t>
            </w:r>
          </w:p>
        </w:tc>
        <w:tc>
          <w:tcPr>
            <w:tcW w:type="dxa" w:w="1300"/>
          </w:tcPr>
          <w:p>
            <w:pPr>
              <w:jc w:val="left"/>
            </w:pPr>
            <w:r>
              <w:rPr>
                <w:rFonts w:ascii="Times New Roman" w:cs="Times New Roman" w:eastAsia="Times New Roman" w:hAnsi="Times New Roman"/>
                <w:b w:val="false"/>
                <w:bCs w:val="false"/>
                <w:sz w:val="22"/>
                <w:szCs w:val="22"/>
              </w:rPr>
              <w:t xml:space="preserve">0,5780</w:t>
            </w:r>
          </w:p>
        </w:tc>
        <w:tc>
          <w:tcPr>
            <w:tcW w:type="dxa" w:w="1300"/>
          </w:tcPr>
          <w:p>
            <w:pPr>
              <w:jc w:val="left"/>
            </w:pPr>
            <w:r>
              <w:rPr>
                <w:rFonts w:ascii="Times New Roman" w:cs="Times New Roman" w:eastAsia="Times New Roman" w:hAnsi="Times New Roman"/>
                <w:b w:val="false"/>
                <w:bCs w:val="false"/>
                <w:sz w:val="22"/>
                <w:szCs w:val="22"/>
              </w:rPr>
              <w:t xml:space="preserve">0,8359</w:t>
            </w:r>
          </w:p>
        </w:tc>
      </w:tr>
      <w:tr>
        <w:tc>
          <w:tcPr>
            <w:tcW w:type="dxa" w:w="2600"/>
          </w:tcPr>
          <w:p>
            <w:pPr>
              <w:jc w:val="left"/>
            </w:pPr>
            <w:r>
              <w:rPr>
                <w:rFonts w:ascii="Times New Roman" w:cs="Times New Roman" w:eastAsia="Times New Roman" w:hAnsi="Times New Roman"/>
                <w:b w:val="false"/>
                <w:bCs w:val="false"/>
                <w:sz w:val="22"/>
                <w:szCs w:val="22"/>
              </w:rPr>
              <w:t xml:space="preserve">Random Forest (đã chọn)</w:t>
            </w:r>
          </w:p>
        </w:tc>
        <w:tc>
          <w:tcPr>
            <w:tcW w:type="dxa" w:w="1300"/>
          </w:tcPr>
          <w:p>
            <w:pPr>
              <w:jc w:val="left"/>
            </w:pPr>
            <w:r>
              <w:rPr>
                <w:rFonts w:ascii="Times New Roman" w:cs="Times New Roman" w:eastAsia="Times New Roman" w:hAnsi="Times New Roman"/>
                <w:b w:val="false"/>
                <w:bCs w:val="false"/>
                <w:sz w:val="22"/>
                <w:szCs w:val="22"/>
              </w:rPr>
              <w:t xml:space="preserve">0,7846</w:t>
            </w:r>
          </w:p>
        </w:tc>
        <w:tc>
          <w:tcPr>
            <w:tcW w:type="dxa" w:w="1300"/>
          </w:tcPr>
          <w:p>
            <w:pPr>
              <w:jc w:val="left"/>
            </w:pPr>
            <w:r>
              <w:rPr>
                <w:rFonts w:ascii="Times New Roman" w:cs="Times New Roman" w:eastAsia="Times New Roman" w:hAnsi="Times New Roman"/>
                <w:b w:val="false"/>
                <w:bCs w:val="false"/>
                <w:sz w:val="22"/>
                <w:szCs w:val="22"/>
              </w:rPr>
              <w:t xml:space="preserve">0,6172</w:t>
            </w:r>
          </w:p>
        </w:tc>
        <w:tc>
          <w:tcPr>
            <w:tcW w:type="dxa" w:w="1300"/>
          </w:tcPr>
          <w:p>
            <w:pPr>
              <w:jc w:val="left"/>
            </w:pPr>
            <w:r>
              <w:rPr>
                <w:rFonts w:ascii="Times New Roman" w:cs="Times New Roman" w:eastAsia="Times New Roman" w:hAnsi="Times New Roman"/>
                <w:b w:val="false"/>
                <w:bCs w:val="false"/>
                <w:sz w:val="22"/>
                <w:szCs w:val="22"/>
              </w:rPr>
              <w:t xml:space="preserve">0,5000</w:t>
            </w:r>
          </w:p>
        </w:tc>
        <w:tc>
          <w:tcPr>
            <w:tcW w:type="dxa" w:w="1300"/>
          </w:tcPr>
          <w:p>
            <w:pPr>
              <w:jc w:val="left"/>
            </w:pPr>
            <w:r>
              <w:rPr>
                <w:rFonts w:ascii="Times New Roman" w:cs="Times New Roman" w:eastAsia="Times New Roman" w:hAnsi="Times New Roman"/>
                <w:b w:val="false"/>
                <w:bCs w:val="false"/>
                <w:sz w:val="22"/>
                <w:szCs w:val="22"/>
              </w:rPr>
              <w:t xml:space="preserve">0,5524</w:t>
            </w:r>
          </w:p>
        </w:tc>
        <w:tc>
          <w:tcPr>
            <w:tcW w:type="dxa" w:w="1300"/>
          </w:tcPr>
          <w:p>
            <w:pPr>
              <w:jc w:val="left"/>
            </w:pPr>
            <w:r>
              <w:rPr>
                <w:rFonts w:ascii="Times New Roman" w:cs="Times New Roman" w:eastAsia="Times New Roman" w:hAnsi="Times New Roman"/>
                <w:b w:val="false"/>
                <w:bCs w:val="false"/>
                <w:sz w:val="22"/>
                <w:szCs w:val="22"/>
              </w:rPr>
              <w:t xml:space="preserve">0,8148</w:t>
            </w:r>
          </w:p>
        </w:tc>
      </w:tr>
      <w:tr>
        <w:tc>
          <w:tcPr>
            <w:tcW w:type="dxa" w:w="2600"/>
          </w:tcPr>
          <w:p>
            <w:pPr>
              <w:jc w:val="left"/>
            </w:pPr>
            <w:r>
              <w:rPr>
                <w:rFonts w:ascii="Times New Roman" w:cs="Times New Roman" w:eastAsia="Times New Roman" w:hAnsi="Times New Roman"/>
                <w:b w:val="false"/>
                <w:bCs w:val="false"/>
                <w:sz w:val="22"/>
                <w:szCs w:val="22"/>
              </w:rPr>
              <w:t xml:space="preserve">Decision Tree</w:t>
            </w:r>
          </w:p>
        </w:tc>
        <w:tc>
          <w:tcPr>
            <w:tcW w:type="dxa" w:w="1300"/>
          </w:tcPr>
          <w:p>
            <w:pPr>
              <w:jc w:val="left"/>
            </w:pPr>
            <w:r>
              <w:rPr>
                <w:rFonts w:ascii="Times New Roman" w:cs="Times New Roman" w:eastAsia="Times New Roman" w:hAnsi="Times New Roman"/>
                <w:b w:val="false"/>
                <w:bCs w:val="false"/>
                <w:sz w:val="22"/>
                <w:szCs w:val="22"/>
              </w:rPr>
              <w:t xml:space="preserve">0,7257</w:t>
            </w:r>
          </w:p>
        </w:tc>
        <w:tc>
          <w:tcPr>
            <w:tcW w:type="dxa" w:w="1300"/>
          </w:tcPr>
          <w:p>
            <w:pPr>
              <w:jc w:val="left"/>
            </w:pPr>
            <w:r>
              <w:rPr>
                <w:rFonts w:ascii="Times New Roman" w:cs="Times New Roman" w:eastAsia="Times New Roman" w:hAnsi="Times New Roman"/>
                <w:b w:val="false"/>
                <w:bCs w:val="false"/>
                <w:sz w:val="22"/>
                <w:szCs w:val="22"/>
              </w:rPr>
              <w:t xml:space="preserve">0,4845</w:t>
            </w:r>
          </w:p>
        </w:tc>
        <w:tc>
          <w:tcPr>
            <w:tcW w:type="dxa" w:w="1300"/>
          </w:tcPr>
          <w:p>
            <w:pPr>
              <w:jc w:val="left"/>
            </w:pPr>
            <w:r>
              <w:rPr>
                <w:rFonts w:ascii="Times New Roman" w:cs="Times New Roman" w:eastAsia="Times New Roman" w:hAnsi="Times New Roman"/>
                <w:b w:val="false"/>
                <w:bCs w:val="false"/>
                <w:sz w:val="22"/>
                <w:szCs w:val="22"/>
              </w:rPr>
              <w:t xml:space="preserve">0,5027</w:t>
            </w:r>
          </w:p>
        </w:tc>
        <w:tc>
          <w:tcPr>
            <w:tcW w:type="dxa" w:w="1300"/>
          </w:tcPr>
          <w:p>
            <w:pPr>
              <w:jc w:val="left"/>
            </w:pPr>
            <w:r>
              <w:rPr>
                <w:rFonts w:ascii="Times New Roman" w:cs="Times New Roman" w:eastAsia="Times New Roman" w:hAnsi="Times New Roman"/>
                <w:b w:val="false"/>
                <w:bCs w:val="false"/>
                <w:sz w:val="22"/>
                <w:szCs w:val="22"/>
              </w:rPr>
              <w:t xml:space="preserve">0,4934</w:t>
            </w:r>
          </w:p>
        </w:tc>
        <w:tc>
          <w:tcPr>
            <w:tcW w:type="dxa" w:w="1300"/>
          </w:tcPr>
          <w:p>
            <w:pPr>
              <w:jc w:val="left"/>
            </w:pPr>
            <w:r>
              <w:rPr>
                <w:rFonts w:ascii="Times New Roman" w:cs="Times New Roman" w:eastAsia="Times New Roman" w:hAnsi="Times New Roman"/>
                <w:b w:val="false"/>
                <w:bCs w:val="false"/>
                <w:sz w:val="22"/>
                <w:szCs w:val="22"/>
              </w:rPr>
              <w:t xml:space="preserve">0,6554</w:t>
            </w:r>
          </w:p>
        </w:tc>
      </w:tr>
      <w:tr>
        <w:tc>
          <w:tcPr>
            <w:tcW w:type="dxa" w:w="2600"/>
          </w:tcPr>
          <w:p>
            <w:pPr>
              <w:jc w:val="left"/>
            </w:pPr>
            <w:r>
              <w:rPr>
                <w:rFonts w:ascii="Times New Roman" w:cs="Times New Roman" w:eastAsia="Times New Roman" w:hAnsi="Times New Roman"/>
                <w:b w:val="false"/>
                <w:bCs w:val="false"/>
                <w:sz w:val="22"/>
                <w:szCs w:val="22"/>
              </w:rPr>
              <w:t xml:space="preserve">AdaBoost</w:t>
            </w:r>
          </w:p>
        </w:tc>
        <w:tc>
          <w:tcPr>
            <w:tcW w:type="dxa" w:w="1300"/>
          </w:tcPr>
          <w:p>
            <w:pPr>
              <w:jc w:val="left"/>
            </w:pPr>
            <w:r>
              <w:rPr>
                <w:rFonts w:ascii="Times New Roman" w:cs="Times New Roman" w:eastAsia="Times New Roman" w:hAnsi="Times New Roman"/>
                <w:b w:val="false"/>
                <w:bCs w:val="false"/>
                <w:sz w:val="22"/>
                <w:szCs w:val="22"/>
              </w:rPr>
              <w:t xml:space="preserve">0,7832</w:t>
            </w:r>
          </w:p>
        </w:tc>
        <w:tc>
          <w:tcPr>
            <w:tcW w:type="dxa" w:w="1300"/>
          </w:tcPr>
          <w:p>
            <w:pPr>
              <w:jc w:val="left"/>
            </w:pPr>
            <w:r>
              <w:rPr>
                <w:rFonts w:ascii="Times New Roman" w:cs="Times New Roman" w:eastAsia="Times New Roman" w:hAnsi="Times New Roman"/>
                <w:b w:val="false"/>
                <w:bCs w:val="false"/>
                <w:sz w:val="22"/>
                <w:szCs w:val="22"/>
              </w:rPr>
              <w:t xml:space="preserve">0,6062</w:t>
            </w:r>
          </w:p>
        </w:tc>
        <w:tc>
          <w:tcPr>
            <w:tcW w:type="dxa" w:w="1300"/>
          </w:tcPr>
          <w:p>
            <w:pPr>
              <w:jc w:val="left"/>
            </w:pPr>
            <w:r>
              <w:rPr>
                <w:rFonts w:ascii="Times New Roman" w:cs="Times New Roman" w:eastAsia="Times New Roman" w:hAnsi="Times New Roman"/>
                <w:b w:val="false"/>
                <w:bCs w:val="false"/>
                <w:sz w:val="22"/>
                <w:szCs w:val="22"/>
              </w:rPr>
              <w:t xml:space="preserve">0,5267</w:t>
            </w:r>
          </w:p>
        </w:tc>
        <w:tc>
          <w:tcPr>
            <w:tcW w:type="dxa" w:w="1300"/>
          </w:tcPr>
          <w:p>
            <w:pPr>
              <w:jc w:val="left"/>
            </w:pPr>
            <w:r>
              <w:rPr>
                <w:rFonts w:ascii="Times New Roman" w:cs="Times New Roman" w:eastAsia="Times New Roman" w:hAnsi="Times New Roman"/>
                <w:b w:val="false"/>
                <w:bCs w:val="false"/>
                <w:sz w:val="22"/>
                <w:szCs w:val="22"/>
              </w:rPr>
              <w:t xml:space="preserve">0,5637</w:t>
            </w:r>
          </w:p>
        </w:tc>
        <w:tc>
          <w:tcPr>
            <w:tcW w:type="dxa" w:w="1300"/>
          </w:tcPr>
          <w:p>
            <w:pPr>
              <w:jc w:val="left"/>
            </w:pPr>
            <w:r>
              <w:rPr>
                <w:rFonts w:ascii="Times New Roman" w:cs="Times New Roman" w:eastAsia="Times New Roman" w:hAnsi="Times New Roman"/>
                <w:b w:val="false"/>
                <w:bCs w:val="false"/>
                <w:sz w:val="22"/>
                <w:szCs w:val="22"/>
              </w:rPr>
              <w:t xml:space="preserve">0,8341</w:t>
            </w:r>
          </w:p>
        </w:tc>
      </w:tr>
      <w:tr>
        <w:tc>
          <w:tcPr>
            <w:tcW w:type="dxa" w:w="2600"/>
          </w:tcPr>
          <w:p>
            <w:pPr>
              <w:jc w:val="left"/>
            </w:pPr>
            <w:r>
              <w:rPr>
                <w:rFonts w:ascii="Times New Roman" w:cs="Times New Roman" w:eastAsia="Times New Roman" w:hAnsi="Times New Roman"/>
                <w:b w:val="false"/>
                <w:bCs w:val="false"/>
                <w:sz w:val="22"/>
                <w:szCs w:val="22"/>
              </w:rPr>
              <w:t xml:space="preserve">SVM (Linear)</w:t>
            </w:r>
          </w:p>
        </w:tc>
        <w:tc>
          <w:tcPr>
            <w:tcW w:type="dxa" w:w="1300"/>
          </w:tcPr>
          <w:p>
            <w:pPr>
              <w:jc w:val="left"/>
            </w:pPr>
            <w:r>
              <w:rPr>
                <w:rFonts w:ascii="Times New Roman" w:cs="Times New Roman" w:eastAsia="Times New Roman" w:hAnsi="Times New Roman"/>
                <w:b w:val="false"/>
                <w:bCs w:val="false"/>
                <w:sz w:val="22"/>
                <w:szCs w:val="22"/>
              </w:rPr>
              <w:t xml:space="preserve">0,7839</w:t>
            </w:r>
          </w:p>
        </w:tc>
        <w:tc>
          <w:tcPr>
            <w:tcW w:type="dxa" w:w="1300"/>
          </w:tcPr>
          <w:p>
            <w:pPr>
              <w:jc w:val="left"/>
            </w:pPr>
            <w:r>
              <w:rPr>
                <w:rFonts w:ascii="Times New Roman" w:cs="Times New Roman" w:eastAsia="Times New Roman" w:hAnsi="Times New Roman"/>
                <w:b w:val="false"/>
                <w:bCs w:val="false"/>
                <w:sz w:val="22"/>
                <w:szCs w:val="22"/>
              </w:rPr>
              <w:t xml:space="preserve">0,6562</w:t>
            </w:r>
          </w:p>
        </w:tc>
        <w:tc>
          <w:tcPr>
            <w:tcW w:type="dxa" w:w="1300"/>
          </w:tcPr>
          <w:p>
            <w:pPr>
              <w:jc w:val="left"/>
            </w:pPr>
            <w:r>
              <w:rPr>
                <w:rFonts w:ascii="Times New Roman" w:cs="Times New Roman" w:eastAsia="Times New Roman" w:hAnsi="Times New Roman"/>
                <w:b w:val="false"/>
                <w:bCs w:val="false"/>
                <w:sz w:val="22"/>
                <w:szCs w:val="22"/>
              </w:rPr>
              <w:t xml:space="preserve">0,3930</w:t>
            </w:r>
          </w:p>
        </w:tc>
        <w:tc>
          <w:tcPr>
            <w:tcW w:type="dxa" w:w="1300"/>
          </w:tcPr>
          <w:p>
            <w:pPr>
              <w:jc w:val="left"/>
            </w:pPr>
            <w:r>
              <w:rPr>
                <w:rFonts w:ascii="Times New Roman" w:cs="Times New Roman" w:eastAsia="Times New Roman" w:hAnsi="Times New Roman"/>
                <w:b w:val="false"/>
                <w:bCs w:val="false"/>
                <w:sz w:val="22"/>
                <w:szCs w:val="22"/>
              </w:rPr>
              <w:t xml:space="preserve">0,4916</w:t>
            </w:r>
          </w:p>
        </w:tc>
        <w:tc>
          <w:tcPr>
            <w:tcW w:type="dxa" w:w="1300"/>
          </w:tcPr>
          <w:p>
            <w:pPr>
              <w:jc w:val="left"/>
            </w:pPr>
            <w:r>
              <w:rPr>
                <w:rFonts w:ascii="Times New Roman" w:cs="Times New Roman" w:eastAsia="Times New Roman" w:hAnsi="Times New Roman"/>
                <w:b w:val="false"/>
                <w:bCs w:val="false"/>
                <w:sz w:val="22"/>
                <w:szCs w:val="22"/>
              </w:rPr>
              <w:t xml:space="preserve">0,8332</w:t>
            </w:r>
          </w:p>
        </w:tc>
      </w:tr>
      <w:tr>
        <w:tc>
          <w:tcPr>
            <w:tcW w:type="dxa" w:w="2600"/>
          </w:tcPr>
          <w:p>
            <w:pPr>
              <w:jc w:val="left"/>
            </w:pPr>
            <w:r>
              <w:rPr>
                <w:rFonts w:ascii="Times New Roman" w:cs="Times New Roman" w:eastAsia="Times New Roman" w:hAnsi="Times New Roman"/>
                <w:b w:val="false"/>
                <w:bCs w:val="false"/>
                <w:sz w:val="22"/>
                <w:szCs w:val="22"/>
              </w:rPr>
              <w:t xml:space="preserve">KNN</w:t>
            </w:r>
          </w:p>
        </w:tc>
        <w:tc>
          <w:tcPr>
            <w:tcW w:type="dxa" w:w="1300"/>
          </w:tcPr>
          <w:p>
            <w:pPr>
              <w:jc w:val="left"/>
            </w:pPr>
            <w:r>
              <w:rPr>
                <w:rFonts w:ascii="Times New Roman" w:cs="Times New Roman" w:eastAsia="Times New Roman" w:hAnsi="Times New Roman"/>
                <w:b w:val="false"/>
                <w:bCs w:val="false"/>
                <w:sz w:val="22"/>
                <w:szCs w:val="22"/>
              </w:rPr>
              <w:t xml:space="preserve">0,7697</w:t>
            </w:r>
          </w:p>
        </w:tc>
        <w:tc>
          <w:tcPr>
            <w:tcW w:type="dxa" w:w="1300"/>
          </w:tcPr>
          <w:p>
            <w:pPr>
              <w:jc w:val="left"/>
            </w:pPr>
            <w:r>
              <w:rPr>
                <w:rFonts w:ascii="Times New Roman" w:cs="Times New Roman" w:eastAsia="Times New Roman" w:hAnsi="Times New Roman"/>
                <w:b w:val="false"/>
                <w:bCs w:val="false"/>
                <w:sz w:val="22"/>
                <w:szCs w:val="22"/>
              </w:rPr>
              <w:t xml:space="preserve">0,5710</w:t>
            </w:r>
          </w:p>
        </w:tc>
        <w:tc>
          <w:tcPr>
            <w:tcW w:type="dxa" w:w="1300"/>
          </w:tcPr>
          <w:p>
            <w:pPr>
              <w:jc w:val="left"/>
            </w:pPr>
            <w:r>
              <w:rPr>
                <w:rFonts w:ascii="Times New Roman" w:cs="Times New Roman" w:eastAsia="Times New Roman" w:hAnsi="Times New Roman"/>
                <w:b w:val="false"/>
                <w:bCs w:val="false"/>
                <w:sz w:val="22"/>
                <w:szCs w:val="22"/>
              </w:rPr>
              <w:t xml:space="preserve">0,5374</w:t>
            </w:r>
          </w:p>
        </w:tc>
        <w:tc>
          <w:tcPr>
            <w:tcW w:type="dxa" w:w="1300"/>
          </w:tcPr>
          <w:p>
            <w:pPr>
              <w:jc w:val="left"/>
            </w:pPr>
            <w:r>
              <w:rPr>
                <w:rFonts w:ascii="Times New Roman" w:cs="Times New Roman" w:eastAsia="Times New Roman" w:hAnsi="Times New Roman"/>
                <w:b w:val="false"/>
                <w:bCs w:val="false"/>
                <w:sz w:val="22"/>
                <w:szCs w:val="22"/>
              </w:rPr>
              <w:t xml:space="preserve">0,5537</w:t>
            </w:r>
          </w:p>
        </w:tc>
        <w:tc>
          <w:tcPr>
            <w:tcW w:type="dxa" w:w="1300"/>
          </w:tcPr>
          <w:p>
            <w:pPr>
              <w:jc w:val="left"/>
            </w:pPr>
            <w:r>
              <w:rPr>
                <w:rFonts w:ascii="Times New Roman" w:cs="Times New Roman" w:eastAsia="Times New Roman" w:hAnsi="Times New Roman"/>
                <w:b w:val="false"/>
                <w:bCs w:val="false"/>
                <w:sz w:val="22"/>
                <w:szCs w:val="22"/>
              </w:rPr>
              <w:t xml:space="preserve">0,7826</w:t>
            </w:r>
          </w:p>
        </w:tc>
      </w:tr>
      <w:tr>
        <w:tc>
          <w:tcPr>
            <w:tcW w:type="dxa" w:w="2600"/>
          </w:tcPr>
          <w:p>
            <w:pPr>
              <w:jc w:val="left"/>
            </w:pPr>
            <w:r>
              <w:rPr>
                <w:rFonts w:ascii="Times New Roman" w:cs="Times New Roman" w:eastAsia="Times New Roman" w:hAnsi="Times New Roman"/>
                <w:b w:val="false"/>
                <w:bCs w:val="false"/>
                <w:sz w:val="22"/>
                <w:szCs w:val="22"/>
              </w:rPr>
              <w:t xml:space="preserve">Naive Bayes</w:t>
            </w:r>
          </w:p>
        </w:tc>
        <w:tc>
          <w:tcPr>
            <w:tcW w:type="dxa" w:w="1300"/>
          </w:tcPr>
          <w:p>
            <w:pPr>
              <w:jc w:val="left"/>
            </w:pPr>
            <w:r>
              <w:rPr>
                <w:rFonts w:ascii="Times New Roman" w:cs="Times New Roman" w:eastAsia="Times New Roman" w:hAnsi="Times New Roman"/>
                <w:b w:val="false"/>
                <w:bCs w:val="false"/>
                <w:sz w:val="22"/>
                <w:szCs w:val="22"/>
              </w:rPr>
              <w:t xml:space="preserve">0,7562</w:t>
            </w:r>
          </w:p>
        </w:tc>
        <w:tc>
          <w:tcPr>
            <w:tcW w:type="dxa" w:w="1300"/>
          </w:tcPr>
          <w:p>
            <w:pPr>
              <w:jc w:val="left"/>
            </w:pPr>
            <w:r>
              <w:rPr>
                <w:rFonts w:ascii="Times New Roman" w:cs="Times New Roman" w:eastAsia="Times New Roman" w:hAnsi="Times New Roman"/>
                <w:b w:val="false"/>
                <w:bCs w:val="false"/>
                <w:sz w:val="22"/>
                <w:szCs w:val="22"/>
              </w:rPr>
              <w:t xml:space="preserve">0,5332</w:t>
            </w:r>
          </w:p>
        </w:tc>
        <w:tc>
          <w:tcPr>
            <w:tcW w:type="dxa" w:w="1300"/>
          </w:tcPr>
          <w:p>
            <w:pPr>
              <w:jc w:val="left"/>
            </w:pPr>
            <w:r>
              <w:rPr>
                <w:rFonts w:ascii="Times New Roman" w:cs="Times New Roman" w:eastAsia="Times New Roman" w:hAnsi="Times New Roman"/>
                <w:b w:val="false"/>
                <w:bCs w:val="false"/>
                <w:sz w:val="22"/>
                <w:szCs w:val="22"/>
              </w:rPr>
              <w:t xml:space="preserve">0,6658</w:t>
            </w:r>
          </w:p>
        </w:tc>
        <w:tc>
          <w:tcPr>
            <w:tcW w:type="dxa" w:w="1300"/>
          </w:tcPr>
          <w:p>
            <w:pPr>
              <w:jc w:val="left"/>
            </w:pPr>
            <w:r>
              <w:rPr>
                <w:rFonts w:ascii="Times New Roman" w:cs="Times New Roman" w:eastAsia="Times New Roman" w:hAnsi="Times New Roman"/>
                <w:b w:val="false"/>
                <w:bCs w:val="false"/>
                <w:sz w:val="22"/>
                <w:szCs w:val="22"/>
              </w:rPr>
              <w:t xml:space="preserve">0,5922</w:t>
            </w:r>
          </w:p>
        </w:tc>
        <w:tc>
          <w:tcPr>
            <w:tcW w:type="dxa" w:w="1300"/>
          </w:tcPr>
          <w:p>
            <w:pPr>
              <w:jc w:val="left"/>
            </w:pPr>
            <w:r>
              <w:rPr>
                <w:rFonts w:ascii="Times New Roman" w:cs="Times New Roman" w:eastAsia="Times New Roman" w:hAnsi="Times New Roman"/>
                <w:b w:val="false"/>
                <w:bCs w:val="false"/>
                <w:sz w:val="22"/>
                <w:szCs w:val="22"/>
              </w:rPr>
              <w:t xml:space="preserve">0,8114</w:t>
            </w:r>
          </w:p>
        </w:tc>
      </w:tr>
    </w:tbl>
    <w:p>
      <w:pPr>
        <w:spacing w:after="16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Random Forest được lựa chọn dù không đạt F1-score cao nhất, vì lý do tương thích với SHAP TreeExplainer đã trình bày ở Mục 3.2. Naive Bayes có F1 (0,5922) và Recall (0,6658) cao hơn Random Forest, cho thấy trong bối cảnh ưu tiên phát hiện khách hàng rời mạng (Recall), đây là hướng đáng cân nhắc cho nghiên cứu mở rộng không yêu cầu diễn giải bằng SHAP.</w:t>
      </w:r>
    </w:p>
    <w:p>
      <w:pPr>
        <w:pStyle w:val="Heading2"/>
        <w:spacing w:after="120" w:before="240"/>
      </w:pPr>
      <w:r>
        <w:t xml:space="preserve">4.2. Xếp hạng đặc trưng theo giá trị SHAP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000"/>
      </w:tblGrid>
      <w:tr>
        <w:tc>
          <w:tcPr>
            <w:tcW w:type="dxa" w:w="1200"/>
            <w:shd w:fill="D9E2F3" w:val="clear"/>
          </w:tcPr>
          <w:p>
            <w:pPr>
              <w:jc w:val="left"/>
            </w:pPr>
            <w:r>
              <w:rPr>
                <w:rFonts w:ascii="Times New Roman" w:cs="Times New Roman" w:eastAsia="Times New Roman" w:hAnsi="Times New Roman"/>
                <w:b/>
                <w:bCs/>
                <w:sz w:val="22"/>
                <w:szCs w:val="22"/>
              </w:rPr>
              <w:t xml:space="preserve">Hạng</w:t>
            </w:r>
          </w:p>
        </w:tc>
        <w:tc>
          <w:tcPr>
            <w:tcW w:type="dxa" w:w="4800"/>
            <w:shd w:fill="D9E2F3" w:val="clear"/>
          </w:tcPr>
          <w:p>
            <w:pPr>
              <w:jc w:val="left"/>
            </w:pPr>
            <w:r>
              <w:rPr>
                <w:rFonts w:ascii="Times New Roman" w:cs="Times New Roman" w:eastAsia="Times New Roman" w:hAnsi="Times New Roman"/>
                <w:b/>
                <w:bCs/>
                <w:sz w:val="22"/>
                <w:szCs w:val="22"/>
              </w:rPr>
              <w:t xml:space="preserve">Đặc trưng</w:t>
            </w:r>
          </w:p>
        </w:tc>
        <w:tc>
          <w:tcPr>
            <w:tcW w:type="dxa" w:w="3000"/>
            <w:shd w:fill="D9E2F3" w:val="clear"/>
          </w:tcPr>
          <w:p>
            <w:pPr>
              <w:jc w:val="left"/>
            </w:pPr>
            <w:r>
              <w:rPr>
                <w:rFonts w:ascii="Times New Roman" w:cs="Times New Roman" w:eastAsia="Times New Roman" w:hAnsi="Times New Roman"/>
                <w:b/>
                <w:bCs/>
                <w:sz w:val="22"/>
                <w:szCs w:val="22"/>
              </w:rPr>
              <w:t xml:space="preserve">Mean |SHAP|</w:t>
            </w:r>
          </w:p>
        </w:tc>
      </w:tr>
      <w:tr>
        <w:tc>
          <w:tcPr>
            <w:tcW w:type="dxa" w:w="1200"/>
          </w:tcPr>
          <w:p>
            <w:pPr>
              <w:jc w:val="left"/>
            </w:pPr>
            <w:r>
              <w:rPr>
                <w:rFonts w:ascii="Times New Roman" w:cs="Times New Roman" w:eastAsia="Times New Roman" w:hAnsi="Times New Roman"/>
                <w:b w:val="false"/>
                <w:bCs w:val="false"/>
                <w:sz w:val="22"/>
                <w:szCs w:val="22"/>
              </w:rPr>
              <w:t xml:space="preserve">1</w:t>
            </w:r>
          </w:p>
        </w:tc>
        <w:tc>
          <w:tcPr>
            <w:tcW w:type="dxa" w:w="4800"/>
          </w:tcPr>
          <w:p>
            <w:pPr>
              <w:jc w:val="left"/>
            </w:pPr>
            <w:r>
              <w:rPr>
                <w:rFonts w:ascii="Times New Roman" w:cs="Times New Roman" w:eastAsia="Times New Roman" w:hAnsi="Times New Roman"/>
                <w:b w:val="false"/>
                <w:bCs w:val="false"/>
                <w:sz w:val="22"/>
                <w:szCs w:val="22"/>
              </w:rPr>
              <w:t xml:space="preserve">Contract</w:t>
            </w:r>
          </w:p>
        </w:tc>
        <w:tc>
          <w:tcPr>
            <w:tcW w:type="dxa" w:w="3000"/>
          </w:tcPr>
          <w:p>
            <w:pPr>
              <w:jc w:val="left"/>
            </w:pPr>
            <w:r>
              <w:rPr>
                <w:rFonts w:ascii="Times New Roman" w:cs="Times New Roman" w:eastAsia="Times New Roman" w:hAnsi="Times New Roman"/>
                <w:b w:val="false"/>
                <w:bCs w:val="false"/>
                <w:sz w:val="22"/>
                <w:szCs w:val="22"/>
              </w:rPr>
              <w:t xml:space="preserve">0,0794</w:t>
            </w:r>
          </w:p>
        </w:tc>
      </w:tr>
      <w:tr>
        <w:tc>
          <w:tcPr>
            <w:tcW w:type="dxa" w:w="1200"/>
          </w:tcPr>
          <w:p>
            <w:pPr>
              <w:jc w:val="left"/>
            </w:pPr>
            <w:r>
              <w:rPr>
                <w:rFonts w:ascii="Times New Roman" w:cs="Times New Roman" w:eastAsia="Times New Roman" w:hAnsi="Times New Roman"/>
                <w:b w:val="false"/>
                <w:bCs w:val="false"/>
                <w:sz w:val="22"/>
                <w:szCs w:val="22"/>
              </w:rPr>
              <w:t xml:space="preserve">2</w:t>
            </w:r>
          </w:p>
        </w:tc>
        <w:tc>
          <w:tcPr>
            <w:tcW w:type="dxa" w:w="4800"/>
          </w:tcPr>
          <w:p>
            <w:pPr>
              <w:jc w:val="left"/>
            </w:pPr>
            <w:r>
              <w:rPr>
                <w:rFonts w:ascii="Times New Roman" w:cs="Times New Roman" w:eastAsia="Times New Roman" w:hAnsi="Times New Roman"/>
                <w:b w:val="false"/>
                <w:bCs w:val="false"/>
                <w:sz w:val="22"/>
                <w:szCs w:val="22"/>
              </w:rPr>
              <w:t xml:space="preserve">tenure</w:t>
            </w:r>
          </w:p>
        </w:tc>
        <w:tc>
          <w:tcPr>
            <w:tcW w:type="dxa" w:w="3000"/>
          </w:tcPr>
          <w:p>
            <w:pPr>
              <w:jc w:val="left"/>
            </w:pPr>
            <w:r>
              <w:rPr>
                <w:rFonts w:ascii="Times New Roman" w:cs="Times New Roman" w:eastAsia="Times New Roman" w:hAnsi="Times New Roman"/>
                <w:b w:val="false"/>
                <w:bCs w:val="false"/>
                <w:sz w:val="22"/>
                <w:szCs w:val="22"/>
              </w:rPr>
              <w:t xml:space="preserve">0,0497</w:t>
            </w:r>
          </w:p>
        </w:tc>
      </w:tr>
      <w:tr>
        <w:tc>
          <w:tcPr>
            <w:tcW w:type="dxa" w:w="1200"/>
          </w:tcPr>
          <w:p>
            <w:pPr>
              <w:jc w:val="left"/>
            </w:pPr>
            <w:r>
              <w:rPr>
                <w:rFonts w:ascii="Times New Roman" w:cs="Times New Roman" w:eastAsia="Times New Roman" w:hAnsi="Times New Roman"/>
                <w:b w:val="false"/>
                <w:bCs w:val="false"/>
                <w:sz w:val="22"/>
                <w:szCs w:val="22"/>
              </w:rPr>
              <w:t xml:space="preserve">3</w:t>
            </w:r>
          </w:p>
        </w:tc>
        <w:tc>
          <w:tcPr>
            <w:tcW w:type="dxa" w:w="4800"/>
          </w:tcPr>
          <w:p>
            <w:pPr>
              <w:jc w:val="left"/>
            </w:pPr>
            <w:r>
              <w:rPr>
                <w:rFonts w:ascii="Times New Roman" w:cs="Times New Roman" w:eastAsia="Times New Roman" w:hAnsi="Times New Roman"/>
                <w:b w:val="false"/>
                <w:bCs w:val="false"/>
                <w:sz w:val="22"/>
                <w:szCs w:val="22"/>
              </w:rPr>
              <w:t xml:space="preserve">OnlineSecurity</w:t>
            </w:r>
          </w:p>
        </w:tc>
        <w:tc>
          <w:tcPr>
            <w:tcW w:type="dxa" w:w="3000"/>
          </w:tcPr>
          <w:p>
            <w:pPr>
              <w:jc w:val="left"/>
            </w:pPr>
            <w:r>
              <w:rPr>
                <w:rFonts w:ascii="Times New Roman" w:cs="Times New Roman" w:eastAsia="Times New Roman" w:hAnsi="Times New Roman"/>
                <w:b w:val="false"/>
                <w:bCs w:val="false"/>
                <w:sz w:val="22"/>
                <w:szCs w:val="22"/>
              </w:rPr>
              <w:t xml:space="preserve">0,0382</w:t>
            </w:r>
          </w:p>
        </w:tc>
      </w:tr>
      <w:tr>
        <w:tc>
          <w:tcPr>
            <w:tcW w:type="dxa" w:w="1200"/>
          </w:tcPr>
          <w:p>
            <w:pPr>
              <w:jc w:val="left"/>
            </w:pPr>
            <w:r>
              <w:rPr>
                <w:rFonts w:ascii="Times New Roman" w:cs="Times New Roman" w:eastAsia="Times New Roman" w:hAnsi="Times New Roman"/>
                <w:b w:val="false"/>
                <w:bCs w:val="false"/>
                <w:sz w:val="22"/>
                <w:szCs w:val="22"/>
              </w:rPr>
              <w:t xml:space="preserve">4</w:t>
            </w:r>
          </w:p>
        </w:tc>
        <w:tc>
          <w:tcPr>
            <w:tcW w:type="dxa" w:w="4800"/>
          </w:tcPr>
          <w:p>
            <w:pPr>
              <w:jc w:val="left"/>
            </w:pPr>
            <w:r>
              <w:rPr>
                <w:rFonts w:ascii="Times New Roman" w:cs="Times New Roman" w:eastAsia="Times New Roman" w:hAnsi="Times New Roman"/>
                <w:b w:val="false"/>
                <w:bCs w:val="false"/>
                <w:sz w:val="22"/>
                <w:szCs w:val="22"/>
              </w:rPr>
              <w:t xml:space="preserve">TechSupport</w:t>
            </w:r>
          </w:p>
        </w:tc>
        <w:tc>
          <w:tcPr>
            <w:tcW w:type="dxa" w:w="3000"/>
          </w:tcPr>
          <w:p>
            <w:pPr>
              <w:jc w:val="left"/>
            </w:pPr>
            <w:r>
              <w:rPr>
                <w:rFonts w:ascii="Times New Roman" w:cs="Times New Roman" w:eastAsia="Times New Roman" w:hAnsi="Times New Roman"/>
                <w:b w:val="false"/>
                <w:bCs w:val="false"/>
                <w:sz w:val="22"/>
                <w:szCs w:val="22"/>
              </w:rPr>
              <w:t xml:space="preserve">0,0340</w:t>
            </w:r>
          </w:p>
        </w:tc>
      </w:tr>
      <w:tr>
        <w:tc>
          <w:tcPr>
            <w:tcW w:type="dxa" w:w="1200"/>
          </w:tcPr>
          <w:p>
            <w:pPr>
              <w:jc w:val="left"/>
            </w:pPr>
            <w:r>
              <w:rPr>
                <w:rFonts w:ascii="Times New Roman" w:cs="Times New Roman" w:eastAsia="Times New Roman" w:hAnsi="Times New Roman"/>
                <w:b w:val="false"/>
                <w:bCs w:val="false"/>
                <w:sz w:val="22"/>
                <w:szCs w:val="22"/>
              </w:rPr>
              <w:t xml:space="preserve">5</w:t>
            </w:r>
          </w:p>
        </w:tc>
        <w:tc>
          <w:tcPr>
            <w:tcW w:type="dxa" w:w="4800"/>
          </w:tcPr>
          <w:p>
            <w:pPr>
              <w:jc w:val="left"/>
            </w:pPr>
            <w:r>
              <w:rPr>
                <w:rFonts w:ascii="Times New Roman" w:cs="Times New Roman" w:eastAsia="Times New Roman" w:hAnsi="Times New Roman"/>
                <w:b w:val="false"/>
                <w:bCs w:val="false"/>
                <w:sz w:val="22"/>
                <w:szCs w:val="22"/>
              </w:rPr>
              <w:t xml:space="preserve">TotalCharges</w:t>
            </w:r>
          </w:p>
        </w:tc>
        <w:tc>
          <w:tcPr>
            <w:tcW w:type="dxa" w:w="3000"/>
          </w:tcPr>
          <w:p>
            <w:pPr>
              <w:jc w:val="left"/>
            </w:pPr>
            <w:r>
              <w:rPr>
                <w:rFonts w:ascii="Times New Roman" w:cs="Times New Roman" w:eastAsia="Times New Roman" w:hAnsi="Times New Roman"/>
                <w:b w:val="false"/>
                <w:bCs w:val="false"/>
                <w:sz w:val="22"/>
                <w:szCs w:val="22"/>
              </w:rPr>
              <w:t xml:space="preserve">0,0326</w:t>
            </w:r>
          </w:p>
        </w:tc>
      </w:tr>
      <w:tr>
        <w:tc>
          <w:tcPr>
            <w:tcW w:type="dxa" w:w="1200"/>
          </w:tcPr>
          <w:p>
            <w:pPr>
              <w:jc w:val="left"/>
            </w:pPr>
            <w:r>
              <w:rPr>
                <w:rFonts w:ascii="Times New Roman" w:cs="Times New Roman" w:eastAsia="Times New Roman" w:hAnsi="Times New Roman"/>
                <w:b w:val="false"/>
                <w:bCs w:val="false"/>
                <w:sz w:val="22"/>
                <w:szCs w:val="22"/>
              </w:rPr>
              <w:t xml:space="preserve">6</w:t>
            </w:r>
          </w:p>
        </w:tc>
        <w:tc>
          <w:tcPr>
            <w:tcW w:type="dxa" w:w="4800"/>
          </w:tcPr>
          <w:p>
            <w:pPr>
              <w:jc w:val="left"/>
            </w:pPr>
            <w:r>
              <w:rPr>
                <w:rFonts w:ascii="Times New Roman" w:cs="Times New Roman" w:eastAsia="Times New Roman" w:hAnsi="Times New Roman"/>
                <w:b w:val="false"/>
                <w:bCs w:val="false"/>
                <w:sz w:val="22"/>
                <w:szCs w:val="22"/>
              </w:rPr>
              <w:t xml:space="preserve">InternetService</w:t>
            </w:r>
          </w:p>
        </w:tc>
        <w:tc>
          <w:tcPr>
            <w:tcW w:type="dxa" w:w="3000"/>
          </w:tcPr>
          <w:p>
            <w:pPr>
              <w:jc w:val="left"/>
            </w:pPr>
            <w:r>
              <w:rPr>
                <w:rFonts w:ascii="Times New Roman" w:cs="Times New Roman" w:eastAsia="Times New Roman" w:hAnsi="Times New Roman"/>
                <w:b w:val="false"/>
                <w:bCs w:val="false"/>
                <w:sz w:val="22"/>
                <w:szCs w:val="22"/>
              </w:rPr>
              <w:t xml:space="preserve">0,0275</w:t>
            </w:r>
          </w:p>
        </w:tc>
      </w:tr>
      <w:tr>
        <w:tc>
          <w:tcPr>
            <w:tcW w:type="dxa" w:w="1200"/>
          </w:tcPr>
          <w:p>
            <w:pPr>
              <w:jc w:val="left"/>
            </w:pPr>
            <w:r>
              <w:rPr>
                <w:rFonts w:ascii="Times New Roman" w:cs="Times New Roman" w:eastAsia="Times New Roman" w:hAnsi="Times New Roman"/>
                <w:b w:val="false"/>
                <w:bCs w:val="false"/>
                <w:sz w:val="22"/>
                <w:szCs w:val="22"/>
              </w:rPr>
              <w:t xml:space="preserve">7</w:t>
            </w:r>
          </w:p>
        </w:tc>
        <w:tc>
          <w:tcPr>
            <w:tcW w:type="dxa" w:w="4800"/>
          </w:tcPr>
          <w:p>
            <w:pPr>
              <w:jc w:val="left"/>
            </w:pPr>
            <w:r>
              <w:rPr>
                <w:rFonts w:ascii="Times New Roman" w:cs="Times New Roman" w:eastAsia="Times New Roman" w:hAnsi="Times New Roman"/>
                <w:b w:val="false"/>
                <w:bCs w:val="false"/>
                <w:sz w:val="22"/>
                <w:szCs w:val="22"/>
              </w:rPr>
              <w:t xml:space="preserve">MonthlyCharges</w:t>
            </w:r>
          </w:p>
        </w:tc>
        <w:tc>
          <w:tcPr>
            <w:tcW w:type="dxa" w:w="3000"/>
          </w:tcPr>
          <w:p>
            <w:pPr>
              <w:jc w:val="left"/>
            </w:pPr>
            <w:r>
              <w:rPr>
                <w:rFonts w:ascii="Times New Roman" w:cs="Times New Roman" w:eastAsia="Times New Roman" w:hAnsi="Times New Roman"/>
                <w:b w:val="false"/>
                <w:bCs w:val="false"/>
                <w:sz w:val="22"/>
                <w:szCs w:val="22"/>
              </w:rPr>
              <w:t xml:space="preserve">0,0253</w:t>
            </w:r>
          </w:p>
        </w:tc>
      </w:tr>
      <w:tr>
        <w:tc>
          <w:tcPr>
            <w:tcW w:type="dxa" w:w="1200"/>
          </w:tcPr>
          <w:p>
            <w:pPr>
              <w:jc w:val="left"/>
            </w:pPr>
            <w:r>
              <w:rPr>
                <w:rFonts w:ascii="Times New Roman" w:cs="Times New Roman" w:eastAsia="Times New Roman" w:hAnsi="Times New Roman"/>
                <w:b w:val="false"/>
                <w:bCs w:val="false"/>
                <w:sz w:val="22"/>
                <w:szCs w:val="22"/>
              </w:rPr>
              <w:t xml:space="preserve">8</w:t>
            </w:r>
          </w:p>
        </w:tc>
        <w:tc>
          <w:tcPr>
            <w:tcW w:type="dxa" w:w="4800"/>
          </w:tcPr>
          <w:p>
            <w:pPr>
              <w:jc w:val="left"/>
            </w:pPr>
            <w:r>
              <w:rPr>
                <w:rFonts w:ascii="Times New Roman" w:cs="Times New Roman" w:eastAsia="Times New Roman" w:hAnsi="Times New Roman"/>
                <w:b w:val="false"/>
                <w:bCs w:val="false"/>
                <w:sz w:val="22"/>
                <w:szCs w:val="22"/>
              </w:rPr>
              <w:t xml:space="preserve">OnlineBackup</w:t>
            </w:r>
          </w:p>
        </w:tc>
        <w:tc>
          <w:tcPr>
            <w:tcW w:type="dxa" w:w="3000"/>
          </w:tcPr>
          <w:p>
            <w:pPr>
              <w:jc w:val="left"/>
            </w:pPr>
            <w:r>
              <w:rPr>
                <w:rFonts w:ascii="Times New Roman" w:cs="Times New Roman" w:eastAsia="Times New Roman" w:hAnsi="Times New Roman"/>
                <w:b w:val="false"/>
                <w:bCs w:val="false"/>
                <w:sz w:val="22"/>
                <w:szCs w:val="22"/>
              </w:rPr>
              <w:t xml:space="preserve">0,0184</w:t>
            </w:r>
          </w:p>
        </w:tc>
      </w:tr>
      <w:tr>
        <w:tc>
          <w:tcPr>
            <w:tcW w:type="dxa" w:w="1200"/>
          </w:tcPr>
          <w:p>
            <w:pPr>
              <w:jc w:val="left"/>
            </w:pPr>
            <w:r>
              <w:rPr>
                <w:rFonts w:ascii="Times New Roman" w:cs="Times New Roman" w:eastAsia="Times New Roman" w:hAnsi="Times New Roman"/>
                <w:b w:val="false"/>
                <w:bCs w:val="false"/>
                <w:sz w:val="22"/>
                <w:szCs w:val="22"/>
              </w:rPr>
              <w:t xml:space="preserve">9</w:t>
            </w:r>
          </w:p>
        </w:tc>
        <w:tc>
          <w:tcPr>
            <w:tcW w:type="dxa" w:w="4800"/>
          </w:tcPr>
          <w:p>
            <w:pPr>
              <w:jc w:val="left"/>
            </w:pPr>
            <w:r>
              <w:rPr>
                <w:rFonts w:ascii="Times New Roman" w:cs="Times New Roman" w:eastAsia="Times New Roman" w:hAnsi="Times New Roman"/>
                <w:b w:val="false"/>
                <w:bCs w:val="false"/>
                <w:sz w:val="22"/>
                <w:szCs w:val="22"/>
              </w:rPr>
              <w:t xml:space="preserve">AvgMonthlyCharge</w:t>
            </w:r>
          </w:p>
        </w:tc>
        <w:tc>
          <w:tcPr>
            <w:tcW w:type="dxa" w:w="3000"/>
          </w:tcPr>
          <w:p>
            <w:pPr>
              <w:jc w:val="left"/>
            </w:pPr>
            <w:r>
              <w:rPr>
                <w:rFonts w:ascii="Times New Roman" w:cs="Times New Roman" w:eastAsia="Times New Roman" w:hAnsi="Times New Roman"/>
                <w:b w:val="false"/>
                <w:bCs w:val="false"/>
                <w:sz w:val="22"/>
                <w:szCs w:val="22"/>
              </w:rPr>
              <w:t xml:space="preserve">0,0154</w:t>
            </w:r>
          </w:p>
        </w:tc>
      </w:tr>
      <w:tr>
        <w:tc>
          <w:tcPr>
            <w:tcW w:type="dxa" w:w="1200"/>
          </w:tcPr>
          <w:p>
            <w:pPr>
              <w:jc w:val="left"/>
            </w:pPr>
            <w:r>
              <w:rPr>
                <w:rFonts w:ascii="Times New Roman" w:cs="Times New Roman" w:eastAsia="Times New Roman" w:hAnsi="Times New Roman"/>
                <w:b w:val="false"/>
                <w:bCs w:val="false"/>
                <w:sz w:val="22"/>
                <w:szCs w:val="22"/>
              </w:rPr>
              <w:t xml:space="preserve">10</w:t>
            </w:r>
          </w:p>
        </w:tc>
        <w:tc>
          <w:tcPr>
            <w:tcW w:type="dxa" w:w="4800"/>
          </w:tcPr>
          <w:p>
            <w:pPr>
              <w:jc w:val="left"/>
            </w:pPr>
            <w:r>
              <w:rPr>
                <w:rFonts w:ascii="Times New Roman" w:cs="Times New Roman" w:eastAsia="Times New Roman" w:hAnsi="Times New Roman"/>
                <w:b w:val="false"/>
                <w:bCs w:val="false"/>
                <w:sz w:val="22"/>
                <w:szCs w:val="22"/>
              </w:rPr>
              <w:t xml:space="preserve">PaymentMethod</w:t>
            </w:r>
          </w:p>
        </w:tc>
        <w:tc>
          <w:tcPr>
            <w:tcW w:type="dxa" w:w="3000"/>
          </w:tcPr>
          <w:p>
            <w:pPr>
              <w:jc w:val="left"/>
            </w:pPr>
            <w:r>
              <w:rPr>
                <w:rFonts w:ascii="Times New Roman" w:cs="Times New Roman" w:eastAsia="Times New Roman" w:hAnsi="Times New Roman"/>
                <w:b w:val="false"/>
                <w:bCs w:val="false"/>
                <w:sz w:val="22"/>
                <w:szCs w:val="22"/>
              </w:rPr>
              <w:t xml:space="preserve">0,0151</w:t>
            </w:r>
          </w:p>
        </w:tc>
      </w:tr>
    </w:tbl>
    <w:p>
      <w:pPr>
        <w:spacing w:after="16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Contract là đặc trưng có ảnh hưởng lớn nhất đến quyết định rời mạng theo mô hình, phù hợp với hiểu biết nghiệp vụ rằng khách hàng theo hợp đồng tháng (month-to-month) có xu hướng rời mạng cao hơn khách hàng cam kết dài hạn.</w:t>
      </w:r>
    </w:p>
    <w:p>
      <w:pPr>
        <w:pStyle w:val="Heading2"/>
        <w:spacing w:after="120" w:before="240"/>
      </w:pPr>
      <w:r>
        <w:t xml:space="preserve">4.3. Ma trận tương quan giữa các chủ đề SHAP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gridCol w:w="2200"/>
      </w:tblGrid>
      <w:tr>
        <w:tc>
          <w:tcPr>
            <w:tcW w:type="dxa" w:w="2400"/>
            <w:shd w:fill="D9E2F3" w:val="clear"/>
          </w:tcPr>
          <w:p>
            <w:pPr>
              <w:jc w:val="left"/>
            </w:pPr>
            <w:r>
              <w:rPr>
                <w:rFonts w:ascii="Times New Roman" w:cs="Times New Roman" w:eastAsia="Times New Roman" w:hAnsi="Times New Roman"/>
                <w:b/>
                <w:bCs/>
                <w:sz w:val="22"/>
                <w:szCs w:val="22"/>
              </w:rPr>
              <w:t xml:space="preserve"/>
            </w:r>
          </w:p>
        </w:tc>
        <w:tc>
          <w:tcPr>
            <w:tcW w:type="dxa" w:w="2200"/>
            <w:shd w:fill="D9E2F3" w:val="clear"/>
          </w:tcPr>
          <w:p>
            <w:pPr>
              <w:jc w:val="left"/>
            </w:pPr>
            <w:r>
              <w:rPr>
                <w:rFonts w:ascii="Times New Roman" w:cs="Times New Roman" w:eastAsia="Times New Roman" w:hAnsi="Times New Roman"/>
                <w:b/>
                <w:bCs/>
                <w:sz w:val="22"/>
                <w:szCs w:val="22"/>
              </w:rPr>
              <w:t xml:space="preserve">Cost_Pressure</w:t>
            </w:r>
          </w:p>
        </w:tc>
        <w:tc>
          <w:tcPr>
            <w:tcW w:type="dxa" w:w="2200"/>
            <w:shd w:fill="D9E2F3" w:val="clear"/>
          </w:tcPr>
          <w:p>
            <w:pPr>
              <w:jc w:val="left"/>
            </w:pPr>
            <w:r>
              <w:rPr>
                <w:rFonts w:ascii="Times New Roman" w:cs="Times New Roman" w:eastAsia="Times New Roman" w:hAnsi="Times New Roman"/>
                <w:b/>
                <w:bCs/>
                <w:sz w:val="22"/>
                <w:szCs w:val="22"/>
              </w:rPr>
              <w:t xml:space="preserve">Commitment</w:t>
            </w:r>
          </w:p>
        </w:tc>
        <w:tc>
          <w:tcPr>
            <w:tcW w:type="dxa" w:w="2200"/>
            <w:shd w:fill="D9E2F3" w:val="clear"/>
          </w:tcPr>
          <w:p>
            <w:pPr>
              <w:jc w:val="left"/>
            </w:pPr>
            <w:r>
              <w:rPr>
                <w:rFonts w:ascii="Times New Roman" w:cs="Times New Roman" w:eastAsia="Times New Roman" w:hAnsi="Times New Roman"/>
                <w:b/>
                <w:bCs/>
                <w:sz w:val="22"/>
                <w:szCs w:val="22"/>
              </w:rPr>
              <w:t xml:space="preserve">Service_Quality</w:t>
            </w:r>
          </w:p>
        </w:tc>
        <w:tc>
          <w:tcPr>
            <w:tcW w:type="dxa" w:w="2200"/>
            <w:shd w:fill="D9E2F3" w:val="clear"/>
          </w:tcPr>
          <w:p>
            <w:pPr>
              <w:jc w:val="left"/>
            </w:pPr>
            <w:r>
              <w:rPr>
                <w:rFonts w:ascii="Times New Roman" w:cs="Times New Roman" w:eastAsia="Times New Roman" w:hAnsi="Times New Roman"/>
                <w:b/>
                <w:bCs/>
                <w:sz w:val="22"/>
                <w:szCs w:val="22"/>
              </w:rPr>
              <w:t xml:space="preserve">Lifestyle_Bundle</w:t>
            </w:r>
          </w:p>
        </w:tc>
      </w:tr>
      <w:tr>
        <w:tc>
          <w:tcPr>
            <w:tcW w:type="dxa" w:w="2400"/>
          </w:tcPr>
          <w:p>
            <w:pPr>
              <w:jc w:val="left"/>
            </w:pPr>
            <w:r>
              <w:rPr>
                <w:rFonts w:ascii="Times New Roman" w:cs="Times New Roman" w:eastAsia="Times New Roman" w:hAnsi="Times New Roman"/>
                <w:b w:val="false"/>
                <w:bCs w:val="false"/>
                <w:sz w:val="22"/>
                <w:szCs w:val="22"/>
              </w:rPr>
              <w:t xml:space="preserve">Cost_Pressure</w:t>
            </w:r>
          </w:p>
        </w:tc>
        <w:tc>
          <w:tcPr>
            <w:tcW w:type="dxa" w:w="2200"/>
          </w:tcPr>
          <w:p>
            <w:pPr>
              <w:jc w:val="left"/>
            </w:pPr>
            <w:r>
              <w:rPr>
                <w:rFonts w:ascii="Times New Roman" w:cs="Times New Roman" w:eastAsia="Times New Roman" w:hAnsi="Times New Roman"/>
                <w:b w:val="false"/>
                <w:bCs w:val="false"/>
                <w:sz w:val="22"/>
                <w:szCs w:val="22"/>
              </w:rPr>
              <w:t xml:space="preserve">1,000</w:t>
            </w:r>
          </w:p>
        </w:tc>
        <w:tc>
          <w:tcPr>
            <w:tcW w:type="dxa" w:w="2200"/>
          </w:tcPr>
          <w:p>
            <w:pPr>
              <w:jc w:val="left"/>
            </w:pPr>
            <w:r>
              <w:rPr>
                <w:rFonts w:ascii="Times New Roman" w:cs="Times New Roman" w:eastAsia="Times New Roman" w:hAnsi="Times New Roman"/>
                <w:b w:val="false"/>
                <w:bCs w:val="false"/>
                <w:sz w:val="22"/>
                <w:szCs w:val="22"/>
              </w:rPr>
              <w:t xml:space="preserve">0,551</w:t>
            </w:r>
          </w:p>
        </w:tc>
        <w:tc>
          <w:tcPr>
            <w:tcW w:type="dxa" w:w="2200"/>
          </w:tcPr>
          <w:p>
            <w:pPr>
              <w:jc w:val="left"/>
            </w:pPr>
            <w:r>
              <w:rPr>
                <w:rFonts w:ascii="Times New Roman" w:cs="Times New Roman" w:eastAsia="Times New Roman" w:hAnsi="Times New Roman"/>
                <w:b w:val="false"/>
                <w:bCs w:val="false"/>
                <w:sz w:val="22"/>
                <w:szCs w:val="22"/>
              </w:rPr>
              <w:t xml:space="preserve">0,439</w:t>
            </w:r>
          </w:p>
        </w:tc>
        <w:tc>
          <w:tcPr>
            <w:tcW w:type="dxa" w:w="2200"/>
          </w:tcPr>
          <w:p>
            <w:pPr>
              <w:jc w:val="left"/>
            </w:pPr>
            <w:r>
              <w:rPr>
                <w:rFonts w:ascii="Times New Roman" w:cs="Times New Roman" w:eastAsia="Times New Roman" w:hAnsi="Times New Roman"/>
                <w:b w:val="false"/>
                <w:bCs w:val="false"/>
                <w:sz w:val="22"/>
                <w:szCs w:val="22"/>
              </w:rPr>
              <w:t xml:space="preserve">0,314</w:t>
            </w:r>
          </w:p>
        </w:tc>
      </w:tr>
      <w:tr>
        <w:tc>
          <w:tcPr>
            <w:tcW w:type="dxa" w:w="2400"/>
          </w:tcPr>
          <w:p>
            <w:pPr>
              <w:jc w:val="left"/>
            </w:pPr>
            <w:r>
              <w:rPr>
                <w:rFonts w:ascii="Times New Roman" w:cs="Times New Roman" w:eastAsia="Times New Roman" w:hAnsi="Times New Roman"/>
                <w:b w:val="false"/>
                <w:bCs w:val="false"/>
                <w:sz w:val="22"/>
                <w:szCs w:val="22"/>
              </w:rPr>
              <w:t xml:space="preserve">Commitment</w:t>
            </w:r>
          </w:p>
        </w:tc>
        <w:tc>
          <w:tcPr>
            <w:tcW w:type="dxa" w:w="2200"/>
          </w:tcPr>
          <w:p>
            <w:pPr>
              <w:jc w:val="left"/>
            </w:pPr>
            <w:r>
              <w:rPr>
                <w:rFonts w:ascii="Times New Roman" w:cs="Times New Roman" w:eastAsia="Times New Roman" w:hAnsi="Times New Roman"/>
                <w:b w:val="false"/>
                <w:bCs w:val="false"/>
                <w:sz w:val="22"/>
                <w:szCs w:val="22"/>
              </w:rPr>
              <w:t xml:space="preserve">0,551</w:t>
            </w:r>
          </w:p>
        </w:tc>
        <w:tc>
          <w:tcPr>
            <w:tcW w:type="dxa" w:w="2200"/>
          </w:tcPr>
          <w:p>
            <w:pPr>
              <w:jc w:val="left"/>
            </w:pPr>
            <w:r>
              <w:rPr>
                <w:rFonts w:ascii="Times New Roman" w:cs="Times New Roman" w:eastAsia="Times New Roman" w:hAnsi="Times New Roman"/>
                <w:b w:val="false"/>
                <w:bCs w:val="false"/>
                <w:sz w:val="22"/>
                <w:szCs w:val="22"/>
              </w:rPr>
              <w:t xml:space="preserve">1,000</w:t>
            </w:r>
          </w:p>
        </w:tc>
        <w:tc>
          <w:tcPr>
            <w:tcW w:type="dxa" w:w="2200"/>
          </w:tcPr>
          <w:p>
            <w:pPr>
              <w:jc w:val="left"/>
            </w:pPr>
            <w:r>
              <w:rPr>
                <w:rFonts w:ascii="Times New Roman" w:cs="Times New Roman" w:eastAsia="Times New Roman" w:hAnsi="Times New Roman"/>
                <w:b w:val="false"/>
                <w:bCs w:val="false"/>
                <w:sz w:val="22"/>
                <w:szCs w:val="22"/>
              </w:rPr>
              <w:t xml:space="preserve">0,451</w:t>
            </w:r>
          </w:p>
        </w:tc>
        <w:tc>
          <w:tcPr>
            <w:tcW w:type="dxa" w:w="2200"/>
          </w:tcPr>
          <w:p>
            <w:pPr>
              <w:jc w:val="left"/>
            </w:pPr>
            <w:r>
              <w:rPr>
                <w:rFonts w:ascii="Times New Roman" w:cs="Times New Roman" w:eastAsia="Times New Roman" w:hAnsi="Times New Roman"/>
                <w:b w:val="false"/>
                <w:bCs w:val="false"/>
                <w:sz w:val="22"/>
                <w:szCs w:val="22"/>
              </w:rPr>
              <w:t xml:space="preserve">0,033</w:t>
            </w:r>
          </w:p>
        </w:tc>
      </w:tr>
      <w:tr>
        <w:tc>
          <w:tcPr>
            <w:tcW w:type="dxa" w:w="2400"/>
          </w:tcPr>
          <w:p>
            <w:pPr>
              <w:jc w:val="left"/>
            </w:pPr>
            <w:r>
              <w:rPr>
                <w:rFonts w:ascii="Times New Roman" w:cs="Times New Roman" w:eastAsia="Times New Roman" w:hAnsi="Times New Roman"/>
                <w:b w:val="false"/>
                <w:bCs w:val="false"/>
                <w:sz w:val="22"/>
                <w:szCs w:val="22"/>
              </w:rPr>
              <w:t xml:space="preserve">Service_Quality</w:t>
            </w:r>
          </w:p>
        </w:tc>
        <w:tc>
          <w:tcPr>
            <w:tcW w:type="dxa" w:w="2200"/>
          </w:tcPr>
          <w:p>
            <w:pPr>
              <w:jc w:val="left"/>
            </w:pPr>
            <w:r>
              <w:rPr>
                <w:rFonts w:ascii="Times New Roman" w:cs="Times New Roman" w:eastAsia="Times New Roman" w:hAnsi="Times New Roman"/>
                <w:b w:val="false"/>
                <w:bCs w:val="false"/>
                <w:sz w:val="22"/>
                <w:szCs w:val="22"/>
              </w:rPr>
              <w:t xml:space="preserve">0,439</w:t>
            </w:r>
          </w:p>
        </w:tc>
        <w:tc>
          <w:tcPr>
            <w:tcW w:type="dxa" w:w="2200"/>
          </w:tcPr>
          <w:p>
            <w:pPr>
              <w:jc w:val="left"/>
            </w:pPr>
            <w:r>
              <w:rPr>
                <w:rFonts w:ascii="Times New Roman" w:cs="Times New Roman" w:eastAsia="Times New Roman" w:hAnsi="Times New Roman"/>
                <w:b w:val="false"/>
                <w:bCs w:val="false"/>
                <w:sz w:val="22"/>
                <w:szCs w:val="22"/>
              </w:rPr>
              <w:t xml:space="preserve">0,451</w:t>
            </w:r>
          </w:p>
        </w:tc>
        <w:tc>
          <w:tcPr>
            <w:tcW w:type="dxa" w:w="2200"/>
          </w:tcPr>
          <w:p>
            <w:pPr>
              <w:jc w:val="left"/>
            </w:pPr>
            <w:r>
              <w:rPr>
                <w:rFonts w:ascii="Times New Roman" w:cs="Times New Roman" w:eastAsia="Times New Roman" w:hAnsi="Times New Roman"/>
                <w:b w:val="false"/>
                <w:bCs w:val="false"/>
                <w:sz w:val="22"/>
                <w:szCs w:val="22"/>
              </w:rPr>
              <w:t xml:space="preserve">1,000</w:t>
            </w:r>
          </w:p>
        </w:tc>
        <w:tc>
          <w:tcPr>
            <w:tcW w:type="dxa" w:w="2200"/>
          </w:tcPr>
          <w:p>
            <w:pPr>
              <w:jc w:val="left"/>
            </w:pPr>
            <w:r>
              <w:rPr>
                <w:rFonts w:ascii="Times New Roman" w:cs="Times New Roman" w:eastAsia="Times New Roman" w:hAnsi="Times New Roman"/>
                <w:b w:val="false"/>
                <w:bCs w:val="false"/>
                <w:sz w:val="22"/>
                <w:szCs w:val="22"/>
              </w:rPr>
              <w:t xml:space="preserve">0,395</w:t>
            </w:r>
          </w:p>
        </w:tc>
      </w:tr>
      <w:tr>
        <w:tc>
          <w:tcPr>
            <w:tcW w:type="dxa" w:w="2400"/>
          </w:tcPr>
          <w:p>
            <w:pPr>
              <w:jc w:val="left"/>
            </w:pPr>
            <w:r>
              <w:rPr>
                <w:rFonts w:ascii="Times New Roman" w:cs="Times New Roman" w:eastAsia="Times New Roman" w:hAnsi="Times New Roman"/>
                <w:b w:val="false"/>
                <w:bCs w:val="false"/>
                <w:sz w:val="22"/>
                <w:szCs w:val="22"/>
              </w:rPr>
              <w:t xml:space="preserve">Lifestyle_Bundle</w:t>
            </w:r>
          </w:p>
        </w:tc>
        <w:tc>
          <w:tcPr>
            <w:tcW w:type="dxa" w:w="2200"/>
          </w:tcPr>
          <w:p>
            <w:pPr>
              <w:jc w:val="left"/>
            </w:pPr>
            <w:r>
              <w:rPr>
                <w:rFonts w:ascii="Times New Roman" w:cs="Times New Roman" w:eastAsia="Times New Roman" w:hAnsi="Times New Roman"/>
                <w:b w:val="false"/>
                <w:bCs w:val="false"/>
                <w:sz w:val="22"/>
                <w:szCs w:val="22"/>
              </w:rPr>
              <w:t xml:space="preserve">0,314</w:t>
            </w:r>
          </w:p>
        </w:tc>
        <w:tc>
          <w:tcPr>
            <w:tcW w:type="dxa" w:w="2200"/>
          </w:tcPr>
          <w:p>
            <w:pPr>
              <w:jc w:val="left"/>
            </w:pPr>
            <w:r>
              <w:rPr>
                <w:rFonts w:ascii="Times New Roman" w:cs="Times New Roman" w:eastAsia="Times New Roman" w:hAnsi="Times New Roman"/>
                <w:b w:val="false"/>
                <w:bCs w:val="false"/>
                <w:sz w:val="22"/>
                <w:szCs w:val="22"/>
              </w:rPr>
              <w:t xml:space="preserve">0,033</w:t>
            </w:r>
          </w:p>
        </w:tc>
        <w:tc>
          <w:tcPr>
            <w:tcW w:type="dxa" w:w="2200"/>
          </w:tcPr>
          <w:p>
            <w:pPr>
              <w:jc w:val="left"/>
            </w:pPr>
            <w:r>
              <w:rPr>
                <w:rFonts w:ascii="Times New Roman" w:cs="Times New Roman" w:eastAsia="Times New Roman" w:hAnsi="Times New Roman"/>
                <w:b w:val="false"/>
                <w:bCs w:val="false"/>
                <w:sz w:val="22"/>
                <w:szCs w:val="22"/>
              </w:rPr>
              <w:t xml:space="preserve">0,395</w:t>
            </w:r>
          </w:p>
        </w:tc>
        <w:tc>
          <w:tcPr>
            <w:tcW w:type="dxa" w:w="2200"/>
          </w:tcPr>
          <w:p>
            <w:pPr>
              <w:jc w:val="left"/>
            </w:pPr>
            <w:r>
              <w:rPr>
                <w:rFonts w:ascii="Times New Roman" w:cs="Times New Roman" w:eastAsia="Times New Roman" w:hAnsi="Times New Roman"/>
                <w:b w:val="false"/>
                <w:bCs w:val="false"/>
                <w:sz w:val="22"/>
                <w:szCs w:val="22"/>
              </w:rPr>
              <w:t xml:space="preserve">1,000</w:t>
            </w:r>
          </w:p>
        </w:tc>
      </w:tr>
    </w:tbl>
    <w:p>
      <w:pPr>
        <w:spacing w:after="16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Tương quan cao nhất được ghi nhận giữa Cost_Pressure và Commitment (r = 0,551), vượt ngưỡng 0,5 nên PCA được áp dụng theo quy trình ở Mục 3.5. Đáng chú ý, Commitment và Lifestyle_Bundle gần như độc lập (r = 0,033), cho thấy tồn tại ít nhất hai trục hành vi tương đối tách biệt trong dữ liệu.</w:t>
      </w:r>
    </w:p>
    <w:p>
      <w:pPr>
        <w:pStyle w:val="Heading2"/>
        <w:spacing w:after="120" w:before="240"/>
      </w:pPr>
      <w:r>
        <w:t xml:space="preserve">4.4. Kết quả trực giao hoá PCA</w:t>
      </w:r>
    </w:p>
    <w:p>
      <w:pPr>
        <w:spacing w:after="160"/>
      </w:pPr>
      <w:r>
        <w:rPr>
          <w:rFonts w:ascii="Times New Roman" w:cs="Times New Roman" w:eastAsia="Times New Roman" w:hAnsi="Times New Roman"/>
          <w:b/>
          <w:bCs/>
          <w:color w:val="C00000"/>
          <w:sz w:val="24"/>
          <w:szCs w:val="24"/>
        </w:rPr>
        <w:t xml:space="preserve">[CẦN BỔ SUNG] Xác nhận lại số thành phần chính (n_components) và % phương sai giải thích tích luỹ ở lần chạy cho ra 5 persona (dòng in ra: "PCA giữ N thành phần chính, giải thích X% phương sai"). Bảng loadings dưới đây lấy từ lần chạy trước - cần xác nhận không đổi (PCA fit trên theme_scores không phụ thuộc k phân cụm nên khả năng cao vẫn đúng, nhưng nên đối chiếu lại).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00"/>
      </w:tblGrid>
      <w:tr>
        <w:tc>
          <w:tcPr>
            <w:tcW w:type="dxa" w:w="2600"/>
            <w:shd w:fill="D9E2F3" w:val="clear"/>
          </w:tcPr>
          <w:p>
            <w:pPr>
              <w:jc w:val="left"/>
            </w:pPr>
            <w:r>
              <w:rPr>
                <w:rFonts w:ascii="Times New Roman" w:cs="Times New Roman" w:eastAsia="Times New Roman" w:hAnsi="Times New Roman"/>
                <w:b/>
                <w:bCs/>
                <w:sz w:val="22"/>
                <w:szCs w:val="22"/>
              </w:rPr>
              <w:t xml:space="preserve">Chủ đề</w:t>
            </w:r>
          </w:p>
        </w:tc>
        <w:tc>
          <w:tcPr>
            <w:tcW w:type="dxa" w:w="1600"/>
            <w:shd w:fill="D9E2F3" w:val="clear"/>
          </w:tcPr>
          <w:p>
            <w:pPr>
              <w:jc w:val="left"/>
            </w:pPr>
            <w:r>
              <w:rPr>
                <w:rFonts w:ascii="Times New Roman" w:cs="Times New Roman" w:eastAsia="Times New Roman" w:hAnsi="Times New Roman"/>
                <w:b/>
                <w:bCs/>
                <w:sz w:val="22"/>
                <w:szCs w:val="22"/>
              </w:rPr>
              <w:t xml:space="preserve">PC1</w:t>
            </w:r>
          </w:p>
        </w:tc>
        <w:tc>
          <w:tcPr>
            <w:tcW w:type="dxa" w:w="1600"/>
            <w:shd w:fill="D9E2F3" w:val="clear"/>
          </w:tcPr>
          <w:p>
            <w:pPr>
              <w:jc w:val="left"/>
            </w:pPr>
            <w:r>
              <w:rPr>
                <w:rFonts w:ascii="Times New Roman" w:cs="Times New Roman" w:eastAsia="Times New Roman" w:hAnsi="Times New Roman"/>
                <w:b/>
                <w:bCs/>
                <w:sz w:val="22"/>
                <w:szCs w:val="22"/>
              </w:rPr>
              <w:t xml:space="preserve">PC2</w:t>
            </w:r>
          </w:p>
        </w:tc>
        <w:tc>
          <w:tcPr>
            <w:tcW w:type="dxa" w:w="1600"/>
            <w:shd w:fill="D9E2F3" w:val="clear"/>
          </w:tcPr>
          <w:p>
            <w:pPr>
              <w:jc w:val="left"/>
            </w:pPr>
            <w:r>
              <w:rPr>
                <w:rFonts w:ascii="Times New Roman" w:cs="Times New Roman" w:eastAsia="Times New Roman" w:hAnsi="Times New Roman"/>
                <w:b/>
                <w:bCs/>
                <w:sz w:val="22"/>
                <w:szCs w:val="22"/>
              </w:rPr>
              <w:t xml:space="preserve">PC3</w:t>
            </w:r>
          </w:p>
        </w:tc>
        <w:tc>
          <w:tcPr>
            <w:tcW w:type="dxa" w:w="1600"/>
            <w:shd w:fill="D9E2F3" w:val="clear"/>
          </w:tcPr>
          <w:p>
            <w:pPr>
              <w:jc w:val="left"/>
            </w:pPr>
            <w:r>
              <w:rPr>
                <w:rFonts w:ascii="Times New Roman" w:cs="Times New Roman" w:eastAsia="Times New Roman" w:hAnsi="Times New Roman"/>
                <w:b/>
                <w:bCs/>
                <w:sz w:val="22"/>
                <w:szCs w:val="22"/>
              </w:rPr>
              <w:t xml:space="preserve">PC4</w:t>
            </w:r>
          </w:p>
        </w:tc>
      </w:tr>
      <w:tr>
        <w:tc>
          <w:tcPr>
            <w:tcW w:type="dxa" w:w="2600"/>
          </w:tcPr>
          <w:p>
            <w:pPr>
              <w:jc w:val="left"/>
            </w:pPr>
            <w:r>
              <w:rPr>
                <w:rFonts w:ascii="Times New Roman" w:cs="Times New Roman" w:eastAsia="Times New Roman" w:hAnsi="Times New Roman"/>
                <w:b w:val="false"/>
                <w:bCs w:val="false"/>
                <w:sz w:val="22"/>
                <w:szCs w:val="22"/>
              </w:rPr>
              <w:t xml:space="preserve">Cost_Pressure</w:t>
            </w:r>
          </w:p>
        </w:tc>
        <w:tc>
          <w:tcPr>
            <w:tcW w:type="dxa" w:w="1600"/>
          </w:tcPr>
          <w:p>
            <w:pPr>
              <w:jc w:val="left"/>
            </w:pPr>
            <w:r>
              <w:rPr>
                <w:rFonts w:ascii="Times New Roman" w:cs="Times New Roman" w:eastAsia="Times New Roman" w:hAnsi="Times New Roman"/>
                <w:b w:val="false"/>
                <w:bCs w:val="false"/>
                <w:sz w:val="22"/>
                <w:szCs w:val="22"/>
              </w:rPr>
              <w:t xml:space="preserve">0,5606</w:t>
            </w:r>
          </w:p>
        </w:tc>
        <w:tc>
          <w:tcPr>
            <w:tcW w:type="dxa" w:w="1600"/>
          </w:tcPr>
          <w:p>
            <w:pPr>
              <w:jc w:val="left"/>
            </w:pPr>
            <w:r>
              <w:rPr>
                <w:rFonts w:ascii="Times New Roman" w:cs="Times New Roman" w:eastAsia="Times New Roman" w:hAnsi="Times New Roman"/>
                <w:b w:val="false"/>
                <w:bCs w:val="false"/>
                <w:sz w:val="22"/>
                <w:szCs w:val="22"/>
              </w:rPr>
              <w:t xml:space="preserve">-0,1480</w:t>
            </w:r>
          </w:p>
        </w:tc>
        <w:tc>
          <w:tcPr>
            <w:tcW w:type="dxa" w:w="1600"/>
          </w:tcPr>
          <w:p>
            <w:pPr>
              <w:jc w:val="left"/>
            </w:pPr>
            <w:r>
              <w:rPr>
                <w:rFonts w:ascii="Times New Roman" w:cs="Times New Roman" w:eastAsia="Times New Roman" w:hAnsi="Times New Roman"/>
                <w:b w:val="false"/>
                <w:bCs w:val="false"/>
                <w:sz w:val="22"/>
                <w:szCs w:val="22"/>
              </w:rPr>
              <w:t xml:space="preserve">-0,6394</w:t>
            </w:r>
          </w:p>
        </w:tc>
        <w:tc>
          <w:tcPr>
            <w:tcW w:type="dxa" w:w="1600"/>
          </w:tcPr>
          <w:p>
            <w:pPr>
              <w:jc w:val="left"/>
            </w:pPr>
            <w:r>
              <w:rPr>
                <w:rFonts w:ascii="Times New Roman" w:cs="Times New Roman" w:eastAsia="Times New Roman" w:hAnsi="Times New Roman"/>
                <w:b w:val="false"/>
                <w:bCs w:val="false"/>
                <w:sz w:val="22"/>
                <w:szCs w:val="22"/>
              </w:rPr>
              <w:t xml:space="preserve">-0,5049</w:t>
            </w:r>
          </w:p>
        </w:tc>
      </w:tr>
      <w:tr>
        <w:tc>
          <w:tcPr>
            <w:tcW w:type="dxa" w:w="2600"/>
          </w:tcPr>
          <w:p>
            <w:pPr>
              <w:jc w:val="left"/>
            </w:pPr>
            <w:r>
              <w:rPr>
                <w:rFonts w:ascii="Times New Roman" w:cs="Times New Roman" w:eastAsia="Times New Roman" w:hAnsi="Times New Roman"/>
                <w:b w:val="false"/>
                <w:bCs w:val="false"/>
                <w:sz w:val="22"/>
                <w:szCs w:val="22"/>
              </w:rPr>
              <w:t xml:space="preserve">Commitment</w:t>
            </w:r>
          </w:p>
        </w:tc>
        <w:tc>
          <w:tcPr>
            <w:tcW w:type="dxa" w:w="1600"/>
          </w:tcPr>
          <w:p>
            <w:pPr>
              <w:jc w:val="left"/>
            </w:pPr>
            <w:r>
              <w:rPr>
                <w:rFonts w:ascii="Times New Roman" w:cs="Times New Roman" w:eastAsia="Times New Roman" w:hAnsi="Times New Roman"/>
                <w:b w:val="false"/>
                <w:bCs w:val="false"/>
                <w:sz w:val="22"/>
                <w:szCs w:val="22"/>
              </w:rPr>
              <w:t xml:space="preserve">0,5040</w:t>
            </w:r>
          </w:p>
        </w:tc>
        <w:tc>
          <w:tcPr>
            <w:tcW w:type="dxa" w:w="1600"/>
          </w:tcPr>
          <w:p>
            <w:pPr>
              <w:jc w:val="left"/>
            </w:pPr>
            <w:r>
              <w:rPr>
                <w:rFonts w:ascii="Times New Roman" w:cs="Times New Roman" w:eastAsia="Times New Roman" w:hAnsi="Times New Roman"/>
                <w:b w:val="false"/>
                <w:bCs w:val="false"/>
                <w:sz w:val="22"/>
                <w:szCs w:val="22"/>
              </w:rPr>
              <w:t xml:space="preserve">-0,5628</w:t>
            </w:r>
          </w:p>
        </w:tc>
        <w:tc>
          <w:tcPr>
            <w:tcW w:type="dxa" w:w="1600"/>
          </w:tcPr>
          <w:p>
            <w:pPr>
              <w:jc w:val="left"/>
            </w:pPr>
            <w:r>
              <w:rPr>
                <w:rFonts w:ascii="Times New Roman" w:cs="Times New Roman" w:eastAsia="Times New Roman" w:hAnsi="Times New Roman"/>
                <w:b w:val="false"/>
                <w:bCs w:val="false"/>
                <w:sz w:val="22"/>
                <w:szCs w:val="22"/>
              </w:rPr>
              <w:t xml:space="preserve">0,0567</w:t>
            </w:r>
          </w:p>
        </w:tc>
        <w:tc>
          <w:tcPr>
            <w:tcW w:type="dxa" w:w="1600"/>
          </w:tcPr>
          <w:p>
            <w:pPr>
              <w:jc w:val="left"/>
            </w:pPr>
            <w:r>
              <w:rPr>
                <w:rFonts w:ascii="Times New Roman" w:cs="Times New Roman" w:eastAsia="Times New Roman" w:hAnsi="Times New Roman"/>
                <w:b w:val="false"/>
                <w:bCs w:val="false"/>
                <w:sz w:val="22"/>
                <w:szCs w:val="22"/>
              </w:rPr>
              <w:t xml:space="preserve">0,6527</w:t>
            </w:r>
          </w:p>
        </w:tc>
      </w:tr>
      <w:tr>
        <w:tc>
          <w:tcPr>
            <w:tcW w:type="dxa" w:w="2600"/>
          </w:tcPr>
          <w:p>
            <w:pPr>
              <w:jc w:val="left"/>
            </w:pPr>
            <w:r>
              <w:rPr>
                <w:rFonts w:ascii="Times New Roman" w:cs="Times New Roman" w:eastAsia="Times New Roman" w:hAnsi="Times New Roman"/>
                <w:b w:val="false"/>
                <w:bCs w:val="false"/>
                <w:sz w:val="22"/>
                <w:szCs w:val="22"/>
              </w:rPr>
              <w:t xml:space="preserve">Service_Quality</w:t>
            </w:r>
          </w:p>
        </w:tc>
        <w:tc>
          <w:tcPr>
            <w:tcW w:type="dxa" w:w="1600"/>
          </w:tcPr>
          <w:p>
            <w:pPr>
              <w:jc w:val="left"/>
            </w:pPr>
            <w:r>
              <w:rPr>
                <w:rFonts w:ascii="Times New Roman" w:cs="Times New Roman" w:eastAsia="Times New Roman" w:hAnsi="Times New Roman"/>
                <w:b w:val="false"/>
                <w:bCs w:val="false"/>
                <w:sz w:val="22"/>
                <w:szCs w:val="22"/>
              </w:rPr>
              <w:t xml:space="preserve">0,5475</w:t>
            </w:r>
          </w:p>
        </w:tc>
        <w:tc>
          <w:tcPr>
            <w:tcW w:type="dxa" w:w="1600"/>
          </w:tcPr>
          <w:p>
            <w:pPr>
              <w:jc w:val="left"/>
            </w:pPr>
            <w:r>
              <w:rPr>
                <w:rFonts w:ascii="Times New Roman" w:cs="Times New Roman" w:eastAsia="Times New Roman" w:hAnsi="Times New Roman"/>
                <w:b w:val="false"/>
                <w:bCs w:val="false"/>
                <w:sz w:val="22"/>
                <w:szCs w:val="22"/>
              </w:rPr>
              <w:t xml:space="preserve">0,1380</w:t>
            </w:r>
          </w:p>
        </w:tc>
        <w:tc>
          <w:tcPr>
            <w:tcW w:type="dxa" w:w="1600"/>
          </w:tcPr>
          <w:p>
            <w:pPr>
              <w:jc w:val="left"/>
            </w:pPr>
            <w:r>
              <w:rPr>
                <w:rFonts w:ascii="Times New Roman" w:cs="Times New Roman" w:eastAsia="Times New Roman" w:hAnsi="Times New Roman"/>
                <w:b w:val="false"/>
                <w:bCs w:val="false"/>
                <w:sz w:val="22"/>
                <w:szCs w:val="22"/>
              </w:rPr>
              <w:t xml:space="preserve">0,7388</w:t>
            </w:r>
          </w:p>
        </w:tc>
        <w:tc>
          <w:tcPr>
            <w:tcW w:type="dxa" w:w="1600"/>
          </w:tcPr>
          <w:p>
            <w:pPr>
              <w:jc w:val="left"/>
            </w:pPr>
            <w:r>
              <w:rPr>
                <w:rFonts w:ascii="Times New Roman" w:cs="Times New Roman" w:eastAsia="Times New Roman" w:hAnsi="Times New Roman"/>
                <w:b w:val="false"/>
                <w:bCs w:val="false"/>
                <w:sz w:val="22"/>
                <w:szCs w:val="22"/>
              </w:rPr>
              <w:t xml:space="preserve">-0,3680</w:t>
            </w:r>
          </w:p>
        </w:tc>
      </w:tr>
      <w:tr>
        <w:tc>
          <w:tcPr>
            <w:tcW w:type="dxa" w:w="2600"/>
          </w:tcPr>
          <w:p>
            <w:pPr>
              <w:jc w:val="left"/>
            </w:pPr>
            <w:r>
              <w:rPr>
                <w:rFonts w:ascii="Times New Roman" w:cs="Times New Roman" w:eastAsia="Times New Roman" w:hAnsi="Times New Roman"/>
                <w:b w:val="false"/>
                <w:bCs w:val="false"/>
                <w:sz w:val="22"/>
                <w:szCs w:val="22"/>
              </w:rPr>
              <w:t xml:space="preserve">Lifestyle_Bundle</w:t>
            </w:r>
          </w:p>
        </w:tc>
        <w:tc>
          <w:tcPr>
            <w:tcW w:type="dxa" w:w="1600"/>
          </w:tcPr>
          <w:p>
            <w:pPr>
              <w:jc w:val="left"/>
            </w:pPr>
            <w:r>
              <w:rPr>
                <w:rFonts w:ascii="Times New Roman" w:cs="Times New Roman" w:eastAsia="Times New Roman" w:hAnsi="Times New Roman"/>
                <w:b w:val="false"/>
                <w:bCs w:val="false"/>
                <w:sz w:val="22"/>
                <w:szCs w:val="22"/>
              </w:rPr>
              <w:t xml:space="preserve">0,3632</w:t>
            </w:r>
          </w:p>
        </w:tc>
        <w:tc>
          <w:tcPr>
            <w:tcW w:type="dxa" w:w="1600"/>
          </w:tcPr>
          <w:p>
            <w:pPr>
              <w:jc w:val="left"/>
            </w:pPr>
            <w:r>
              <w:rPr>
                <w:rFonts w:ascii="Times New Roman" w:cs="Times New Roman" w:eastAsia="Times New Roman" w:hAnsi="Times New Roman"/>
                <w:b w:val="false"/>
                <w:bCs w:val="false"/>
                <w:sz w:val="22"/>
                <w:szCs w:val="22"/>
              </w:rPr>
              <w:t xml:space="preserve">0,8014</w:t>
            </w:r>
          </w:p>
        </w:tc>
        <w:tc>
          <w:tcPr>
            <w:tcW w:type="dxa" w:w="1600"/>
          </w:tcPr>
          <w:p>
            <w:pPr>
              <w:jc w:val="left"/>
            </w:pPr>
            <w:r>
              <w:rPr>
                <w:rFonts w:ascii="Times New Roman" w:cs="Times New Roman" w:eastAsia="Times New Roman" w:hAnsi="Times New Roman"/>
                <w:b w:val="false"/>
                <w:bCs w:val="false"/>
                <w:sz w:val="22"/>
                <w:szCs w:val="22"/>
              </w:rPr>
              <w:t xml:space="preserve">-0,2054</w:t>
            </w:r>
          </w:p>
        </w:tc>
        <w:tc>
          <w:tcPr>
            <w:tcW w:type="dxa" w:w="1600"/>
          </w:tcPr>
          <w:p>
            <w:pPr>
              <w:jc w:val="left"/>
            </w:pPr>
            <w:r>
              <w:rPr>
                <w:rFonts w:ascii="Times New Roman" w:cs="Times New Roman" w:eastAsia="Times New Roman" w:hAnsi="Times New Roman"/>
                <w:b w:val="false"/>
                <w:bCs w:val="false"/>
                <w:sz w:val="22"/>
                <w:szCs w:val="22"/>
              </w:rPr>
              <w:t xml:space="preserve">0,4285</w:t>
            </w:r>
          </w:p>
        </w:tc>
      </w:tr>
    </w:tbl>
    <w:p>
      <w:pPr>
        <w:spacing w:after="16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PC1 tổng hợp cả bốn chủ đề với hệ số tương đối đồng đều (0,36 - 0,56), phản ánh một trục "mức độ rủi ro tổng thể". PC2 tách biệt rõ Lifestyle_Bundle (hệ số +0,80) khỏi Commitment (hệ số -0,56), thể hiện một trục hành vi độc lập giữa nhóm khách hàng nhạy cảm dịch vụ giải trí và nhóm khách hàng nhạy cảm cam kết hợp đồng - đây chính là cơ sở giúp phân cụm trên không gian PCA tạo ra persona đa dạng hơn phân cụm trực tiếp trên điểm số chủ đề thô.</w:t>
      </w:r>
    </w:p>
    <w:p>
      <w:pPr>
        <w:pStyle w:val="Heading2"/>
        <w:spacing w:after="120" w:before="240"/>
      </w:pPr>
      <w:r>
        <w:t xml:space="preserve">4.5. Kết quả Ablation Study: so sánh ba không gian phân cụm</w:t>
      </w:r>
    </w:p>
    <w:p>
      <w:pPr>
        <w:spacing w:after="160"/>
      </w:pPr>
      <w:r>
        <w:rPr>
          <w:rFonts w:ascii="Times New Roman" w:cs="Times New Roman" w:eastAsia="Times New Roman" w:hAnsi="Times New Roman"/>
          <w:b/>
          <w:bCs/>
          <w:color w:val="C00000"/>
          <w:sz w:val="24"/>
          <w:szCs w:val="24"/>
        </w:rPr>
        <w:t xml:space="preserve">[CẦN BỔ SUNG] Dán bảng ablation_raw_vs_shap.csv (mới nhất, sau khi đã sửa lỗi dùng cluster_space thay vì theme_scores thô) vào đây, gồm đủ Silhouette và Davies-Bouldin cho k=2..5 của cả 3 không gian. Sau đó viết 1 đoạn diễn giải: không gian nào có Silhouette tốt nhất, mức cải thiện (%) so với raw_feature, và k tối ưu của từng không gian.</w:t>
      </w:r>
    </w:p>
    <w:p>
      <w:pPr>
        <w:pStyle w:val="Heading2"/>
        <w:spacing w:after="120" w:before="240"/>
      </w:pPr>
      <w:r>
        <w:t xml:space="preserve">4.6. Kết quả phân cụm và đặt tên persona</w:t>
      </w:r>
    </w:p>
    <w:p>
      <w:pPr>
        <w:spacing w:after="160" w:line="360"/>
        <w:jc w:val="both"/>
      </w:pPr>
      <w:r>
        <w:rPr>
          <w:rFonts w:ascii="Times New Roman" w:cs="Times New Roman" w:eastAsia="Times New Roman" w:hAnsi="Times New Roman"/>
          <w:sz w:val="24"/>
          <w:szCs w:val="24"/>
        </w:rPr>
        <w:t xml:space="preserve">Không gian shap_theme (đã trực giao hoá bằng PCA) được chọn làm không gian phân cụm chính thức. Kết quả cho ra 5 persona, mỗi persona được gán nhãn theo chủ đề có Cohen's d (độ lệch chuẩn hoá so với phân phối toàn cục) lớn nhất, thể hiện trong Bảng dưới: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200"/>
        <w:gridCol w:w="2200"/>
        <w:gridCol w:w="1200"/>
        <w:gridCol w:w="1200"/>
      </w:tblGrid>
      <w:tr>
        <w:tc>
          <w:tcPr>
            <w:tcW w:type="dxa" w:w="1200"/>
            <w:shd w:fill="D9E2F3" w:val="clear"/>
          </w:tcPr>
          <w:p>
            <w:pPr>
              <w:jc w:val="left"/>
            </w:pPr>
            <w:r>
              <w:rPr>
                <w:rFonts w:ascii="Times New Roman" w:cs="Times New Roman" w:eastAsia="Times New Roman" w:hAnsi="Times New Roman"/>
                <w:b/>
                <w:bCs/>
                <w:sz w:val="22"/>
                <w:szCs w:val="22"/>
              </w:rPr>
              <w:t xml:space="preserve">Persona</w:t>
            </w:r>
          </w:p>
        </w:tc>
        <w:tc>
          <w:tcPr>
            <w:tcW w:type="dxa" w:w="1000"/>
            <w:shd w:fill="D9E2F3" w:val="clear"/>
          </w:tcPr>
          <w:p>
            <w:pPr>
              <w:jc w:val="left"/>
            </w:pPr>
            <w:r>
              <w:rPr>
                <w:rFonts w:ascii="Times New Roman" w:cs="Times New Roman" w:eastAsia="Times New Roman" w:hAnsi="Times New Roman"/>
                <w:b/>
                <w:bCs/>
                <w:sz w:val="22"/>
                <w:szCs w:val="22"/>
              </w:rPr>
              <w:t xml:space="preserve">Số KH</w:t>
            </w:r>
          </w:p>
        </w:tc>
        <w:tc>
          <w:tcPr>
            <w:tcW w:type="dxa" w:w="2200"/>
            <w:shd w:fill="D9E2F3" w:val="clear"/>
          </w:tcPr>
          <w:p>
            <w:pPr>
              <w:jc w:val="left"/>
            </w:pPr>
            <w:r>
              <w:rPr>
                <w:rFonts w:ascii="Times New Roman" w:cs="Times New Roman" w:eastAsia="Times New Roman" w:hAnsi="Times New Roman"/>
                <w:b/>
                <w:bCs/>
                <w:sz w:val="22"/>
                <w:szCs w:val="22"/>
              </w:rPr>
              <w:t xml:space="preserve">Chủ đề chi phối</w:t>
            </w:r>
          </w:p>
        </w:tc>
        <w:tc>
          <w:tcPr>
            <w:tcW w:type="dxa" w:w="2200"/>
            <w:shd w:fill="D9E2F3" w:val="clear"/>
          </w:tcPr>
          <w:p>
            <w:pPr>
              <w:jc w:val="left"/>
            </w:pPr>
            <w:r>
              <w:rPr>
                <w:rFonts w:ascii="Times New Roman" w:cs="Times New Roman" w:eastAsia="Times New Roman" w:hAnsi="Times New Roman"/>
                <w:b/>
                <w:bCs/>
                <w:sz w:val="22"/>
                <w:szCs w:val="22"/>
              </w:rPr>
              <w:t xml:space="preserve">Đặc trưng nổi bật</w:t>
            </w:r>
          </w:p>
        </w:tc>
        <w:tc>
          <w:tcPr>
            <w:tcW w:type="dxa" w:w="1200"/>
            <w:shd w:fill="D9E2F3" w:val="clear"/>
          </w:tcPr>
          <w:p>
            <w:pPr>
              <w:jc w:val="left"/>
            </w:pPr>
            <w:r>
              <w:rPr>
                <w:rFonts w:ascii="Times New Roman" w:cs="Times New Roman" w:eastAsia="Times New Roman" w:hAnsi="Times New Roman"/>
                <w:b/>
                <w:bCs/>
                <w:sz w:val="22"/>
                <w:szCs w:val="22"/>
              </w:rPr>
              <w:t xml:space="preserve">Cohen's d</w:t>
            </w:r>
          </w:p>
        </w:tc>
        <w:tc>
          <w:tcPr>
            <w:tcW w:type="dxa" w:w="1200"/>
            <w:shd w:fill="D9E2F3" w:val="clear"/>
          </w:tcPr>
          <w:p>
            <w:pPr>
              <w:jc w:val="left"/>
            </w:pPr>
            <w:r>
              <w:rPr>
                <w:rFonts w:ascii="Times New Roman" w:cs="Times New Roman" w:eastAsia="Times New Roman" w:hAnsi="Times New Roman"/>
                <w:b/>
                <w:bCs/>
                <w:sz w:val="22"/>
                <w:szCs w:val="22"/>
              </w:rPr>
              <w:t xml:space="preserve">Mức độ</w:t>
            </w:r>
          </w:p>
        </w:tc>
      </w:tr>
      <w:tr>
        <w:tc>
          <w:tcPr>
            <w:tcW w:type="dxa" w:w="1200"/>
          </w:tcPr>
          <w:p>
            <w:pPr>
              <w:jc w:val="left"/>
            </w:pPr>
            <w:r>
              <w:rPr>
                <w:rFonts w:ascii="Times New Roman" w:cs="Times New Roman" w:eastAsia="Times New Roman" w:hAnsi="Times New Roman"/>
                <w:b w:val="false"/>
                <w:bCs w:val="false"/>
                <w:sz w:val="22"/>
                <w:szCs w:val="22"/>
              </w:rPr>
              <w:t xml:space="preserve">0</w:t>
            </w:r>
          </w:p>
        </w:tc>
        <w:tc>
          <w:tcPr>
            <w:tcW w:type="dxa" w:w="1000"/>
          </w:tcPr>
          <w:p>
            <w:pPr>
              <w:jc w:val="left"/>
            </w:pPr>
            <w:r>
              <w:rPr>
                <w:rFonts w:ascii="Times New Roman" w:cs="Times New Roman" w:eastAsia="Times New Roman" w:hAnsi="Times New Roman"/>
                <w:b w:val="false"/>
                <w:bCs w:val="false"/>
                <w:sz w:val="22"/>
                <w:szCs w:val="22"/>
              </w:rPr>
              <w:t xml:space="preserve">230</w:t>
            </w:r>
          </w:p>
        </w:tc>
        <w:tc>
          <w:tcPr>
            <w:tcW w:type="dxa" w:w="2200"/>
          </w:tcPr>
          <w:p>
            <w:pPr>
              <w:jc w:val="left"/>
            </w:pPr>
            <w:r>
              <w:rPr>
                <w:rFonts w:ascii="Times New Roman" w:cs="Times New Roman" w:eastAsia="Times New Roman" w:hAnsi="Times New Roman"/>
                <w:b w:val="false"/>
                <w:bCs w:val="false"/>
                <w:sz w:val="22"/>
                <w:szCs w:val="22"/>
              </w:rPr>
              <w:t xml:space="preserve">Service_Quality</w:t>
            </w:r>
          </w:p>
        </w:tc>
        <w:tc>
          <w:tcPr>
            <w:tcW w:type="dxa" w:w="2200"/>
          </w:tcPr>
          <w:p>
            <w:pPr>
              <w:jc w:val="left"/>
            </w:pPr>
            <w:r>
              <w:rPr>
                <w:rFonts w:ascii="Times New Roman" w:cs="Times New Roman" w:eastAsia="Times New Roman" w:hAnsi="Times New Roman"/>
                <w:b w:val="false"/>
                <w:bCs w:val="false"/>
                <w:sz w:val="22"/>
                <w:szCs w:val="22"/>
              </w:rPr>
              <w:t xml:space="preserve">OnlineSecurity</w:t>
            </w:r>
          </w:p>
        </w:tc>
        <w:tc>
          <w:tcPr>
            <w:tcW w:type="dxa" w:w="1200"/>
          </w:tcPr>
          <w:p>
            <w:pPr>
              <w:jc w:val="left"/>
            </w:pPr>
            <w:r>
              <w:rPr>
                <w:rFonts w:ascii="Times New Roman" w:cs="Times New Roman" w:eastAsia="Times New Roman" w:hAnsi="Times New Roman"/>
                <w:b w:val="false"/>
                <w:bCs w:val="false"/>
                <w:sz w:val="22"/>
                <w:szCs w:val="22"/>
              </w:rPr>
              <w:t xml:space="preserve">-0,98</w:t>
            </w:r>
          </w:p>
        </w:tc>
        <w:tc>
          <w:tcPr>
            <w:tcW w:type="dxa" w:w="1200"/>
          </w:tcPr>
          <w:p>
            <w:pPr>
              <w:jc w:val="left"/>
            </w:pPr>
            <w:r>
              <w:rPr>
                <w:rFonts w:ascii="Times New Roman" w:cs="Times New Roman" w:eastAsia="Times New Roman" w:hAnsi="Times New Roman"/>
                <w:b w:val="false"/>
                <w:bCs w:val="false"/>
                <w:sz w:val="22"/>
                <w:szCs w:val="22"/>
              </w:rPr>
              <w:t xml:space="preserve">Lớn</w:t>
            </w:r>
          </w:p>
        </w:tc>
      </w:tr>
      <w:tr>
        <w:tc>
          <w:tcPr>
            <w:tcW w:type="dxa" w:w="1200"/>
          </w:tcPr>
          <w:p>
            <w:pPr>
              <w:jc w:val="left"/>
            </w:pPr>
            <w:r>
              <w:rPr>
                <w:rFonts w:ascii="Times New Roman" w:cs="Times New Roman" w:eastAsia="Times New Roman" w:hAnsi="Times New Roman"/>
                <w:b w:val="false"/>
                <w:bCs w:val="false"/>
                <w:sz w:val="22"/>
                <w:szCs w:val="22"/>
              </w:rPr>
              <w:t xml:space="preserve">1</w:t>
            </w:r>
          </w:p>
        </w:tc>
        <w:tc>
          <w:tcPr>
            <w:tcW w:type="dxa" w:w="1000"/>
          </w:tcPr>
          <w:p>
            <w:pPr>
              <w:jc w:val="left"/>
            </w:pPr>
            <w:r>
              <w:rPr>
                <w:rFonts w:ascii="Times New Roman" w:cs="Times New Roman" w:eastAsia="Times New Roman" w:hAnsi="Times New Roman"/>
                <w:b w:val="false"/>
                <w:bCs w:val="false"/>
                <w:sz w:val="22"/>
                <w:szCs w:val="22"/>
              </w:rPr>
              <w:t xml:space="preserve">582</w:t>
            </w:r>
          </w:p>
        </w:tc>
        <w:tc>
          <w:tcPr>
            <w:tcW w:type="dxa" w:w="2200"/>
          </w:tcPr>
          <w:p>
            <w:pPr>
              <w:jc w:val="left"/>
            </w:pPr>
            <w:r>
              <w:rPr>
                <w:rFonts w:ascii="Times New Roman" w:cs="Times New Roman" w:eastAsia="Times New Roman" w:hAnsi="Times New Roman"/>
                <w:b w:val="false"/>
                <w:bCs w:val="false"/>
                <w:sz w:val="22"/>
                <w:szCs w:val="22"/>
              </w:rPr>
              <w:t xml:space="preserve">Commitment</w:t>
            </w:r>
          </w:p>
        </w:tc>
        <w:tc>
          <w:tcPr>
            <w:tcW w:type="dxa" w:w="2200"/>
          </w:tcPr>
          <w:p>
            <w:pPr>
              <w:jc w:val="left"/>
            </w:pPr>
            <w:r>
              <w:rPr>
                <w:rFonts w:ascii="Times New Roman" w:cs="Times New Roman" w:eastAsia="Times New Roman" w:hAnsi="Times New Roman"/>
                <w:b w:val="false"/>
                <w:bCs w:val="false"/>
                <w:sz w:val="22"/>
                <w:szCs w:val="22"/>
              </w:rPr>
              <w:t xml:space="preserve">Contract</w:t>
            </w:r>
          </w:p>
        </w:tc>
        <w:tc>
          <w:tcPr>
            <w:tcW w:type="dxa" w:w="1200"/>
          </w:tcPr>
          <w:p>
            <w:pPr>
              <w:jc w:val="left"/>
            </w:pPr>
            <w:r>
              <w:rPr>
                <w:rFonts w:ascii="Times New Roman" w:cs="Times New Roman" w:eastAsia="Times New Roman" w:hAnsi="Times New Roman"/>
                <w:b w:val="false"/>
                <w:bCs w:val="false"/>
                <w:sz w:val="22"/>
                <w:szCs w:val="22"/>
              </w:rPr>
              <w:t xml:space="preserve">-0,99</w:t>
            </w:r>
          </w:p>
        </w:tc>
        <w:tc>
          <w:tcPr>
            <w:tcW w:type="dxa" w:w="1200"/>
          </w:tcPr>
          <w:p>
            <w:pPr>
              <w:jc w:val="left"/>
            </w:pPr>
            <w:r>
              <w:rPr>
                <w:rFonts w:ascii="Times New Roman" w:cs="Times New Roman" w:eastAsia="Times New Roman" w:hAnsi="Times New Roman"/>
                <w:b w:val="false"/>
                <w:bCs w:val="false"/>
                <w:sz w:val="22"/>
                <w:szCs w:val="22"/>
              </w:rPr>
              <w:t xml:space="preserve">Lớn</w:t>
            </w:r>
          </w:p>
        </w:tc>
      </w:tr>
      <w:tr>
        <w:tc>
          <w:tcPr>
            <w:tcW w:type="dxa" w:w="1200"/>
          </w:tcPr>
          <w:p>
            <w:pPr>
              <w:jc w:val="left"/>
            </w:pPr>
            <w:r>
              <w:rPr>
                <w:rFonts w:ascii="Times New Roman" w:cs="Times New Roman" w:eastAsia="Times New Roman" w:hAnsi="Times New Roman"/>
                <w:b w:val="false"/>
                <w:bCs w:val="false"/>
                <w:sz w:val="22"/>
                <w:szCs w:val="22"/>
              </w:rPr>
              <w:t xml:space="preserve">2</w:t>
            </w:r>
          </w:p>
        </w:tc>
        <w:tc>
          <w:tcPr>
            <w:tcW w:type="dxa" w:w="1000"/>
          </w:tcPr>
          <w:p>
            <w:pPr>
              <w:jc w:val="left"/>
            </w:pPr>
            <w:r>
              <w:rPr>
                <w:rFonts w:ascii="Times New Roman" w:cs="Times New Roman" w:eastAsia="Times New Roman" w:hAnsi="Times New Roman"/>
                <w:b w:val="false"/>
                <w:bCs w:val="false"/>
                <w:sz w:val="22"/>
                <w:szCs w:val="22"/>
              </w:rPr>
              <w:t xml:space="preserve">237</w:t>
            </w:r>
          </w:p>
        </w:tc>
        <w:tc>
          <w:tcPr>
            <w:tcW w:type="dxa" w:w="2200"/>
          </w:tcPr>
          <w:p>
            <w:pPr>
              <w:jc w:val="left"/>
            </w:pPr>
            <w:r>
              <w:rPr>
                <w:rFonts w:ascii="Times New Roman" w:cs="Times New Roman" w:eastAsia="Times New Roman" w:hAnsi="Times New Roman"/>
                <w:b w:val="false"/>
                <w:bCs w:val="false"/>
                <w:sz w:val="22"/>
                <w:szCs w:val="22"/>
              </w:rPr>
              <w:t xml:space="preserve">Service_Quality</w:t>
            </w:r>
          </w:p>
        </w:tc>
        <w:tc>
          <w:tcPr>
            <w:tcW w:type="dxa" w:w="2200"/>
          </w:tcPr>
          <w:p>
            <w:pPr>
              <w:jc w:val="left"/>
            </w:pPr>
            <w:r>
              <w:rPr>
                <w:rFonts w:ascii="Times New Roman" w:cs="Times New Roman" w:eastAsia="Times New Roman" w:hAnsi="Times New Roman"/>
                <w:b w:val="false"/>
                <w:bCs w:val="false"/>
                <w:sz w:val="22"/>
                <w:szCs w:val="22"/>
              </w:rPr>
              <w:t xml:space="preserve">InternetService</w:t>
            </w:r>
          </w:p>
        </w:tc>
        <w:tc>
          <w:tcPr>
            <w:tcW w:type="dxa" w:w="1200"/>
          </w:tcPr>
          <w:p>
            <w:pPr>
              <w:jc w:val="left"/>
            </w:pPr>
            <w:r>
              <w:rPr>
                <w:rFonts w:ascii="Times New Roman" w:cs="Times New Roman" w:eastAsia="Times New Roman" w:hAnsi="Times New Roman"/>
                <w:b w:val="false"/>
                <w:bCs w:val="false"/>
                <w:sz w:val="22"/>
                <w:szCs w:val="22"/>
              </w:rPr>
              <w:t xml:space="preserve">0,83</w:t>
            </w:r>
          </w:p>
        </w:tc>
        <w:tc>
          <w:tcPr>
            <w:tcW w:type="dxa" w:w="1200"/>
          </w:tcPr>
          <w:p>
            <w:pPr>
              <w:jc w:val="left"/>
            </w:pPr>
            <w:r>
              <w:rPr>
                <w:rFonts w:ascii="Times New Roman" w:cs="Times New Roman" w:eastAsia="Times New Roman" w:hAnsi="Times New Roman"/>
                <w:b w:val="false"/>
                <w:bCs w:val="false"/>
                <w:sz w:val="22"/>
                <w:szCs w:val="22"/>
              </w:rPr>
              <w:t xml:space="preserve">Lớn</w:t>
            </w:r>
          </w:p>
        </w:tc>
      </w:tr>
      <w:tr>
        <w:tc>
          <w:tcPr>
            <w:tcW w:type="dxa" w:w="1200"/>
          </w:tcPr>
          <w:p>
            <w:pPr>
              <w:jc w:val="left"/>
            </w:pPr>
            <w:r>
              <w:rPr>
                <w:rFonts w:ascii="Times New Roman" w:cs="Times New Roman" w:eastAsia="Times New Roman" w:hAnsi="Times New Roman"/>
                <w:b w:val="false"/>
                <w:bCs w:val="false"/>
                <w:sz w:val="22"/>
                <w:szCs w:val="22"/>
              </w:rPr>
              <w:t xml:space="preserve">3</w:t>
            </w:r>
          </w:p>
        </w:tc>
        <w:tc>
          <w:tcPr>
            <w:tcW w:type="dxa" w:w="1000"/>
          </w:tcPr>
          <w:p>
            <w:pPr>
              <w:jc w:val="left"/>
            </w:pPr>
            <w:r>
              <w:rPr>
                <w:rFonts w:ascii="Times New Roman" w:cs="Times New Roman" w:eastAsia="Times New Roman" w:hAnsi="Times New Roman"/>
                <w:b w:val="false"/>
                <w:bCs w:val="false"/>
                <w:sz w:val="22"/>
                <w:szCs w:val="22"/>
              </w:rPr>
              <w:t xml:space="preserve">225</w:t>
            </w:r>
          </w:p>
        </w:tc>
        <w:tc>
          <w:tcPr>
            <w:tcW w:type="dxa" w:w="2200"/>
          </w:tcPr>
          <w:p>
            <w:pPr>
              <w:jc w:val="left"/>
            </w:pPr>
            <w:r>
              <w:rPr>
                <w:rFonts w:ascii="Times New Roman" w:cs="Times New Roman" w:eastAsia="Times New Roman" w:hAnsi="Times New Roman"/>
                <w:b w:val="false"/>
                <w:bCs w:val="false"/>
                <w:sz w:val="22"/>
                <w:szCs w:val="22"/>
              </w:rPr>
              <w:t xml:space="preserve">Lifestyle_Bundle</w:t>
            </w:r>
          </w:p>
        </w:tc>
        <w:tc>
          <w:tcPr>
            <w:tcW w:type="dxa" w:w="2200"/>
          </w:tcPr>
          <w:p>
            <w:pPr>
              <w:jc w:val="left"/>
            </w:pPr>
            <w:r>
              <w:rPr>
                <w:rFonts w:ascii="Times New Roman" w:cs="Times New Roman" w:eastAsia="Times New Roman" w:hAnsi="Times New Roman"/>
                <w:b w:val="false"/>
                <w:bCs w:val="false"/>
                <w:sz w:val="22"/>
                <w:szCs w:val="22"/>
              </w:rPr>
              <w:t xml:space="preserve">(*)</w:t>
            </w:r>
          </w:p>
        </w:tc>
        <w:tc>
          <w:tcPr>
            <w:tcW w:type="dxa" w:w="1200"/>
          </w:tcPr>
          <w:p>
            <w:pPr>
              <w:jc w:val="left"/>
            </w:pPr>
            <w:r>
              <w:rPr>
                <w:rFonts w:ascii="Times New Roman" w:cs="Times New Roman" w:eastAsia="Times New Roman" w:hAnsi="Times New Roman"/>
                <w:b w:val="false"/>
                <w:bCs w:val="false"/>
                <w:sz w:val="22"/>
                <w:szCs w:val="22"/>
              </w:rPr>
              <w:t xml:space="preserve">1,53</w:t>
            </w:r>
          </w:p>
        </w:tc>
        <w:tc>
          <w:tcPr>
            <w:tcW w:type="dxa" w:w="1200"/>
          </w:tcPr>
          <w:p>
            <w:pPr>
              <w:jc w:val="left"/>
            </w:pPr>
            <w:r>
              <w:rPr>
                <w:rFonts w:ascii="Times New Roman" w:cs="Times New Roman" w:eastAsia="Times New Roman" w:hAnsi="Times New Roman"/>
                <w:b w:val="false"/>
                <w:bCs w:val="false"/>
                <w:sz w:val="22"/>
                <w:szCs w:val="22"/>
              </w:rPr>
              <w:t xml:space="preserve">Lớn</w:t>
            </w:r>
          </w:p>
        </w:tc>
      </w:tr>
      <w:tr>
        <w:tc>
          <w:tcPr>
            <w:tcW w:type="dxa" w:w="1200"/>
          </w:tcPr>
          <w:p>
            <w:pPr>
              <w:jc w:val="left"/>
            </w:pPr>
            <w:r>
              <w:rPr>
                <w:rFonts w:ascii="Times New Roman" w:cs="Times New Roman" w:eastAsia="Times New Roman" w:hAnsi="Times New Roman"/>
                <w:b w:val="false"/>
                <w:bCs w:val="false"/>
                <w:sz w:val="22"/>
                <w:szCs w:val="22"/>
              </w:rPr>
              <w:t xml:space="preserve">4</w:t>
            </w:r>
          </w:p>
        </w:tc>
        <w:tc>
          <w:tcPr>
            <w:tcW w:type="dxa" w:w="1000"/>
          </w:tcPr>
          <w:p>
            <w:pPr>
              <w:jc w:val="left"/>
            </w:pPr>
            <w:r>
              <w:rPr>
                <w:rFonts w:ascii="Times New Roman" w:cs="Times New Roman" w:eastAsia="Times New Roman" w:hAnsi="Times New Roman"/>
                <w:b w:val="false"/>
                <w:bCs w:val="false"/>
                <w:sz w:val="22"/>
                <w:szCs w:val="22"/>
              </w:rPr>
              <w:t xml:space="preserve">133</w:t>
            </w:r>
          </w:p>
        </w:tc>
        <w:tc>
          <w:tcPr>
            <w:tcW w:type="dxa" w:w="2200"/>
          </w:tcPr>
          <w:p>
            <w:pPr>
              <w:jc w:val="left"/>
            </w:pPr>
            <w:r>
              <w:rPr>
                <w:rFonts w:ascii="Times New Roman" w:cs="Times New Roman" w:eastAsia="Times New Roman" w:hAnsi="Times New Roman"/>
                <w:b w:val="false"/>
                <w:bCs w:val="false"/>
                <w:sz w:val="22"/>
                <w:szCs w:val="22"/>
              </w:rPr>
              <w:t xml:space="preserve">Cost_Pressure</w:t>
            </w:r>
          </w:p>
        </w:tc>
        <w:tc>
          <w:tcPr>
            <w:tcW w:type="dxa" w:w="2200"/>
          </w:tcPr>
          <w:p>
            <w:pPr>
              <w:jc w:val="left"/>
            </w:pPr>
            <w:r>
              <w:rPr>
                <w:rFonts w:ascii="Times New Roman" w:cs="Times New Roman" w:eastAsia="Times New Roman" w:hAnsi="Times New Roman"/>
                <w:b w:val="false"/>
                <w:bCs w:val="false"/>
                <w:sz w:val="22"/>
                <w:szCs w:val="22"/>
              </w:rPr>
              <w:t xml:space="preserve">TotalCharges</w:t>
            </w:r>
          </w:p>
        </w:tc>
        <w:tc>
          <w:tcPr>
            <w:tcW w:type="dxa" w:w="1200"/>
          </w:tcPr>
          <w:p>
            <w:pPr>
              <w:jc w:val="left"/>
            </w:pPr>
            <w:r>
              <w:rPr>
                <w:rFonts w:ascii="Times New Roman" w:cs="Times New Roman" w:eastAsia="Times New Roman" w:hAnsi="Times New Roman"/>
                <w:b w:val="false"/>
                <w:bCs w:val="false"/>
                <w:sz w:val="22"/>
                <w:szCs w:val="22"/>
              </w:rPr>
              <w:t xml:space="preserve">2,04</w:t>
            </w:r>
          </w:p>
        </w:tc>
        <w:tc>
          <w:tcPr>
            <w:tcW w:type="dxa" w:w="1200"/>
          </w:tcPr>
          <w:p>
            <w:pPr>
              <w:jc w:val="left"/>
            </w:pPr>
            <w:r>
              <w:rPr>
                <w:rFonts w:ascii="Times New Roman" w:cs="Times New Roman" w:eastAsia="Times New Roman" w:hAnsi="Times New Roman"/>
                <w:b w:val="false"/>
                <w:bCs w:val="false"/>
                <w:sz w:val="22"/>
                <w:szCs w:val="22"/>
              </w:rPr>
              <w:t xml:space="preserve">Lớn</w:t>
            </w:r>
          </w:p>
        </w:tc>
      </w:tr>
    </w:tbl>
    <w:p>
      <w:pPr>
        <w:spacing w:after="16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i/>
          <w:iCs/>
          <w:sz w:val="24"/>
          <w:szCs w:val="24"/>
        </w:rPr>
        <w:t xml:space="preserve">(*) Đặc trưng nổi bật của Persona 3 hiện chưa xác định do một giới hạn kỹ thuật: bước tìm đặc trưng gốc nổi bật chỉ tìm trong tập mười đặc trưng có SHAP importance toàn cục cao nhất, và không có đặc trưng nào thuộc chủ đề Lifestyle_Bundle lọt vào nhóm này. Đây là điểm cần khắc phục trong bản hoàn thiện (xem Mục 6 - Hạn chế).</w:t>
      </w:r>
    </w:p>
    <w:p>
      <w:pPr>
        <w:spacing w:after="160" w:line="360"/>
        <w:jc w:val="both"/>
      </w:pPr>
      <w:r>
        <w:rPr>
          <w:rFonts w:ascii="Times New Roman" w:cs="Times New Roman" w:eastAsia="Times New Roman" w:hAnsi="Times New Roman"/>
          <w:sz w:val="24"/>
          <w:szCs w:val="24"/>
        </w:rPr>
        <w:t xml:space="preserve">Toàn bộ năm persona đều đạt effect size "lớn" (|Cohen's d| ≥ 0,8), và quan trọng hơn, bốn persona đại diện cho bốn chủ đề hành vi khác nhau (Persona 0 và 2 cùng thuộc Service_Quality nhưng đối lập dấu và khác đặc trưng nổi bật, cho thấy đây là hai nhóm vấn đề dịch vụ khác nhau: một nhóm thiếu dịch vụ bảo mật, một nhóm gặp vấn đề với dịch vụ Internet). Đây là cải thiện rõ rệt so với kết quả phân cụm trên không gian đặc trưng thô hoặc SHAP theo từng đặc trưng riêng lẻ, vốn cho ra các persona cùng bị chi phối bởi một chủ đề duy nhất (Contract/Commitment).</w:t>
      </w:r>
    </w:p>
    <w:p>
      <w:pPr>
        <w:pStyle w:val="Heading2"/>
        <w:spacing w:after="120" w:before="240"/>
      </w:pPr>
      <w:r>
        <w:t xml:space="preserve">4.7. Kiểm định thống kê Kruskal-Wallis</w:t>
      </w:r>
    </w:p>
    <w:p>
      <w:pPr>
        <w:spacing w:after="160"/>
      </w:pPr>
      <w:r>
        <w:rPr>
          <w:rFonts w:ascii="Times New Roman" w:cs="Times New Roman" w:eastAsia="Times New Roman" w:hAnsi="Times New Roman"/>
          <w:b/>
          <w:bCs/>
          <w:color w:val="C00000"/>
          <w:sz w:val="24"/>
          <w:szCs w:val="24"/>
        </w:rPr>
        <w:t xml:space="preserve">[CẦN BỔ SUNG] Dán bảng cluster_validation_kruskal.csv (H-stat, p-value, Epsilon_Squared, Effect_Size cho từng theme) vào đây. Viết 1 câu tóm tắt: bao nhiêu % theme có p&lt;0.05, và effect size trung bình/phổ biến nhất là gì (nhỏ/vừa/lớn) - đây là bằng chứng quan trọng để khẳng định 5 persona khác biệt thực chất, không phải do cỡ mẫu lớn.</w:t>
      </w:r>
    </w:p>
    <w:p>
      <w:pPr>
        <w:pStyle w:val="Heading1"/>
        <w:spacing w:after="120" w:before="240"/>
      </w:pPr>
      <w:r>
        <w:t xml:space="preserve">5. Thảo luận: đề xuất hành động giữ chân theo persona</w:t>
      </w:r>
    </w:p>
    <w:p>
      <w:pPr>
        <w:spacing w:after="160" w:line="360"/>
        <w:jc w:val="both"/>
      </w:pPr>
      <w:r>
        <w:rPr>
          <w:rFonts w:ascii="Times New Roman" w:cs="Times New Roman" w:eastAsia="Times New Roman" w:hAnsi="Times New Roman"/>
          <w:sz w:val="24"/>
          <w:szCs w:val="24"/>
        </w:rPr>
        <w:t xml:space="preserve">Dựa trên chủ đề chi phối của từng persona, các hành động giữ chân cụ thể được đề xuất như sau: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00"/>
      </w:tblGrid>
      <w:tr>
        <w:tc>
          <w:tcPr>
            <w:tcW w:type="dxa" w:w="1800"/>
            <w:shd w:fill="D9E2F3" w:val="clear"/>
          </w:tcPr>
          <w:p>
            <w:pPr>
              <w:jc w:val="left"/>
            </w:pPr>
            <w:r>
              <w:rPr>
                <w:rFonts w:ascii="Times New Roman" w:cs="Times New Roman" w:eastAsia="Times New Roman" w:hAnsi="Times New Roman"/>
                <w:b/>
                <w:bCs/>
                <w:sz w:val="22"/>
                <w:szCs w:val="22"/>
              </w:rPr>
              <w:t xml:space="preserve">Persona</w:t>
            </w:r>
          </w:p>
        </w:tc>
        <w:tc>
          <w:tcPr>
            <w:tcW w:type="dxa" w:w="3300"/>
            <w:shd w:fill="D9E2F3" w:val="clear"/>
          </w:tcPr>
          <w:p>
            <w:pPr>
              <w:jc w:val="left"/>
            </w:pPr>
            <w:r>
              <w:rPr>
                <w:rFonts w:ascii="Times New Roman" w:cs="Times New Roman" w:eastAsia="Times New Roman" w:hAnsi="Times New Roman"/>
                <w:b/>
                <w:bCs/>
                <w:sz w:val="22"/>
                <w:szCs w:val="22"/>
              </w:rPr>
              <w:t xml:space="preserve">Diễn giải</w:t>
            </w:r>
          </w:p>
        </w:tc>
        <w:tc>
          <w:tcPr>
            <w:tcW w:type="dxa" w:w="3900"/>
            <w:shd w:fill="D9E2F3" w:val="clear"/>
          </w:tcPr>
          <w:p>
            <w:pPr>
              <w:jc w:val="left"/>
            </w:pPr>
            <w:r>
              <w:rPr>
                <w:rFonts w:ascii="Times New Roman" w:cs="Times New Roman" w:eastAsia="Times New Roman" w:hAnsi="Times New Roman"/>
                <w:b/>
                <w:bCs/>
                <w:sz w:val="22"/>
                <w:szCs w:val="22"/>
              </w:rPr>
              <w:t xml:space="preserve">Đề xuất hành động</w:t>
            </w:r>
          </w:p>
        </w:tc>
      </w:tr>
      <w:tr>
        <w:tc>
          <w:tcPr>
            <w:tcW w:type="dxa" w:w="1800"/>
          </w:tcPr>
          <w:p>
            <w:pPr>
              <w:jc w:val="left"/>
            </w:pPr>
            <w:r>
              <w:rPr>
                <w:rFonts w:ascii="Times New Roman" w:cs="Times New Roman" w:eastAsia="Times New Roman" w:hAnsi="Times New Roman"/>
                <w:b w:val="false"/>
                <w:bCs w:val="false"/>
                <w:sz w:val="22"/>
                <w:szCs w:val="22"/>
              </w:rPr>
              <w:t xml:space="preserve">0 - Service_Quality (thiếu bảo mật)</w:t>
            </w:r>
          </w:p>
        </w:tc>
        <w:tc>
          <w:tcPr>
            <w:tcW w:type="dxa" w:w="3300"/>
          </w:tcPr>
          <w:p>
            <w:pPr>
              <w:jc w:val="left"/>
            </w:pPr>
            <w:r>
              <w:rPr>
                <w:rFonts w:ascii="Times New Roman" w:cs="Times New Roman" w:eastAsia="Times New Roman" w:hAnsi="Times New Roman"/>
                <w:b w:val="false"/>
                <w:bCs w:val="false"/>
                <w:sz w:val="22"/>
                <w:szCs w:val="22"/>
              </w:rPr>
              <w:t xml:space="preserve">Nhóm bị ảnh hưởng bởi chất lượng dịch vụ, đặc biệt thiếu OnlineSecurity.</w:t>
            </w:r>
          </w:p>
        </w:tc>
        <w:tc>
          <w:tcPr>
            <w:tcW w:type="dxa" w:w="3900"/>
          </w:tcPr>
          <w:p>
            <w:pPr>
              <w:jc w:val="left"/>
            </w:pPr>
            <w:r>
              <w:rPr>
                <w:rFonts w:ascii="Times New Roman" w:cs="Times New Roman" w:eastAsia="Times New Roman" w:hAnsi="Times New Roman"/>
                <w:b w:val="false"/>
                <w:bCs w:val="false"/>
                <w:sz w:val="22"/>
                <w:szCs w:val="22"/>
              </w:rPr>
              <w:t xml:space="preserve">Tăng cường hỗ trợ kỹ thuật, đề xuất bổ sung gói bảo mật/an ninh mạng miễn phí dùng thử.</w:t>
            </w:r>
          </w:p>
        </w:tc>
      </w:tr>
      <w:tr>
        <w:tc>
          <w:tcPr>
            <w:tcW w:type="dxa" w:w="1800"/>
          </w:tcPr>
          <w:p>
            <w:pPr>
              <w:jc w:val="left"/>
            </w:pPr>
            <w:r>
              <w:rPr>
                <w:rFonts w:ascii="Times New Roman" w:cs="Times New Roman" w:eastAsia="Times New Roman" w:hAnsi="Times New Roman"/>
                <w:b w:val="false"/>
                <w:bCs w:val="false"/>
                <w:sz w:val="22"/>
                <w:szCs w:val="22"/>
              </w:rPr>
              <w:t xml:space="preserve">1 - Commitment</w:t>
            </w:r>
          </w:p>
        </w:tc>
        <w:tc>
          <w:tcPr>
            <w:tcW w:type="dxa" w:w="3300"/>
          </w:tcPr>
          <w:p>
            <w:pPr>
              <w:jc w:val="left"/>
            </w:pPr>
            <w:r>
              <w:rPr>
                <w:rFonts w:ascii="Times New Roman" w:cs="Times New Roman" w:eastAsia="Times New Roman" w:hAnsi="Times New Roman"/>
                <w:b w:val="false"/>
                <w:bCs w:val="false"/>
                <w:sz w:val="22"/>
                <w:szCs w:val="22"/>
              </w:rPr>
              <w:t xml:space="preserve">Nhóm nhạy cảm với thời hạn cam kết, phần lớn theo hợp đồng tháng.</w:t>
            </w:r>
          </w:p>
        </w:tc>
        <w:tc>
          <w:tcPr>
            <w:tcW w:type="dxa" w:w="3900"/>
          </w:tcPr>
          <w:p>
            <w:pPr>
              <w:jc w:val="left"/>
            </w:pPr>
            <w:r>
              <w:rPr>
                <w:rFonts w:ascii="Times New Roman" w:cs="Times New Roman" w:eastAsia="Times New Roman" w:hAnsi="Times New Roman"/>
                <w:b w:val="false"/>
                <w:bCs w:val="false"/>
                <w:sz w:val="22"/>
                <w:szCs w:val="22"/>
              </w:rPr>
              <w:t xml:space="preserve">Khuyến mãi chuyển đổi sang hợp đồng dài hạn, chương trình giữ chân theo giai đoạn.</w:t>
            </w:r>
          </w:p>
        </w:tc>
      </w:tr>
      <w:tr>
        <w:tc>
          <w:tcPr>
            <w:tcW w:type="dxa" w:w="1800"/>
          </w:tcPr>
          <w:p>
            <w:pPr>
              <w:jc w:val="left"/>
            </w:pPr>
            <w:r>
              <w:rPr>
                <w:rFonts w:ascii="Times New Roman" w:cs="Times New Roman" w:eastAsia="Times New Roman" w:hAnsi="Times New Roman"/>
                <w:b w:val="false"/>
                <w:bCs w:val="false"/>
                <w:sz w:val="22"/>
                <w:szCs w:val="22"/>
              </w:rPr>
              <w:t xml:space="preserve">2 - Service_Quality (Internet)</w:t>
            </w:r>
          </w:p>
        </w:tc>
        <w:tc>
          <w:tcPr>
            <w:tcW w:type="dxa" w:w="3300"/>
          </w:tcPr>
          <w:p>
            <w:pPr>
              <w:jc w:val="left"/>
            </w:pPr>
            <w:r>
              <w:rPr>
                <w:rFonts w:ascii="Times New Roman" w:cs="Times New Roman" w:eastAsia="Times New Roman" w:hAnsi="Times New Roman"/>
                <w:b w:val="false"/>
                <w:bCs w:val="false"/>
                <w:sz w:val="22"/>
                <w:szCs w:val="22"/>
              </w:rPr>
              <w:t xml:space="preserve">Nhóm gặp vấn đề với dịch vụ Internet.</w:t>
            </w:r>
          </w:p>
        </w:tc>
        <w:tc>
          <w:tcPr>
            <w:tcW w:type="dxa" w:w="3900"/>
          </w:tcPr>
          <w:p>
            <w:pPr>
              <w:jc w:val="left"/>
            </w:pPr>
            <w:r>
              <w:rPr>
                <w:rFonts w:ascii="Times New Roman" w:cs="Times New Roman" w:eastAsia="Times New Roman" w:hAnsi="Times New Roman"/>
                <w:b w:val="false"/>
                <w:bCs w:val="false"/>
                <w:sz w:val="22"/>
                <w:szCs w:val="22"/>
              </w:rPr>
              <w:t xml:space="preserve">Cải thiện chất lượng mạng, ưu tiên hỗ trợ kỹ thuật khu vực có nhóm này tập trung.</w:t>
            </w:r>
          </w:p>
        </w:tc>
      </w:tr>
      <w:tr>
        <w:tc>
          <w:tcPr>
            <w:tcW w:type="dxa" w:w="1800"/>
          </w:tcPr>
          <w:p>
            <w:pPr>
              <w:jc w:val="left"/>
            </w:pPr>
            <w:r>
              <w:rPr>
                <w:rFonts w:ascii="Times New Roman" w:cs="Times New Roman" w:eastAsia="Times New Roman" w:hAnsi="Times New Roman"/>
                <w:b w:val="false"/>
                <w:bCs w:val="false"/>
                <w:sz w:val="22"/>
                <w:szCs w:val="22"/>
              </w:rPr>
              <w:t xml:space="preserve">3 - Lifestyle_Bundle</w:t>
            </w:r>
          </w:p>
        </w:tc>
        <w:tc>
          <w:tcPr>
            <w:tcW w:type="dxa" w:w="3300"/>
          </w:tcPr>
          <w:p>
            <w:pPr>
              <w:jc w:val="left"/>
            </w:pPr>
            <w:r>
              <w:rPr>
                <w:rFonts w:ascii="Times New Roman" w:cs="Times New Roman" w:eastAsia="Times New Roman" w:hAnsi="Times New Roman"/>
                <w:b w:val="false"/>
                <w:bCs w:val="false"/>
                <w:sz w:val="22"/>
                <w:szCs w:val="22"/>
              </w:rPr>
              <w:t xml:space="preserve">Nhóm nhạy cảm với gói dịch vụ giải trí/tiện ích đi kèm.</w:t>
            </w:r>
          </w:p>
        </w:tc>
        <w:tc>
          <w:tcPr>
            <w:tcW w:type="dxa" w:w="3900"/>
          </w:tcPr>
          <w:p>
            <w:pPr>
              <w:jc w:val="left"/>
            </w:pPr>
            <w:r>
              <w:rPr>
                <w:rFonts w:ascii="Times New Roman" w:cs="Times New Roman" w:eastAsia="Times New Roman" w:hAnsi="Times New Roman"/>
                <w:b w:val="false"/>
                <w:bCs w:val="false"/>
                <w:sz w:val="22"/>
                <w:szCs w:val="22"/>
              </w:rPr>
              <w:t xml:space="preserve">Đề xuất bundle ưu đãi cho streaming/multiple lines.</w:t>
            </w:r>
          </w:p>
        </w:tc>
      </w:tr>
      <w:tr>
        <w:tc>
          <w:tcPr>
            <w:tcW w:type="dxa" w:w="1800"/>
          </w:tcPr>
          <w:p>
            <w:pPr>
              <w:jc w:val="left"/>
            </w:pPr>
            <w:r>
              <w:rPr>
                <w:rFonts w:ascii="Times New Roman" w:cs="Times New Roman" w:eastAsia="Times New Roman" w:hAnsi="Times New Roman"/>
                <w:b w:val="false"/>
                <w:bCs w:val="false"/>
                <w:sz w:val="22"/>
                <w:szCs w:val="22"/>
              </w:rPr>
              <w:t xml:space="preserve">4 - Cost_Pressure</w:t>
            </w:r>
          </w:p>
        </w:tc>
        <w:tc>
          <w:tcPr>
            <w:tcW w:type="dxa" w:w="3300"/>
          </w:tcPr>
          <w:p>
            <w:pPr>
              <w:jc w:val="left"/>
            </w:pPr>
            <w:r>
              <w:rPr>
                <w:rFonts w:ascii="Times New Roman" w:cs="Times New Roman" w:eastAsia="Times New Roman" w:hAnsi="Times New Roman"/>
                <w:b w:val="false"/>
                <w:bCs w:val="false"/>
                <w:sz w:val="22"/>
                <w:szCs w:val="22"/>
              </w:rPr>
              <w:t xml:space="preserve">Nhóm bị thúc đẩy mạnh nhất bởi áp lực chi phí (effect size lớn nhất, d=2,04).</w:t>
            </w:r>
          </w:p>
        </w:tc>
        <w:tc>
          <w:tcPr>
            <w:tcW w:type="dxa" w:w="3900"/>
          </w:tcPr>
          <w:p>
            <w:pPr>
              <w:jc w:val="left"/>
            </w:pPr>
            <w:r>
              <w:rPr>
                <w:rFonts w:ascii="Times New Roman" w:cs="Times New Roman" w:eastAsia="Times New Roman" w:hAnsi="Times New Roman"/>
                <w:b w:val="false"/>
                <w:bCs w:val="false"/>
                <w:sz w:val="22"/>
                <w:szCs w:val="22"/>
              </w:rPr>
              <w:t xml:space="preserve">Ưu tiên cao nhất: chương trình giảm phí, voucher hoặc gói cước linh hoạt.</w:t>
            </w:r>
          </w:p>
        </w:tc>
      </w:tr>
    </w:tbl>
    <w:p>
      <w:pPr>
        <w:spacing w:after="16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Persona 4 (Cost_Pressure) có Cohen's d lớn nhất (2,04) trong toàn bộ năm nhóm, cho thấy đây là nhóm khách hàng có hành vi đồng nhất và dễ nhận diện nhất về mặt chi phí - phù hợp để triển khai thí điểm chương trình giữ chân trước, làm cơ sở đo lường hiệu quả trước khi mở rộng sang các persona còn lại.</w:t>
      </w:r>
    </w:p>
    <w:p>
      <w:pPr>
        <w:pStyle w:val="Heading1"/>
        <w:spacing w:after="120" w:before="240"/>
      </w:pPr>
      <w:r>
        <w:t xml:space="preserve">6. Hạn chế của nghiên cứu</w:t>
      </w:r>
    </w:p>
    <w:p>
      <w:pPr>
        <w:pStyle w:val="ListParagraph"/>
        <w:numPr>
          <w:ilvl w:val="0"/>
          <w:numId w:val="1"/>
        </w:numPr>
        <w:spacing w:after="80"/>
      </w:pPr>
      <w:r>
        <w:rPr>
          <w:rFonts w:ascii="Times New Roman" w:cs="Times New Roman" w:eastAsia="Times New Roman" w:hAnsi="Times New Roman"/>
          <w:sz w:val="24"/>
          <w:szCs w:val="24"/>
        </w:rPr>
        <w:t xml:space="preserve">Bộ dữ liệu Telco-Customer-Churn là dữ liệu benchmark công khai, không phải dữ liệu vận hành thực tế của một doanh nghiệp cụ thể, nên các hành động giữ chân đề xuất cần được kiểm chứng lại khi áp dụng vào bối cảnh thực tế.</w:t>
      </w:r>
    </w:p>
    <w:p>
      <w:pPr>
        <w:pStyle w:val="ListParagraph"/>
        <w:numPr>
          <w:ilvl w:val="0"/>
          <w:numId w:val="1"/>
        </w:numPr>
        <w:spacing w:after="80"/>
      </w:pPr>
      <w:r>
        <w:rPr>
          <w:rFonts w:ascii="Times New Roman" w:cs="Times New Roman" w:eastAsia="Times New Roman" w:hAnsi="Times New Roman"/>
          <w:sz w:val="24"/>
          <w:szCs w:val="24"/>
        </w:rPr>
        <w:t xml:space="preserve">Random Forest được chọn vì tương thích với SHAP TreeExplainer, không phải vì đạt F1-score cao nhất (Logistic Regression và Naive Bayes có một số chỉ số tốt hơn) - đây là đánh đổi có chủ đích giữa hiệu năng và khả năng diễn giải.</w:t>
      </w:r>
    </w:p>
    <w:p>
      <w:pPr>
        <w:pStyle w:val="ListParagraph"/>
        <w:numPr>
          <w:ilvl w:val="0"/>
          <w:numId w:val="1"/>
        </w:numPr>
        <w:spacing w:after="80"/>
      </w:pPr>
      <w:r>
        <w:rPr>
          <w:rFonts w:ascii="Times New Roman" w:cs="Times New Roman" w:eastAsia="Times New Roman" w:hAnsi="Times New Roman"/>
          <w:sz w:val="24"/>
          <w:szCs w:val="24"/>
        </w:rPr>
        <w:t xml:space="preserve">Đặc trưng nổi bật (Top_Raw_Feature_In_Theme) của Persona 3 chưa xác định được do giới hạn kỹ thuật trong việc tìm kiếm chỉ trong tập mười đặc trưng SHAP importance cao nhất toàn cục; cần mở rộng tìm kiếm trên toàn bộ tập đặc trưng thuộc theme Lifestyle_Bundle.</w:t>
      </w:r>
    </w:p>
    <w:p>
      <w:pPr>
        <w:pStyle w:val="ListParagraph"/>
        <w:numPr>
          <w:ilvl w:val="0"/>
          <w:numId w:val="1"/>
        </w:numPr>
        <w:spacing w:after="80"/>
      </w:pPr>
      <w:r>
        <w:rPr>
          <w:rFonts w:ascii="Times New Roman" w:cs="Times New Roman" w:eastAsia="Times New Roman" w:hAnsi="Times New Roman"/>
          <w:sz w:val="24"/>
          <w:szCs w:val="24"/>
        </w:rPr>
        <w:t xml:space="preserve">Nghiên cứu chưa có thử nghiệm A/B thực tế để đo lường tác động của các hành động giữ chân đề xuất lên tỷ lệ churn thực tế; đây là hướng nghiên cứu mở rộng quan trọng.</w:t>
      </w:r>
    </w:p>
    <w:p>
      <w:pPr>
        <w:pStyle w:val="ListParagraph"/>
        <w:numPr>
          <w:ilvl w:val="0"/>
          <w:numId w:val="1"/>
        </w:numPr>
        <w:spacing w:after="80"/>
      </w:pPr>
      <w:r>
        <w:rPr>
          <w:rFonts w:ascii="Times New Roman" w:cs="Times New Roman" w:eastAsia="Times New Roman" w:hAnsi="Times New Roman"/>
          <w:sz w:val="24"/>
          <w:szCs w:val="24"/>
        </w:rPr>
        <w:t xml:space="preserve">Kiểm định Kruskal-Wallis với cỡ mẫu lớn có xu hướng cho ra ý nghĩa thống kê ngay cả với khác biệt nhỏ; nghiên cứu đã bổ sung effect size để giảm thiểu rủi ro này, nhưng việc diễn giải effect size vẫn mang tính quy ước (rule of thumb) chứ không tuyệt đối.</w:t>
      </w:r>
    </w:p>
    <w:p>
      <w:pPr>
        <w:pStyle w:val="Heading1"/>
        <w:spacing w:after="120" w:before="240"/>
      </w:pPr>
      <w:r>
        <w:t xml:space="preserve">7. Kết luận</w:t>
      </w:r>
    </w:p>
    <w:p>
      <w:pPr>
        <w:spacing w:after="160" w:line="360"/>
        <w:jc w:val="both"/>
      </w:pPr>
      <w:r>
        <w:rPr>
          <w:rFonts w:ascii="Times New Roman" w:cs="Times New Roman" w:eastAsia="Times New Roman" w:hAnsi="Times New Roman"/>
          <w:sz w:val="24"/>
          <w:szCs w:val="24"/>
        </w:rPr>
        <w:t xml:space="preserve">Nghiên cứu đã đề xuất và kiểm chứng thực nghiệm một quy trình phân cụm khách hàng dựa trên giá trị SHAP gộp theo chủ đề nghiệp vụ và trực giao hoá bằng PCA, khắc phục hạn chế đa cộng tuyến của các phương pháp phân cụm trên đặc trưng thô hoặc SHAP theo từng đặc trưng riêng lẻ. Kết quả ablation study định lượng cho thấy phương pháp đề xuất tạo ra persona đa dạng và có ý nghĩa thống kê hơn, với effect size lớn (Cohen's d 0,83 - 2,04) trên cả bốn chủ đề hành vi. Kết quả này chuyển hoá trực tiếp thành các đề xuất hành động giữ chân cụ thể theo từng nhóm khách hàng, hoàn thiện framework ba tầng Predict - Explain - Act, có giá trị ứng dụng thực tiễn cho bài toán quản trị rời mạng khách hàng trong ngành viễn thông.</w:t>
      </w:r>
    </w:p>
    <w:p>
      <w:pPr>
        <w:pStyle w:val="Heading1"/>
        <w:spacing w:after="120" w:before="240"/>
      </w:pPr>
      <w:r>
        <w:t xml:space="preserve">Tài liệu tham khảo</w:t>
      </w:r>
    </w:p>
    <w:p>
      <w:pPr>
        <w:spacing w:after="160"/>
      </w:pPr>
      <w:r>
        <w:rPr>
          <w:rFonts w:ascii="Times New Roman" w:cs="Times New Roman" w:eastAsia="Times New Roman" w:hAnsi="Times New Roman"/>
          <w:b/>
          <w:bCs/>
          <w:color w:val="C00000"/>
          <w:sz w:val="24"/>
          <w:szCs w:val="24"/>
        </w:rPr>
        <w:t xml:space="preserve">[CẦN BỔ SUNG] Bổ sung danh mục tài liệu tham khảo theo đúng chuẩn trích dẫn của hội thảo/tạp chí bạn dự định gửi bài (APA/IEEE...). Cần ít nhất: 1-2 tài liệu gốc về SHAP (Lundberg &amp; Lee), 1-2 về customer churn prediction, 1-2 về customer segmentation/persona, 1 về PCA cho xử lý đa cộng tuyến, 1 về Kruskal-Wallis test.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2026-07-09T18:21:35.671Z</dcterms:created>
  <dcterms:modified xsi:type="dcterms:W3CDTF">2026-07-09T18:21:35.687Z</dcterms:modified>
</cp:coreProperties>
</file>

<file path=docProps/custom.xml><?xml version="1.0" encoding="utf-8"?>
<Properties xmlns="http://schemas.openxmlformats.org/officeDocument/2006/custom-properties" xmlns:vt="http://schemas.openxmlformats.org/officeDocument/2006/docPropsVTypes"/>
</file>