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750" w:rsidRPr="007A1955" w:rsidRDefault="00660750" w:rsidP="007A1955">
      <w:pPr>
        <w:rPr>
          <w:sz w:val="20"/>
        </w:rPr>
      </w:pPr>
    </w:p>
    <w:p w:rsidR="00660750" w:rsidRDefault="00D25D09" w:rsidP="00D25D09">
      <w:pPr>
        <w:pStyle w:val="Heading1"/>
        <w:spacing w:before="58"/>
        <w:ind w:left="620" w:right="3920"/>
      </w:pPr>
      <w:bookmarkStart w:id="0" w:name="Copyright_and_legal_statement"/>
      <w:bookmarkStart w:id="1" w:name="_bookmark7"/>
      <w:bookmarkEnd w:id="0"/>
      <w:bookmarkEnd w:id="1"/>
      <w:r>
        <w:t>Confidentiality Notice</w:t>
      </w:r>
      <w:bookmarkStart w:id="2" w:name="_GoBack"/>
      <w:bookmarkEnd w:id="2"/>
    </w:p>
    <w:p w:rsidR="00660750" w:rsidRDefault="00660750">
      <w:pPr>
        <w:pStyle w:val="BodyText"/>
        <w:spacing w:before="2"/>
        <w:rPr>
          <w:b/>
          <w:sz w:val="20"/>
        </w:rPr>
      </w:pPr>
    </w:p>
    <w:p w:rsidR="00660750" w:rsidRDefault="00F033A6">
      <w:pPr>
        <w:pStyle w:val="BodyText"/>
        <w:spacing w:line="256" w:lineRule="auto"/>
        <w:ind w:left="1648" w:right="501"/>
      </w:pPr>
      <w:r>
        <w:t>THIS DOCUMENT IS CONFIDENTIAL AND PROPRIETARY TO NEXTLABS, INC. AND MAY NOT BE REPRODUCED, PUBLISHED OR DISCLOSED TO OTHERS WITHOUT COMPANY AUTHORIZATION.</w:t>
      </w:r>
    </w:p>
    <w:p w:rsidR="00660750" w:rsidRDefault="00660750">
      <w:pPr>
        <w:pStyle w:val="BodyText"/>
        <w:spacing w:before="10"/>
      </w:pPr>
    </w:p>
    <w:p w:rsidR="00660750" w:rsidRDefault="00F033A6">
      <w:pPr>
        <w:pStyle w:val="BodyText"/>
        <w:spacing w:before="1"/>
        <w:ind w:left="1648"/>
      </w:pPr>
      <w:r>
        <w:t>© 2009-2020 NextLabs, Inc. All rights reserved.</w:t>
      </w:r>
    </w:p>
    <w:p w:rsidR="00660750" w:rsidRDefault="00F033A6">
      <w:pPr>
        <w:pStyle w:val="BodyText"/>
        <w:spacing w:before="14"/>
        <w:ind w:left="1648"/>
      </w:pPr>
      <w:r>
        <w:t>The information in this document is subject to change without notice.</w:t>
      </w:r>
    </w:p>
    <w:p w:rsidR="00660750" w:rsidRDefault="00660750">
      <w:pPr>
        <w:pStyle w:val="BodyText"/>
        <w:spacing w:before="2"/>
        <w:rPr>
          <w:sz w:val="20"/>
        </w:rPr>
      </w:pPr>
    </w:p>
    <w:p w:rsidR="00660750" w:rsidRDefault="00F033A6">
      <w:pPr>
        <w:pStyle w:val="BodyText"/>
        <w:ind w:left="1648"/>
      </w:pPr>
      <w:r>
        <w:t xml:space="preserve">To provide feedback on this document, email the documentation team at </w:t>
      </w:r>
      <w:hyperlink r:id="rId7">
        <w:r>
          <w:rPr>
            <w:color w:val="0000FF"/>
          </w:rPr>
          <w:t>techpubs@nextlabs.com.</w:t>
        </w:r>
      </w:hyperlink>
    </w:p>
    <w:p w:rsidR="00660750" w:rsidRDefault="00660750">
      <w:pPr>
        <w:pStyle w:val="BodyText"/>
        <w:spacing w:before="2"/>
        <w:rPr>
          <w:sz w:val="20"/>
        </w:rPr>
      </w:pPr>
    </w:p>
    <w:p w:rsidR="00660750" w:rsidRDefault="00F033A6">
      <w:pPr>
        <w:pStyle w:val="Heading6"/>
        <w:spacing w:before="1"/>
        <w:rPr>
          <w:rFonts w:ascii="Trebuchet MS"/>
        </w:rPr>
      </w:pPr>
      <w:r>
        <w:rPr>
          <w:rFonts w:ascii="Trebuchet MS"/>
        </w:rPr>
        <w:t>TRADEMARKS</w:t>
      </w:r>
    </w:p>
    <w:p w:rsidR="00660750" w:rsidRDefault="00660750">
      <w:pPr>
        <w:spacing w:before="11"/>
        <w:rPr>
          <w:b/>
          <w:sz w:val="19"/>
        </w:rPr>
      </w:pPr>
    </w:p>
    <w:p w:rsidR="00660750" w:rsidRDefault="00F033A6">
      <w:pPr>
        <w:pStyle w:val="BodyText"/>
        <w:spacing w:line="254" w:lineRule="auto"/>
        <w:ind w:left="1647"/>
      </w:pPr>
      <w:r>
        <w:t>NextLabs, the NextLabs Logo, Compliant Enterprise, the Compliant Enterprise Logo, Deep Event Inspection, 360 Degree Enforcement, and ACPL are trademarks or registered trademarks of NextLabs, Inc. in the United States. All other brands or product names used herein are trademarks or registered trademarks of their respective owners.</w:t>
      </w:r>
    </w:p>
    <w:p w:rsidR="00660750" w:rsidRDefault="00660750">
      <w:pPr>
        <w:pStyle w:val="BodyText"/>
        <w:spacing w:before="1"/>
        <w:rPr>
          <w:sz w:val="19"/>
        </w:rPr>
      </w:pPr>
    </w:p>
    <w:p w:rsidR="00660750" w:rsidRDefault="00F033A6">
      <w:pPr>
        <w:pStyle w:val="Heading6"/>
        <w:ind w:left="1647"/>
      </w:pPr>
      <w:r>
        <w:t>LICENSE AGREEMENT</w:t>
      </w:r>
    </w:p>
    <w:p w:rsidR="00660750" w:rsidRDefault="00660750">
      <w:pPr>
        <w:pStyle w:val="BodyText"/>
        <w:spacing w:before="2"/>
        <w:rPr>
          <w:b/>
          <w:sz w:val="20"/>
        </w:rPr>
      </w:pPr>
    </w:p>
    <w:p w:rsidR="00660750" w:rsidRDefault="00F033A6">
      <w:pPr>
        <w:pStyle w:val="BodyText"/>
        <w:spacing w:line="254" w:lineRule="auto"/>
        <w:ind w:left="1647" w:right="88"/>
      </w:pPr>
      <w:r>
        <w:t>This documentation and the software described in this document are furnished under a license agreement or nondisclosure agreement. The documentation and software may be used or copied only in accordance with the Desktop for Windows of those agreements. No part of this document may be reproduced, stored in a retrieval system or transmitted in any form or by any means, either electronic or mechanical, including photocopying and recording for any purpose other than the purchaser's use, without the prior written permission of NextLabs, Inc.</w:t>
      </w:r>
    </w:p>
    <w:p w:rsidR="00660750" w:rsidRDefault="00660750">
      <w:pPr>
        <w:pStyle w:val="BodyText"/>
        <w:spacing w:before="2"/>
        <w:rPr>
          <w:sz w:val="19"/>
        </w:rPr>
      </w:pPr>
    </w:p>
    <w:p w:rsidR="00660750" w:rsidRDefault="00F033A6">
      <w:pPr>
        <w:pStyle w:val="BodyText"/>
        <w:spacing w:line="254" w:lineRule="auto"/>
        <w:ind w:left="1647"/>
      </w:pPr>
      <w:r>
        <w:t>The content of this document is provided for informational and instructional use only. It is subject to change without notice, and should not be construed as a commitment by NextLabs, Inc.</w:t>
      </w:r>
    </w:p>
    <w:p w:rsidR="00660750" w:rsidRDefault="00F033A6">
      <w:pPr>
        <w:pStyle w:val="BodyText"/>
        <w:spacing w:before="120" w:line="256" w:lineRule="auto"/>
        <w:ind w:left="1648" w:right="88"/>
      </w:pPr>
      <w:r>
        <w:t>NextLabs, Inc. assumes no responsibility or liability for any inaccuracies or technical errors that may appear in the content of this document.</w:t>
      </w:r>
    </w:p>
    <w:p w:rsidR="00660750" w:rsidRDefault="00660750">
      <w:pPr>
        <w:pStyle w:val="BodyText"/>
        <w:spacing w:before="10"/>
      </w:pPr>
    </w:p>
    <w:p w:rsidR="00682717" w:rsidRDefault="00F033A6">
      <w:pPr>
        <w:pStyle w:val="BodyText"/>
        <w:spacing w:line="256" w:lineRule="auto"/>
        <w:ind w:left="1648" w:right="3089"/>
      </w:pPr>
      <w:r>
        <w:t>Published in San Mateo, CA, by NextLabs, Inc.</w:t>
      </w:r>
    </w:p>
    <w:p w:rsidR="00660750" w:rsidRDefault="006801F5">
      <w:pPr>
        <w:pStyle w:val="BodyText"/>
        <w:spacing w:line="256" w:lineRule="auto"/>
        <w:ind w:left="1648" w:right="3089"/>
      </w:pPr>
      <w:hyperlink r:id="rId8">
        <w:r w:rsidR="00F033A6">
          <w:rPr>
            <w:color w:val="0000FF"/>
          </w:rPr>
          <w:t>https://www.nextlabs.com</w:t>
        </w:r>
      </w:hyperlink>
    </w:p>
    <w:p w:rsidR="00682717" w:rsidRDefault="006801F5" w:rsidP="00682717">
      <w:pPr>
        <w:pStyle w:val="BodyText"/>
        <w:spacing w:line="254" w:lineRule="auto"/>
        <w:ind w:left="1648" w:right="5927"/>
        <w:rPr>
          <w:color w:val="0000FF"/>
        </w:rPr>
      </w:pPr>
      <w:hyperlink r:id="rId9">
        <w:r w:rsidR="00F033A6">
          <w:rPr>
            <w:color w:val="0000FF"/>
          </w:rPr>
          <w:t>info@nextlabs.com</w:t>
        </w:r>
      </w:hyperlink>
    </w:p>
    <w:p w:rsidR="00682717" w:rsidRDefault="006801F5" w:rsidP="00682717">
      <w:pPr>
        <w:pStyle w:val="BodyText"/>
        <w:spacing w:line="254" w:lineRule="auto"/>
        <w:ind w:left="1648" w:right="5927"/>
        <w:rPr>
          <w:color w:val="0000FF"/>
        </w:rPr>
      </w:pPr>
      <w:hyperlink r:id="rId10">
        <w:r w:rsidR="00F033A6">
          <w:rPr>
            <w:color w:val="0000FF"/>
          </w:rPr>
          <w:t>support@nextlabs.com</w:t>
        </w:r>
      </w:hyperlink>
    </w:p>
    <w:p w:rsidR="00660750" w:rsidRPr="00682717" w:rsidRDefault="00F033A6" w:rsidP="00682717">
      <w:pPr>
        <w:pStyle w:val="BodyText"/>
        <w:spacing w:line="254" w:lineRule="auto"/>
        <w:ind w:left="1648" w:right="5927"/>
      </w:pPr>
      <w:r>
        <w:t>650.577.9101</w:t>
      </w:r>
    </w:p>
    <w:p w:rsidR="00660750" w:rsidRDefault="00660750">
      <w:pPr>
        <w:rPr>
          <w:sz w:val="20"/>
        </w:rPr>
      </w:pPr>
    </w:p>
    <w:p w:rsidR="00660750" w:rsidRDefault="00660750">
      <w:pPr>
        <w:pStyle w:val="BodyText"/>
        <w:rPr>
          <w:rFonts w:ascii="Times New Roman"/>
          <w:sz w:val="20"/>
        </w:rPr>
      </w:pPr>
    </w:p>
    <w:p w:rsidR="00660750" w:rsidRDefault="00660750">
      <w:pPr>
        <w:pStyle w:val="BodyText"/>
        <w:rPr>
          <w:rFonts w:ascii="Times New Roman"/>
          <w:sz w:val="20"/>
        </w:rPr>
      </w:pPr>
    </w:p>
    <w:p w:rsidR="00660750" w:rsidRDefault="006801F5">
      <w:pPr>
        <w:pStyle w:val="BodyText"/>
        <w:spacing w:line="20" w:lineRule="exact"/>
        <w:ind w:left="370"/>
        <w:rPr>
          <w:rFonts w:ascii="Times New Roman"/>
          <w:sz w:val="2"/>
        </w:rPr>
      </w:pPr>
      <w:r>
        <w:rPr>
          <w:rFonts w:ascii="Times New Roman"/>
          <w:sz w:val="2"/>
        </w:rPr>
      </w:r>
      <w:r w:rsidR="00444C01">
        <w:rPr>
          <w:rFonts w:ascii="Times New Roman"/>
          <w:sz w:val="2"/>
        </w:rPr>
        <w:pict>
          <v:group id="_x0000_s1026" style="width:483pt;height:.5pt;mso-position-horizontal-relative:char;mso-position-vertical-relative:line" coordsize="9660,10">
            <v:line id="_x0000_s1028" style="position:absolute" from="5,5" to="10,5" strokecolor="#1e8c49" strokeweight=".48pt"/>
            <v:line id="_x0000_s1027" style="position:absolute" from="10,5" to="9654,5" strokecolor="#1e8c49" strokeweight=".48pt"/>
            <w10:anchorlock/>
          </v:group>
        </w:pict>
      </w:r>
    </w:p>
    <w:sectPr w:rsidR="00660750">
      <w:headerReference w:type="even" r:id="rId11"/>
      <w:pgSz w:w="12240" w:h="15840"/>
      <w:pgMar w:top="1160" w:right="1300" w:bottom="780" w:left="720" w:header="936" w:footer="59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01F5" w:rsidRDefault="006801F5">
      <w:r>
        <w:separator/>
      </w:r>
    </w:p>
  </w:endnote>
  <w:endnote w:type="continuationSeparator" w:id="0">
    <w:p w:rsidR="006801F5" w:rsidRDefault="00680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01F5" w:rsidRDefault="006801F5">
      <w:r>
        <w:separator/>
      </w:r>
    </w:p>
  </w:footnote>
  <w:footnote w:type="continuationSeparator" w:id="0">
    <w:p w:rsidR="006801F5" w:rsidRDefault="006801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0750" w:rsidRDefault="006801F5">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2.2pt;margin-top:45.8pt;width:490.55pt;height:13.6pt;z-index:-251658752;mso-position-horizontal-relative:page;mso-position-vertical-relative:page" filled="f" stroked="f">
          <v:textbox inset="0,0,0,0">
            <w:txbxContent>
              <w:p w:rsidR="00660750" w:rsidRDefault="00660750">
                <w:pPr>
                  <w:tabs>
                    <w:tab w:val="left" w:pos="9790"/>
                  </w:tabs>
                  <w:spacing w:before="19"/>
                  <w:ind w:left="20"/>
                  <w:rPr>
                    <w:sz w:val="20"/>
                  </w:rPr>
                </w:pP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93E8B"/>
    <w:multiLevelType w:val="hybridMultilevel"/>
    <w:tmpl w:val="5210A798"/>
    <w:lvl w:ilvl="0" w:tplc="043E3604">
      <w:numFmt w:val="bullet"/>
      <w:lvlText w:val="•"/>
      <w:lvlJc w:val="left"/>
      <w:pPr>
        <w:ind w:left="333" w:hanging="216"/>
      </w:pPr>
      <w:rPr>
        <w:rFonts w:ascii="Trebuchet MS" w:eastAsia="Trebuchet MS" w:hAnsi="Trebuchet MS" w:cs="Trebuchet MS" w:hint="default"/>
        <w:w w:val="99"/>
        <w:sz w:val="16"/>
        <w:szCs w:val="16"/>
      </w:rPr>
    </w:lvl>
    <w:lvl w:ilvl="1" w:tplc="908820AE">
      <w:numFmt w:val="bullet"/>
      <w:lvlText w:val="•"/>
      <w:lvlJc w:val="left"/>
      <w:pPr>
        <w:ind w:left="674" w:hanging="216"/>
      </w:pPr>
      <w:rPr>
        <w:rFonts w:hint="default"/>
      </w:rPr>
    </w:lvl>
    <w:lvl w:ilvl="2" w:tplc="FD4CDF1C">
      <w:numFmt w:val="bullet"/>
      <w:lvlText w:val="•"/>
      <w:lvlJc w:val="left"/>
      <w:pPr>
        <w:ind w:left="1008" w:hanging="216"/>
      </w:pPr>
      <w:rPr>
        <w:rFonts w:hint="default"/>
      </w:rPr>
    </w:lvl>
    <w:lvl w:ilvl="3" w:tplc="D99A8B34">
      <w:numFmt w:val="bullet"/>
      <w:lvlText w:val="•"/>
      <w:lvlJc w:val="left"/>
      <w:pPr>
        <w:ind w:left="1342" w:hanging="216"/>
      </w:pPr>
      <w:rPr>
        <w:rFonts w:hint="default"/>
      </w:rPr>
    </w:lvl>
    <w:lvl w:ilvl="4" w:tplc="DA126044">
      <w:numFmt w:val="bullet"/>
      <w:lvlText w:val="•"/>
      <w:lvlJc w:val="left"/>
      <w:pPr>
        <w:ind w:left="1676" w:hanging="216"/>
      </w:pPr>
      <w:rPr>
        <w:rFonts w:hint="default"/>
      </w:rPr>
    </w:lvl>
    <w:lvl w:ilvl="5" w:tplc="85C0ACE8">
      <w:numFmt w:val="bullet"/>
      <w:lvlText w:val="•"/>
      <w:lvlJc w:val="left"/>
      <w:pPr>
        <w:ind w:left="2010" w:hanging="216"/>
      </w:pPr>
      <w:rPr>
        <w:rFonts w:hint="default"/>
      </w:rPr>
    </w:lvl>
    <w:lvl w:ilvl="6" w:tplc="CB5C1BA4">
      <w:numFmt w:val="bullet"/>
      <w:lvlText w:val="•"/>
      <w:lvlJc w:val="left"/>
      <w:pPr>
        <w:ind w:left="2344" w:hanging="216"/>
      </w:pPr>
      <w:rPr>
        <w:rFonts w:hint="default"/>
      </w:rPr>
    </w:lvl>
    <w:lvl w:ilvl="7" w:tplc="C804B3C2">
      <w:numFmt w:val="bullet"/>
      <w:lvlText w:val="•"/>
      <w:lvlJc w:val="left"/>
      <w:pPr>
        <w:ind w:left="2678" w:hanging="216"/>
      </w:pPr>
      <w:rPr>
        <w:rFonts w:hint="default"/>
      </w:rPr>
    </w:lvl>
    <w:lvl w:ilvl="8" w:tplc="98ACAD4E">
      <w:numFmt w:val="bullet"/>
      <w:lvlText w:val="•"/>
      <w:lvlJc w:val="left"/>
      <w:pPr>
        <w:ind w:left="3012" w:hanging="216"/>
      </w:pPr>
      <w:rPr>
        <w:rFonts w:hint="default"/>
      </w:rPr>
    </w:lvl>
  </w:abstractNum>
  <w:abstractNum w:abstractNumId="1" w15:restartNumberingAfterBreak="0">
    <w:nsid w:val="7BE9606A"/>
    <w:multiLevelType w:val="hybridMultilevel"/>
    <w:tmpl w:val="12640434"/>
    <w:lvl w:ilvl="0" w:tplc="9406459A">
      <w:numFmt w:val="bullet"/>
      <w:lvlText w:val="•"/>
      <w:lvlJc w:val="left"/>
      <w:pPr>
        <w:ind w:left="1662" w:hanging="360"/>
      </w:pPr>
      <w:rPr>
        <w:rFonts w:ascii="Trebuchet MS" w:eastAsia="Trebuchet MS" w:hAnsi="Trebuchet MS" w:cs="Trebuchet MS" w:hint="default"/>
        <w:color w:val="0000FF"/>
        <w:w w:val="99"/>
        <w:sz w:val="20"/>
        <w:szCs w:val="20"/>
      </w:rPr>
    </w:lvl>
    <w:lvl w:ilvl="1" w:tplc="A266CF3E">
      <w:numFmt w:val="bullet"/>
      <w:lvlText w:val="•"/>
      <w:lvlJc w:val="left"/>
      <w:pPr>
        <w:ind w:left="2133" w:hanging="255"/>
      </w:pPr>
      <w:rPr>
        <w:rFonts w:ascii="Trebuchet MS" w:eastAsia="Trebuchet MS" w:hAnsi="Trebuchet MS" w:cs="Trebuchet MS" w:hint="default"/>
        <w:w w:val="99"/>
        <w:sz w:val="20"/>
        <w:szCs w:val="20"/>
      </w:rPr>
    </w:lvl>
    <w:lvl w:ilvl="2" w:tplc="056C3E48">
      <w:numFmt w:val="bullet"/>
      <w:lvlText w:val="-"/>
      <w:lvlJc w:val="left"/>
      <w:pPr>
        <w:ind w:left="2432" w:hanging="210"/>
      </w:pPr>
      <w:rPr>
        <w:rFonts w:ascii="Trebuchet MS" w:eastAsia="Trebuchet MS" w:hAnsi="Trebuchet MS" w:cs="Trebuchet MS" w:hint="default"/>
        <w:w w:val="99"/>
        <w:sz w:val="20"/>
        <w:szCs w:val="20"/>
      </w:rPr>
    </w:lvl>
    <w:lvl w:ilvl="3" w:tplc="B734FC72">
      <w:numFmt w:val="bullet"/>
      <w:lvlText w:val="•"/>
      <w:lvlJc w:val="left"/>
      <w:pPr>
        <w:ind w:left="3402" w:hanging="210"/>
      </w:pPr>
      <w:rPr>
        <w:rFonts w:hint="default"/>
      </w:rPr>
    </w:lvl>
    <w:lvl w:ilvl="4" w:tplc="5086A3B6">
      <w:numFmt w:val="bullet"/>
      <w:lvlText w:val="•"/>
      <w:lvlJc w:val="left"/>
      <w:pPr>
        <w:ind w:left="4365" w:hanging="210"/>
      </w:pPr>
      <w:rPr>
        <w:rFonts w:hint="default"/>
      </w:rPr>
    </w:lvl>
    <w:lvl w:ilvl="5" w:tplc="025246B6">
      <w:numFmt w:val="bullet"/>
      <w:lvlText w:val="•"/>
      <w:lvlJc w:val="left"/>
      <w:pPr>
        <w:ind w:left="5327" w:hanging="210"/>
      </w:pPr>
      <w:rPr>
        <w:rFonts w:hint="default"/>
      </w:rPr>
    </w:lvl>
    <w:lvl w:ilvl="6" w:tplc="2384C596">
      <w:numFmt w:val="bullet"/>
      <w:lvlText w:val="•"/>
      <w:lvlJc w:val="left"/>
      <w:pPr>
        <w:ind w:left="6290" w:hanging="210"/>
      </w:pPr>
      <w:rPr>
        <w:rFonts w:hint="default"/>
      </w:rPr>
    </w:lvl>
    <w:lvl w:ilvl="7" w:tplc="C4DCE986">
      <w:numFmt w:val="bullet"/>
      <w:lvlText w:val="•"/>
      <w:lvlJc w:val="left"/>
      <w:pPr>
        <w:ind w:left="7252" w:hanging="210"/>
      </w:pPr>
      <w:rPr>
        <w:rFonts w:hint="default"/>
      </w:rPr>
    </w:lvl>
    <w:lvl w:ilvl="8" w:tplc="4288EE9A">
      <w:numFmt w:val="bullet"/>
      <w:lvlText w:val="•"/>
      <w:lvlJc w:val="left"/>
      <w:pPr>
        <w:ind w:left="8215" w:hanging="21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evenAndOddHeaders/>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docVars>
    <w:docVar w:name="__Grammarly_42____i" w:val="H4sIAAAAAAAEAKtWckksSQxILCpxzi/NK1GyMqwFAAEhoTITAAAA"/>
    <w:docVar w:name="__Grammarly_42___1" w:val="H4sIAAAAAAAEAKtWcslP9kxRslIyNDYysrC0NDY3NjAzMTM2MDVR0lEKTi0uzszPAykwrAUARvCMDiwAAAA="/>
  </w:docVars>
  <w:rsids>
    <w:rsidRoot w:val="00660750"/>
    <w:rsid w:val="0014216D"/>
    <w:rsid w:val="003A4DDA"/>
    <w:rsid w:val="00444C01"/>
    <w:rsid w:val="0050181D"/>
    <w:rsid w:val="00660750"/>
    <w:rsid w:val="006801F5"/>
    <w:rsid w:val="00682717"/>
    <w:rsid w:val="007A1955"/>
    <w:rsid w:val="00D25D09"/>
    <w:rsid w:val="00F03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EFBF1519-A383-4895-9C73-7743D0AD1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rebuchet MS" w:eastAsia="Trebuchet MS" w:hAnsi="Trebuchet MS" w:cs="Trebuchet MS"/>
    </w:rPr>
  </w:style>
  <w:style w:type="paragraph" w:styleId="Heading1">
    <w:name w:val="heading 1"/>
    <w:basedOn w:val="Normal"/>
    <w:uiPriority w:val="1"/>
    <w:qFormat/>
    <w:pPr>
      <w:spacing w:before="27"/>
      <w:ind w:left="344"/>
      <w:outlineLvl w:val="0"/>
    </w:pPr>
    <w:rPr>
      <w:rFonts w:ascii="Arial" w:eastAsia="Arial" w:hAnsi="Arial" w:cs="Arial"/>
      <w:b/>
      <w:bCs/>
      <w:sz w:val="28"/>
      <w:szCs w:val="28"/>
    </w:rPr>
  </w:style>
  <w:style w:type="paragraph" w:styleId="Heading2">
    <w:name w:val="heading 2"/>
    <w:basedOn w:val="Normal"/>
    <w:uiPriority w:val="1"/>
    <w:qFormat/>
    <w:pPr>
      <w:ind w:left="294"/>
      <w:outlineLvl w:val="1"/>
    </w:pPr>
    <w:rPr>
      <w:rFonts w:ascii="Arial" w:eastAsia="Arial" w:hAnsi="Arial" w:cs="Arial"/>
      <w:sz w:val="28"/>
      <w:szCs w:val="28"/>
    </w:rPr>
  </w:style>
  <w:style w:type="paragraph" w:styleId="Heading3">
    <w:name w:val="heading 3"/>
    <w:basedOn w:val="Normal"/>
    <w:uiPriority w:val="1"/>
    <w:qFormat/>
    <w:pPr>
      <w:ind w:left="1352"/>
      <w:outlineLvl w:val="2"/>
    </w:pPr>
    <w:rPr>
      <w:rFonts w:ascii="Arial" w:eastAsia="Arial" w:hAnsi="Arial" w:cs="Arial"/>
      <w:b/>
      <w:bCs/>
    </w:rPr>
  </w:style>
  <w:style w:type="paragraph" w:styleId="Heading4">
    <w:name w:val="heading 4"/>
    <w:basedOn w:val="Normal"/>
    <w:uiPriority w:val="1"/>
    <w:qFormat/>
    <w:pPr>
      <w:spacing w:before="19"/>
      <w:ind w:left="20"/>
      <w:outlineLvl w:val="3"/>
    </w:pPr>
    <w:rPr>
      <w:sz w:val="20"/>
      <w:szCs w:val="20"/>
    </w:rPr>
  </w:style>
  <w:style w:type="paragraph" w:styleId="Heading5">
    <w:name w:val="heading 5"/>
    <w:basedOn w:val="Normal"/>
    <w:uiPriority w:val="1"/>
    <w:qFormat/>
    <w:pPr>
      <w:spacing w:before="1"/>
      <w:ind w:left="1352"/>
      <w:outlineLvl w:val="4"/>
    </w:pPr>
    <w:rPr>
      <w:i/>
      <w:sz w:val="20"/>
      <w:szCs w:val="20"/>
    </w:rPr>
  </w:style>
  <w:style w:type="paragraph" w:styleId="Heading6">
    <w:name w:val="heading 6"/>
    <w:basedOn w:val="Normal"/>
    <w:uiPriority w:val="1"/>
    <w:qFormat/>
    <w:pPr>
      <w:ind w:left="1648"/>
      <w:outlineLvl w:val="5"/>
    </w:pPr>
    <w:rPr>
      <w:rFonts w:ascii="Arial" w:eastAsia="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48"/>
      <w:ind w:left="1662" w:hanging="360"/>
    </w:pPr>
    <w:rPr>
      <w:sz w:val="20"/>
      <w:szCs w:val="20"/>
    </w:rPr>
  </w:style>
  <w:style w:type="paragraph" w:styleId="BodyText">
    <w:name w:val="Body Text"/>
    <w:basedOn w:val="Normal"/>
    <w:uiPriority w:val="1"/>
    <w:qFormat/>
    <w:rPr>
      <w:rFonts w:ascii="Arial" w:eastAsia="Arial" w:hAnsi="Arial" w:cs="Arial"/>
      <w:sz w:val="18"/>
      <w:szCs w:val="18"/>
    </w:rPr>
  </w:style>
  <w:style w:type="paragraph" w:styleId="ListParagraph">
    <w:name w:val="List Paragraph"/>
    <w:basedOn w:val="Normal"/>
    <w:uiPriority w:val="1"/>
    <w:qFormat/>
    <w:pPr>
      <w:spacing w:before="48"/>
      <w:ind w:left="1662" w:hanging="360"/>
    </w:pPr>
  </w:style>
  <w:style w:type="paragraph" w:customStyle="1" w:styleId="TableParagraph">
    <w:name w:val="Table Paragraph"/>
    <w:basedOn w:val="Normal"/>
    <w:uiPriority w:val="1"/>
    <w:qFormat/>
    <w:pPr>
      <w:spacing w:before="74"/>
      <w:ind w:left="117"/>
    </w:pPr>
  </w:style>
  <w:style w:type="paragraph" w:styleId="BalloonText">
    <w:name w:val="Balloon Text"/>
    <w:basedOn w:val="Normal"/>
    <w:link w:val="BalloonTextChar"/>
    <w:uiPriority w:val="99"/>
    <w:semiHidden/>
    <w:unhideWhenUsed/>
    <w:rsid w:val="007A1955"/>
    <w:rPr>
      <w:rFonts w:ascii="Tahoma" w:hAnsi="Tahoma" w:cs="Tahoma"/>
      <w:sz w:val="16"/>
      <w:szCs w:val="16"/>
    </w:rPr>
  </w:style>
  <w:style w:type="character" w:customStyle="1" w:styleId="BalloonTextChar">
    <w:name w:val="Balloon Text Char"/>
    <w:basedOn w:val="DefaultParagraphFont"/>
    <w:link w:val="BalloonText"/>
    <w:uiPriority w:val="99"/>
    <w:semiHidden/>
    <w:rsid w:val="007A1955"/>
    <w:rPr>
      <w:rFonts w:ascii="Tahoma" w:eastAsia="Trebuchet MS" w:hAnsi="Tahoma" w:cs="Tahoma"/>
      <w:sz w:val="16"/>
      <w:szCs w:val="16"/>
    </w:rPr>
  </w:style>
  <w:style w:type="paragraph" w:styleId="Header">
    <w:name w:val="header"/>
    <w:basedOn w:val="Normal"/>
    <w:link w:val="HeaderChar"/>
    <w:uiPriority w:val="99"/>
    <w:unhideWhenUsed/>
    <w:rsid w:val="007A1955"/>
    <w:pPr>
      <w:tabs>
        <w:tab w:val="center" w:pos="4680"/>
        <w:tab w:val="right" w:pos="9360"/>
      </w:tabs>
    </w:pPr>
  </w:style>
  <w:style w:type="character" w:customStyle="1" w:styleId="HeaderChar">
    <w:name w:val="Header Char"/>
    <w:basedOn w:val="DefaultParagraphFont"/>
    <w:link w:val="Header"/>
    <w:uiPriority w:val="99"/>
    <w:rsid w:val="007A1955"/>
    <w:rPr>
      <w:rFonts w:ascii="Trebuchet MS" w:eastAsia="Trebuchet MS" w:hAnsi="Trebuchet MS" w:cs="Trebuchet MS"/>
    </w:rPr>
  </w:style>
  <w:style w:type="paragraph" w:styleId="Footer">
    <w:name w:val="footer"/>
    <w:basedOn w:val="Normal"/>
    <w:link w:val="FooterChar"/>
    <w:uiPriority w:val="99"/>
    <w:unhideWhenUsed/>
    <w:rsid w:val="007A1955"/>
    <w:pPr>
      <w:tabs>
        <w:tab w:val="center" w:pos="4680"/>
        <w:tab w:val="right" w:pos="9360"/>
      </w:tabs>
    </w:pPr>
  </w:style>
  <w:style w:type="character" w:customStyle="1" w:styleId="FooterChar">
    <w:name w:val="Footer Char"/>
    <w:basedOn w:val="DefaultParagraphFont"/>
    <w:link w:val="Footer"/>
    <w:uiPriority w:val="99"/>
    <w:rsid w:val="007A1955"/>
    <w:rPr>
      <w:rFonts w:ascii="Trebuchet MS" w:eastAsia="Trebuchet MS" w:hAnsi="Trebuchet MS" w:cs="Trebuchet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xtlabs.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techpubs@nextlabs.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support@nextlabs.com" TargetMode="External"/><Relationship Id="rId4" Type="http://schemas.openxmlformats.org/officeDocument/2006/relationships/webSettings" Target="webSettings.xml"/><Relationship Id="rId9" Type="http://schemas.openxmlformats.org/officeDocument/2006/relationships/hyperlink" Target="mailto:info@nextlab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NextLabs CADRMX SDK</vt:lpstr>
    </vt:vector>
  </TitlesOfParts>
  <Company>NextLabs, Inc.</Company>
  <LinksUpToDate>false</LinksUpToDate>
  <CharactersWithSpaces>1971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NextLabs CADRMX SDK</dc:title>
  <dc:subject>NextLabs Rights Management eXtension 5 for Teamcenter Release Notes</dc:subject>
  <dc:creator>NextLabs, Inc.</dc:creator>
  <cp:keywords>Documentation</cp:keywords>
  <cp:lastModifiedBy>Joany (Songqiong) Yang</cp:lastModifiedBy>
  <cp:revision>6</cp:revision>
  <cp:lastPrinted>2020-03-23T08:21:00Z</cp:lastPrinted>
  <dcterms:created xsi:type="dcterms:W3CDTF">2020-03-18T16:28:00Z</dcterms:created>
  <dcterms:modified xsi:type="dcterms:W3CDTF">2020-03-23T09:25:00Z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2016-02-26T00:00:00Z</vt:filetime>
  </property>
  <property fmtid="{D5CDD505-2E9C-101B-9397-08002B2CF9AE}" pid="3" name="Creator">
    <vt:lpwstr>FrameMaker 2015.1</vt:lpwstr>
  </property>
  <property fmtid="{D5CDD505-2E9C-101B-9397-08002B2CF9AE}" pid="4" name="LastSaved">
    <vt:filetime>2020-03-18T00:00:00Z</vt:filetime>
  </property>
</Properties>
</file>