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_GB2312" w:hAnsi="楷体_GB2312" w:eastAsia="楷体_GB2312"/>
          <w:b/>
          <w:bCs/>
          <w:sz w:val="28"/>
          <w:szCs w:val="28"/>
        </w:rPr>
      </w:pPr>
      <w:r>
        <w:rPr>
          <w:rFonts w:hint="eastAsia" w:ascii="楷体_GB2312" w:hAnsi="楷体_GB2312" w:eastAsia="楷体_GB2312"/>
          <w:b/>
          <w:bCs/>
          <w:sz w:val="28"/>
          <w:szCs w:val="28"/>
        </w:rPr>
        <w:t>场外衍生品交易确认书</w:t>
      </w:r>
    </w:p>
    <w:p>
      <w:pPr>
        <w:spacing w:line="360" w:lineRule="auto"/>
        <w:jc w:val="center"/>
        <w:rPr>
          <w:rFonts w:ascii="楷体" w:hAnsi="楷体" w:eastAsia="楷体"/>
          <w:sz w:val="24"/>
        </w:rPr>
      </w:pPr>
      <w:r>
        <w:rPr>
          <w:rFonts w:hint="eastAsia" w:ascii="楷体" w:hAnsi="楷体" w:eastAsia="楷体"/>
          <w:sz w:val="24"/>
        </w:rPr>
        <w:t>（挂钩利率期货互换交易）</w:t>
      </w:r>
    </w:p>
    <w:p>
      <w:pPr>
        <w:spacing w:line="360" w:lineRule="auto"/>
        <w:jc w:val="center"/>
        <w:rPr>
          <w:rFonts w:ascii="楷体" w:hAnsi="楷体" w:eastAsia="楷体"/>
          <w:sz w:val="24"/>
        </w:rPr>
      </w:pPr>
      <w:r>
        <w:rPr>
          <w:rFonts w:hint="eastAsia" w:ascii="楷体" w:hAnsi="楷体" w:eastAsia="楷体"/>
          <w:sz w:val="24"/>
        </w:rPr>
        <w:t>编号【</w:t>
      </w:r>
      <w:r>
        <w:rPr>
          <w:rFonts w:hint="eastAsia" w:ascii="黑体" w:hAnsi="黑体" w:eastAsia="黑体"/>
          <w:szCs w:val="21"/>
        </w:rPr>
        <w:t>CNTRID</w:t>
      </w:r>
      <w:r>
        <w:rPr>
          <w:rFonts w:hint="eastAsia" w:ascii="楷体" w:hAnsi="楷体" w:eastAsia="楷体"/>
          <w:sz w:val="24"/>
        </w:rPr>
        <w:t>】</w:t>
      </w:r>
    </w:p>
    <w:tbl>
      <w:tblPr>
        <w:tblStyle w:val="18"/>
        <w:tblW w:w="107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53"/>
        <w:gridCol w:w="5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vAlign w:val="top"/>
          </w:tcPr>
          <w:p>
            <w:pPr>
              <w:rPr>
                <w:rFonts w:ascii="楷体" w:hAnsi="楷体" w:eastAsia="楷体"/>
              </w:rPr>
            </w:pPr>
            <w:r>
              <w:rPr>
                <w:rFonts w:hint="eastAsia" w:ascii="楷体" w:hAnsi="楷体" w:eastAsia="楷体"/>
              </w:rPr>
              <w:t>甲方：中信证券股份有限公司</w:t>
            </w:r>
          </w:p>
        </w:tc>
        <w:tc>
          <w:tcPr>
            <w:tcW w:w="5387" w:type="dxa"/>
            <w:vAlign w:val="top"/>
          </w:tcPr>
          <w:p>
            <w:pPr>
              <w:rPr>
                <w:rFonts w:ascii="楷体" w:hAnsi="楷体" w:eastAsia="楷体"/>
              </w:rPr>
            </w:pPr>
            <w:r>
              <w:rPr>
                <w:rFonts w:hint="eastAsia" w:ascii="楷体" w:hAnsi="楷体" w:eastAsia="楷体"/>
              </w:rPr>
              <w:t>乙方：</w:t>
            </w:r>
            <w:r>
              <w:rPr>
                <w:rFonts w:hint="eastAsia" w:ascii="楷体" w:hAnsi="楷体" w:eastAsia="楷体"/>
                <w:lang w:val="en-US" w:eastAsia="zh-CN"/>
              </w:rPr>
              <w:t>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tcPr>
          <w:p>
            <w:pPr>
              <w:rPr>
                <w:rFonts w:ascii="楷体" w:hAnsi="楷体" w:eastAsia="楷体"/>
                <w:b/>
              </w:rPr>
            </w:pPr>
            <w:r>
              <w:rPr>
                <w:rFonts w:hint="eastAsia" w:ascii="楷体" w:hAnsi="楷体" w:eastAsia="楷体"/>
                <w:b/>
              </w:rPr>
              <w:t>甲方法定代表人或授权代表（签字或签章）：</w:t>
            </w:r>
          </w:p>
        </w:tc>
        <w:tc>
          <w:tcPr>
            <w:tcW w:w="5387" w:type="dxa"/>
          </w:tcPr>
          <w:p>
            <w:pPr>
              <w:rPr>
                <w:rFonts w:ascii="楷体" w:hAnsi="楷体" w:eastAsia="楷体"/>
                <w:b/>
              </w:rPr>
            </w:pPr>
            <w:r>
              <w:rPr>
                <w:rFonts w:hint="eastAsia" w:ascii="楷体" w:hAnsi="楷体" w:eastAsia="楷体"/>
                <w:b/>
              </w:rPr>
              <w:t>乙方法定代表人/执行事务合伙人或授权代表</w:t>
            </w:r>
          </w:p>
          <w:p>
            <w:pPr>
              <w:rPr>
                <w:rFonts w:ascii="楷体" w:hAnsi="楷体" w:eastAsia="楷体"/>
                <w:b/>
              </w:rPr>
            </w:pPr>
            <w:r>
              <w:rPr>
                <w:rFonts w:hint="eastAsia" w:ascii="楷体" w:hAnsi="楷体" w:eastAsia="楷体"/>
                <w:b/>
              </w:rPr>
              <w:t>（签字或签章）：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tcPr>
          <w:p>
            <w:pPr>
              <w:rPr>
                <w:rFonts w:ascii="楷体" w:hAnsi="楷体" w:eastAsia="楷体"/>
                <w:b/>
              </w:rPr>
            </w:pPr>
            <w:r>
              <w:rPr>
                <w:rFonts w:hint="eastAsia" w:ascii="楷体" w:hAnsi="楷体" w:eastAsia="楷体"/>
                <w:b/>
              </w:rPr>
              <w:t>或甲方公章或合同专用章：</w:t>
            </w:r>
          </w:p>
        </w:tc>
        <w:tc>
          <w:tcPr>
            <w:tcW w:w="5387" w:type="dxa"/>
          </w:tcPr>
          <w:p>
            <w:pPr>
              <w:rPr>
                <w:rFonts w:ascii="楷体" w:hAnsi="楷体" w:eastAsia="楷体"/>
                <w:b/>
              </w:rPr>
            </w:pPr>
            <w:r>
              <w:rPr>
                <w:rFonts w:hint="eastAsia" w:ascii="楷体" w:hAnsi="楷体" w:eastAsia="楷体"/>
                <w:b/>
              </w:rPr>
              <w:t>或乙方公章或合同专用章：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tcPr>
          <w:p>
            <w:pPr>
              <w:rPr>
                <w:rFonts w:ascii="楷体" w:hAnsi="楷体" w:eastAsia="楷体"/>
                <w:b/>
              </w:rPr>
            </w:pPr>
            <w:r>
              <w:rPr>
                <w:rFonts w:hint="eastAsia" w:ascii="楷体" w:hAnsi="楷体" w:eastAsia="楷体"/>
                <w:sz w:val="18"/>
                <w:szCs w:val="18"/>
              </w:rPr>
              <w:t>甲方确认已对本确认书进行了及时、认真的检查，并确认本确认书的上述内容正确地反映了甲乙双方就本交易所达成的条款和条件。</w:t>
            </w:r>
          </w:p>
        </w:tc>
        <w:tc>
          <w:tcPr>
            <w:tcW w:w="5387" w:type="dxa"/>
          </w:tcPr>
          <w:p>
            <w:pPr>
              <w:rPr>
                <w:rFonts w:ascii="楷体" w:hAnsi="楷体" w:eastAsia="楷体"/>
                <w:b/>
              </w:rPr>
            </w:pPr>
            <w:r>
              <w:rPr>
                <w:rFonts w:hint="eastAsia" w:ascii="楷体" w:hAnsi="楷体" w:eastAsia="楷体"/>
                <w:sz w:val="18"/>
                <w:szCs w:val="18"/>
              </w:rPr>
              <w:t>乙方确认已对本确认书进行了及时、认真的检查，并确认本确认书的上述内容正确地反映了甲乙双方就本交易所达成的条款和条件。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353" w:type="dxa"/>
            <w:vAlign w:val="top"/>
          </w:tcPr>
          <w:p>
            <w:pPr>
              <w:rPr>
                <w:rFonts w:ascii="楷体" w:hAnsi="楷体" w:eastAsia="楷体"/>
                <w:b/>
              </w:rPr>
            </w:pPr>
            <w:r>
              <w:rPr>
                <w:rFonts w:hint="eastAsia" w:ascii="楷体" w:hAnsi="楷体" w:eastAsia="楷体"/>
                <w:b/>
              </w:rPr>
              <w:t>日期：</w:t>
            </w:r>
            <w:r>
              <w:rPr>
                <w:rFonts w:hint="eastAsia" w:ascii="楷体" w:hAnsi="楷体" w:eastAsia="楷体"/>
                <w:bCs/>
                <w:szCs w:val="21"/>
              </w:rPr>
              <w:t>SIGN_DATE</w:t>
            </w:r>
          </w:p>
        </w:tc>
        <w:tc>
          <w:tcPr>
            <w:tcW w:w="5387" w:type="dxa"/>
            <w:vAlign w:val="top"/>
          </w:tcPr>
          <w:p>
            <w:pPr>
              <w:rPr>
                <w:rFonts w:ascii="楷体" w:hAnsi="楷体" w:eastAsia="楷体"/>
              </w:rPr>
            </w:pPr>
            <w:r>
              <w:rPr>
                <w:rFonts w:hint="eastAsia" w:ascii="楷体" w:hAnsi="楷体" w:eastAsia="楷体"/>
                <w:b/>
              </w:rPr>
              <w:t>日期：</w:t>
            </w:r>
            <w:r>
              <w:rPr>
                <w:rFonts w:hint="eastAsia" w:ascii="楷体" w:hAnsi="楷体" w:eastAsia="楷体"/>
                <w:bCs/>
                <w:szCs w:val="21"/>
              </w:rPr>
              <w:t>SIGN_DATE</w:t>
            </w:r>
          </w:p>
        </w:tc>
      </w:tr>
    </w:tbl>
    <w:p>
      <w:pPr>
        <w:spacing w:line="0" w:lineRule="atLeast"/>
        <w:rPr>
          <w:rFonts w:ascii="楷体" w:hAnsi="楷体" w:eastAsia="楷体"/>
          <w:szCs w:val="21"/>
        </w:rPr>
      </w:pPr>
    </w:p>
    <w:p>
      <w:pPr>
        <w:spacing w:line="0" w:lineRule="atLeast"/>
        <w:ind w:firstLine="540"/>
        <w:rPr>
          <w:rFonts w:ascii="楷体" w:hAnsi="楷体" w:eastAsia="楷体"/>
          <w:szCs w:val="21"/>
        </w:rPr>
      </w:pPr>
      <w:r>
        <w:rPr>
          <w:rFonts w:hint="eastAsia" w:ascii="楷体" w:hAnsi="楷体" w:eastAsia="楷体"/>
          <w:szCs w:val="21"/>
        </w:rPr>
        <w:t>甲方和乙方以下单独称“交易一方”，合称“交易双方”。交易双方已签署了《MAIN_CNTR_NAME》（以下称“主协议”）（合同编号：【</w:t>
      </w:r>
      <w:r>
        <w:rPr>
          <w:rFonts w:ascii="黑体" w:hAnsi="黑体" w:eastAsia="黑体"/>
          <w:szCs w:val="21"/>
        </w:rPr>
        <w:t>MAIN_CONTRACT_ID</w:t>
      </w:r>
      <w:r>
        <w:rPr>
          <w:rFonts w:hint="eastAsia" w:ascii="楷体" w:hAnsi="楷体" w:eastAsia="楷体"/>
          <w:szCs w:val="21"/>
        </w:rPr>
        <w:t>】）及补充协议（以下称“补充协议”）以及《场外衍生品互换交易(挂钩利率期货)定义文件》（以下称“定义文件”）。本确认书构成主协议下的一项“交易有效约定”，主协议、补充协议和定义文件中的全部条款适用于本确认书，除非本确认书另有约定。</w:t>
      </w:r>
    </w:p>
    <w:p>
      <w:pPr>
        <w:spacing w:line="0" w:lineRule="atLeast"/>
        <w:ind w:firstLine="540"/>
        <w:rPr>
          <w:rFonts w:ascii="楷体" w:hAnsi="楷体" w:eastAsia="楷体"/>
          <w:szCs w:val="21"/>
        </w:rPr>
      </w:pPr>
      <w:r>
        <w:rPr>
          <w:rFonts w:hint="eastAsia" w:ascii="楷体" w:hAnsi="楷体" w:eastAsia="楷体"/>
          <w:szCs w:val="21"/>
        </w:rPr>
        <w:tab/>
      </w:r>
      <w:r>
        <w:rPr>
          <w:rFonts w:hint="eastAsia" w:ascii="楷体" w:hAnsi="楷体" w:eastAsia="楷体"/>
          <w:szCs w:val="21"/>
        </w:rPr>
        <w:t>交易双方同意，本确认书所述条款构成了交易双方之间就本确认书项下交易的完整条款，且对交易双方具有法律约束力。</w:t>
      </w:r>
    </w:p>
    <w:tbl>
      <w:tblPr>
        <w:tblStyle w:val="18"/>
        <w:tblW w:w="10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10598" w:type="dxa"/>
            <w:gridSpan w:val="2"/>
          </w:tcPr>
          <w:p>
            <w:pPr>
              <w:pStyle w:val="3"/>
              <w:numPr>
                <w:ilvl w:val="0"/>
                <w:numId w:val="2"/>
              </w:numPr>
              <w:spacing w:before="0" w:after="0" w:line="0" w:lineRule="atLeast"/>
              <w:rPr>
                <w:rFonts w:ascii="Times New Roman" w:hAnsi="Times New Roman" w:eastAsia="楷体"/>
                <w:sz w:val="21"/>
                <w:szCs w:val="21"/>
              </w:rPr>
            </w:pPr>
            <w:bookmarkStart w:id="0" w:name="_MON_1416987714"/>
            <w:bookmarkEnd w:id="0"/>
            <w:r>
              <w:rPr>
                <w:rFonts w:ascii="Times New Roman" w:hAnsi="Times New Roman" w:eastAsia="楷体"/>
                <w:sz w:val="21"/>
                <w:szCs w:val="21"/>
              </w:rPr>
              <w:t>基本条款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ab/>
            </w:r>
            <w:r>
              <w:rPr>
                <w:rFonts w:eastAsia="楷体"/>
                <w:bCs/>
                <w:szCs w:val="21"/>
              </w:rPr>
              <w:t>交易达成日</w:t>
            </w:r>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ab/>
            </w:r>
            <w:bookmarkStart w:id="1" w:name="_Ref347491823"/>
            <w:r>
              <w:rPr>
                <w:rFonts w:eastAsia="楷体"/>
                <w:bCs/>
                <w:szCs w:val="21"/>
              </w:rPr>
              <w:t>起始日</w:t>
            </w:r>
            <w:bookmarkEnd w:id="1"/>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ab/>
            </w:r>
            <w:bookmarkStart w:id="2" w:name="_Ref350159822"/>
            <w:r>
              <w:rPr>
                <w:rFonts w:eastAsia="楷体"/>
                <w:bCs/>
                <w:szCs w:val="21"/>
              </w:rPr>
              <w:t>到期日</w:t>
            </w:r>
            <w:bookmarkEnd w:id="2"/>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hint="eastAsia" w:eastAsia="楷体"/>
                <w:bCs/>
                <w:szCs w:val="21"/>
              </w:rPr>
              <w:t>最后平仓日</w:t>
            </w:r>
          </w:p>
        </w:tc>
        <w:tc>
          <w:tcPr>
            <w:tcW w:w="8222" w:type="dxa"/>
          </w:tcPr>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8"/>
              <w:gridCol w:w="3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标的合约名称</w:t>
                  </w:r>
                </w:p>
              </w:tc>
              <w:tc>
                <w:tcPr>
                  <w:tcW w:w="3998" w:type="dxa"/>
                </w:tcPr>
                <w:p>
                  <w:pPr>
                    <w:spacing w:line="0" w:lineRule="atLeast"/>
                    <w:rPr>
                      <w:rFonts w:eastAsia="楷体"/>
                      <w:bCs/>
                      <w:szCs w:val="21"/>
                    </w:rPr>
                  </w:pPr>
                  <w:r>
                    <w:rPr>
                      <w:rFonts w:hint="eastAsia" w:eastAsia="楷体"/>
                      <w:bCs/>
                      <w:szCs w:val="21"/>
                    </w:rPr>
                    <w:t>最后平仓日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美债两年期货合约(</w:t>
                  </w:r>
                  <w:r>
                    <w:rPr>
                      <w:rFonts w:eastAsia="楷体"/>
                      <w:bCs/>
                      <w:szCs w:val="21"/>
                    </w:rPr>
                    <w:t>2-Year US Treasury Note Futures)</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美债五年期货合约(</w:t>
                  </w:r>
                  <w:r>
                    <w:rPr>
                      <w:rFonts w:eastAsia="楷体"/>
                      <w:bCs/>
                      <w:szCs w:val="21"/>
                    </w:rPr>
                    <w:t>5-Year US Treasury Note Futures)</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美债十年期货合约（1</w:t>
                  </w:r>
                  <w:r>
                    <w:rPr>
                      <w:rFonts w:eastAsia="楷体"/>
                      <w:bCs/>
                      <w:szCs w:val="21"/>
                    </w:rPr>
                    <w:t>0-Year US Treasury Note Futures</w:t>
                  </w:r>
                  <w:r>
                    <w:rPr>
                      <w:rFonts w:hint="eastAsia" w:eastAsia="楷体"/>
                      <w:bCs/>
                      <w:szCs w:val="21"/>
                    </w:rPr>
                    <w:t>）</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美债超十年期货合约(</w:t>
                  </w:r>
                  <w:r>
                    <w:rPr>
                      <w:rFonts w:eastAsia="楷体"/>
                      <w:bCs/>
                      <w:szCs w:val="21"/>
                    </w:rPr>
                    <w:t>Ultra 10-Year US Treasury Note Futures)</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美债长期期货合约（U</w:t>
                  </w:r>
                  <w:r>
                    <w:rPr>
                      <w:rFonts w:eastAsia="楷体"/>
                      <w:bCs/>
                      <w:szCs w:val="21"/>
                    </w:rPr>
                    <w:t>.S. Treasury Long Bond Futures</w:t>
                  </w:r>
                  <w:r>
                    <w:rPr>
                      <w:rFonts w:hint="eastAsia" w:eastAsia="楷体"/>
                      <w:bCs/>
                      <w:szCs w:val="21"/>
                    </w:rPr>
                    <w:t>）</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8" w:type="dxa"/>
                </w:tcPr>
                <w:p>
                  <w:pPr>
                    <w:spacing w:line="0" w:lineRule="atLeast"/>
                    <w:rPr>
                      <w:rFonts w:eastAsia="楷体"/>
                      <w:bCs/>
                      <w:szCs w:val="21"/>
                    </w:rPr>
                  </w:pPr>
                  <w:r>
                    <w:rPr>
                      <w:rFonts w:hint="eastAsia" w:eastAsia="楷体"/>
                      <w:bCs/>
                      <w:szCs w:val="21"/>
                    </w:rPr>
                    <w:t>美债超长期期货合约(</w:t>
                  </w:r>
                  <w:r>
                    <w:rPr>
                      <w:rFonts w:eastAsia="楷体"/>
                      <w:bCs/>
                      <w:szCs w:val="21"/>
                    </w:rPr>
                    <w:t>CME Ultra Long Term U.S. Treasury Bond Futures)</w:t>
                  </w:r>
                </w:p>
              </w:tc>
              <w:tc>
                <w:tcPr>
                  <w:tcW w:w="3998" w:type="dxa"/>
                </w:tcPr>
                <w:p>
                  <w:pPr>
                    <w:spacing w:line="0" w:lineRule="atLeast"/>
                    <w:rPr>
                      <w:rFonts w:eastAsia="楷体"/>
                      <w:bCs/>
                      <w:szCs w:val="21"/>
                    </w:rPr>
                  </w:pPr>
                  <w:r>
                    <w:rPr>
                      <w:rFonts w:hint="eastAsia" w:eastAsia="楷体"/>
                      <w:bCs/>
                      <w:szCs w:val="21"/>
                    </w:rPr>
                    <w:t>标的合约第一通知日前</w:t>
                  </w:r>
                  <w:r>
                    <w:rPr>
                      <w:rFonts w:eastAsia="楷体"/>
                      <w:bCs/>
                      <w:szCs w:val="21"/>
                    </w:rPr>
                    <w:t>2</w:t>
                  </w:r>
                  <w:r>
                    <w:rPr>
                      <w:rFonts w:hint="eastAsia" w:eastAsia="楷体"/>
                      <w:bCs/>
                      <w:szCs w:val="21"/>
                    </w:rPr>
                    <w:t>个营业日</w:t>
                  </w:r>
                </w:p>
              </w:tc>
            </w:tr>
          </w:tbl>
          <w:p>
            <w:pPr>
              <w:spacing w:line="0" w:lineRule="atLeast"/>
              <w:rPr>
                <w:rFonts w:eastAsia="楷体"/>
                <w:bCs/>
                <w:szCs w:val="21"/>
              </w:rPr>
            </w:pPr>
          </w:p>
          <w:p>
            <w:pPr>
              <w:spacing w:line="0" w:lineRule="atLeast"/>
              <w:rPr>
                <w:rFonts w:eastAsia="楷体"/>
                <w:bCs/>
                <w:szCs w:val="21"/>
              </w:rPr>
            </w:pPr>
            <w:r>
              <w:rPr>
                <w:rFonts w:hint="eastAsia" w:eastAsia="楷体"/>
                <w:bCs/>
                <w:szCs w:val="21"/>
              </w:rPr>
              <w:t>若标的合约非上述所列标的，则最后平仓日以《定义文件》为准。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ab/>
            </w:r>
            <w:bookmarkStart w:id="3" w:name="_Ref378093245"/>
            <w:r>
              <w:rPr>
                <w:rFonts w:eastAsia="楷体"/>
                <w:bCs/>
                <w:szCs w:val="21"/>
              </w:rPr>
              <w:t>投资组合</w:t>
            </w:r>
            <w:bookmarkEnd w:id="3"/>
          </w:p>
        </w:tc>
        <w:tc>
          <w:tcPr>
            <w:tcW w:w="8222" w:type="dxa"/>
          </w:tcPr>
          <w:p>
            <w:pPr>
              <w:spacing w:line="0" w:lineRule="atLeast"/>
              <w:rPr>
                <w:rFonts w:eastAsia="楷体"/>
                <w:bCs/>
                <w:szCs w:val="21"/>
              </w:rPr>
            </w:pPr>
            <w:r>
              <w:rPr>
                <w:rFonts w:eastAsia="楷体"/>
                <w:bCs/>
                <w:szCs w:val="21"/>
              </w:rPr>
              <w:t>构成投资组合的标的及其代码、标的名义数量、标的期初价格、方向、合约乘数以本交易确认书附录一为准。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合约名义本金额</w:t>
            </w:r>
          </w:p>
        </w:tc>
        <w:tc>
          <w:tcPr>
            <w:tcW w:w="8222" w:type="dxa"/>
          </w:tcPr>
          <w:p>
            <w:pPr>
              <w:spacing w:line="0" w:lineRule="atLeast"/>
              <w:rPr>
                <w:rFonts w:eastAsia="楷体"/>
                <w:bCs/>
                <w:szCs w:val="21"/>
              </w:rPr>
            </w:pPr>
            <w:r>
              <w:rPr>
                <w:rFonts w:eastAsia="楷体"/>
                <w:bCs/>
                <w:szCs w:val="21"/>
              </w:rPr>
              <w:t>以本交易确认书附录一约定为准，以交易货币计价。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计算机构</w:t>
            </w:r>
          </w:p>
        </w:tc>
        <w:tc>
          <w:tcPr>
            <w:tcW w:w="8222" w:type="dxa"/>
          </w:tcPr>
          <w:p>
            <w:pPr>
              <w:spacing w:line="0" w:lineRule="atLeast"/>
              <w:rPr>
                <w:rFonts w:eastAsia="楷体"/>
                <w:bCs/>
                <w:szCs w:val="21"/>
              </w:rPr>
            </w:pPr>
            <w:r>
              <w:rPr>
                <w:rFonts w:eastAsia="楷体"/>
                <w:bCs/>
                <w:szCs w:val="21"/>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交易对冲方</w:t>
            </w:r>
          </w:p>
        </w:tc>
        <w:tc>
          <w:tcPr>
            <w:tcW w:w="8222" w:type="dxa"/>
          </w:tcPr>
          <w:p>
            <w:pPr>
              <w:spacing w:line="0" w:lineRule="atLeast"/>
              <w:rPr>
                <w:rFonts w:eastAsia="楷体"/>
                <w:bCs/>
                <w:szCs w:val="21"/>
              </w:rPr>
            </w:pPr>
            <w:r>
              <w:rPr>
                <w:rFonts w:eastAsia="楷体"/>
                <w:bCs/>
                <w:szCs w:val="21"/>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交易货币</w:t>
            </w:r>
          </w:p>
        </w:tc>
        <w:tc>
          <w:tcPr>
            <w:tcW w:w="8222" w:type="dxa"/>
          </w:tcPr>
          <w:p>
            <w:pPr>
              <w:spacing w:line="0" w:lineRule="atLeast"/>
              <w:rPr>
                <w:rFonts w:eastAsia="楷体"/>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 w:val="left" w:pos="607"/>
              </w:tabs>
              <w:spacing w:line="0" w:lineRule="atLeast"/>
              <w:rPr>
                <w:rFonts w:eastAsia="楷体"/>
                <w:bCs/>
                <w:szCs w:val="21"/>
              </w:rPr>
            </w:pPr>
            <w:r>
              <w:rPr>
                <w:rFonts w:eastAsia="楷体"/>
                <w:bCs/>
                <w:szCs w:val="21"/>
              </w:rPr>
              <w:t>结算货币</w:t>
            </w:r>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0598" w:type="dxa"/>
            <w:gridSpan w:val="2"/>
          </w:tcPr>
          <w:p>
            <w:pPr>
              <w:pStyle w:val="3"/>
              <w:numPr>
                <w:ilvl w:val="0"/>
                <w:numId w:val="2"/>
              </w:numPr>
              <w:spacing w:before="0" w:after="0" w:line="0" w:lineRule="atLeast"/>
              <w:rPr>
                <w:rFonts w:ascii="Times New Roman" w:hAnsi="Times New Roman" w:eastAsia="楷体"/>
                <w:sz w:val="21"/>
                <w:szCs w:val="21"/>
              </w:rPr>
            </w:pPr>
            <w:r>
              <w:rPr>
                <w:rFonts w:ascii="Times New Roman" w:hAnsi="Times New Roman" w:eastAsia="楷体"/>
                <w:sz w:val="21"/>
                <w:szCs w:val="21"/>
              </w:rPr>
              <w:t>浮动收益金额条款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376" w:type="dxa"/>
          </w:tcPr>
          <w:p>
            <w:pPr>
              <w:numPr>
                <w:ilvl w:val="1"/>
                <w:numId w:val="2"/>
              </w:numPr>
              <w:spacing w:line="0" w:lineRule="atLeast"/>
              <w:rPr>
                <w:rFonts w:eastAsia="楷体"/>
                <w:bCs/>
                <w:szCs w:val="21"/>
              </w:rPr>
            </w:pPr>
            <w:bookmarkStart w:id="4" w:name="_Ref356147837"/>
            <w:r>
              <w:rPr>
                <w:rFonts w:eastAsia="楷体"/>
                <w:bCs/>
                <w:szCs w:val="21"/>
              </w:rPr>
              <w:t>浮动收益计算日</w:t>
            </w:r>
            <w:bookmarkEnd w:id="4"/>
          </w:p>
        </w:tc>
        <w:tc>
          <w:tcPr>
            <w:tcW w:w="8222" w:type="dxa"/>
          </w:tcPr>
          <w:p>
            <w:pPr>
              <w:spacing w:line="0" w:lineRule="atLeast"/>
              <w:rPr>
                <w:rFonts w:eastAsia="楷体"/>
                <w:szCs w:val="21"/>
              </w:rPr>
            </w:pPr>
            <w:r>
              <w:rPr>
                <w:rFonts w:hint="eastAsia" w:eastAsia="楷体"/>
                <w:bCs/>
                <w:szCs w:val="21"/>
              </w:rPr>
              <w:t>以《定义文件》为准。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376" w:type="dxa"/>
          </w:tcPr>
          <w:p>
            <w:pPr>
              <w:numPr>
                <w:ilvl w:val="1"/>
                <w:numId w:val="2"/>
              </w:numPr>
              <w:spacing w:line="0" w:lineRule="atLeast"/>
              <w:rPr>
                <w:rFonts w:eastAsia="楷体"/>
                <w:bCs/>
                <w:szCs w:val="21"/>
              </w:rPr>
            </w:pPr>
            <w:r>
              <w:rPr>
                <w:rFonts w:eastAsia="楷体"/>
                <w:bCs/>
                <w:szCs w:val="21"/>
              </w:rPr>
              <w:t>浮动收益金额</w:t>
            </w:r>
          </w:p>
        </w:tc>
        <w:tc>
          <w:tcPr>
            <w:tcW w:w="8222" w:type="dxa"/>
          </w:tcPr>
          <w:p>
            <w:pPr>
              <w:spacing w:line="0" w:lineRule="atLeast"/>
              <w:rPr>
                <w:rFonts w:eastAsia="楷体"/>
                <w:bCs/>
                <w:szCs w:val="21"/>
              </w:rPr>
            </w:pPr>
            <w:r>
              <w:rPr>
                <w:rFonts w:hint="eastAsia" w:eastAsia="楷体"/>
                <w:bCs/>
                <w:szCs w:val="21"/>
              </w:rPr>
              <w:t>以《定义文件》为准。浮动收益金额以交易货币计价，按照浮动收益支付日当日汇率折算为人民币进行结算交收。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bookmarkStart w:id="5" w:name="_Ref347491949"/>
            <w:r>
              <w:rPr>
                <w:rFonts w:eastAsia="楷体"/>
                <w:bCs/>
                <w:szCs w:val="21"/>
              </w:rPr>
              <w:t>浮动收益支付日</w:t>
            </w:r>
            <w:bookmarkEnd w:id="5"/>
          </w:p>
        </w:tc>
        <w:tc>
          <w:tcPr>
            <w:tcW w:w="8222" w:type="dxa"/>
          </w:tcPr>
          <w:p>
            <w:pPr>
              <w:pStyle w:val="36"/>
              <w:spacing w:line="0" w:lineRule="atLeast"/>
              <w:ind w:left="36" w:hanging="35" w:hangingChars="17"/>
              <w:rPr>
                <w:rFonts w:eastAsia="楷体"/>
                <w:bCs/>
                <w:szCs w:val="21"/>
              </w:rPr>
            </w:pPr>
            <w:r>
              <w:rPr>
                <w:rFonts w:hint="eastAsia" w:eastAsia="楷体"/>
                <w:bCs/>
                <w:szCs w:val="21"/>
              </w:rPr>
              <w:t>同浮动收益计算日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浮动收益金额支付方</w:t>
            </w:r>
          </w:p>
        </w:tc>
        <w:tc>
          <w:tcPr>
            <w:tcW w:w="8222" w:type="dxa"/>
          </w:tcPr>
          <w:p>
            <w:pPr>
              <w:pStyle w:val="36"/>
              <w:spacing w:line="0" w:lineRule="atLeast"/>
              <w:ind w:left="36" w:hanging="35" w:hangingChars="17"/>
              <w:rPr>
                <w:rFonts w:eastAsia="楷体"/>
                <w:bCs/>
                <w:szCs w:val="21"/>
              </w:rPr>
            </w:pPr>
            <w:r>
              <w:rPr>
                <w:rFonts w:eastAsia="楷体"/>
                <w:bCs/>
                <w:szCs w:val="21"/>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浮动收益金额接收方</w:t>
            </w:r>
          </w:p>
        </w:tc>
        <w:tc>
          <w:tcPr>
            <w:tcW w:w="8222" w:type="dxa"/>
          </w:tcPr>
          <w:p>
            <w:pPr>
              <w:spacing w:line="0" w:lineRule="atLeast"/>
              <w:rPr>
                <w:rFonts w:eastAsia="楷体"/>
                <w:bCs/>
                <w:szCs w:val="21"/>
              </w:rPr>
            </w:pPr>
            <w:r>
              <w:rPr>
                <w:rFonts w:eastAsia="楷体"/>
                <w:bCs/>
                <w:szCs w:val="21"/>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bookmarkStart w:id="6" w:name="_Ref350356579"/>
            <w:r>
              <w:rPr>
                <w:rFonts w:eastAsia="楷体"/>
                <w:bCs/>
                <w:szCs w:val="21"/>
              </w:rPr>
              <w:t>浮动收益支付</w:t>
            </w:r>
            <w:bookmarkEnd w:id="6"/>
          </w:p>
        </w:tc>
        <w:tc>
          <w:tcPr>
            <w:tcW w:w="8222" w:type="dxa"/>
          </w:tcPr>
          <w:p>
            <w:pPr>
              <w:pStyle w:val="36"/>
              <w:numPr>
                <w:ilvl w:val="0"/>
                <w:numId w:val="3"/>
              </w:numPr>
              <w:spacing w:line="0" w:lineRule="atLeast"/>
              <w:ind w:firstLineChars="0"/>
              <w:rPr>
                <w:rFonts w:eastAsia="楷体"/>
                <w:bCs/>
                <w:szCs w:val="21"/>
              </w:rPr>
            </w:pPr>
            <w:r>
              <w:rPr>
                <w:rFonts w:eastAsia="楷体"/>
                <w:bCs/>
                <w:szCs w:val="21"/>
              </w:rPr>
              <w:t>若浮动收益金额≥0，则</w:t>
            </w:r>
            <w:r>
              <w:rPr>
                <w:rFonts w:hint="eastAsia" w:eastAsia="楷体"/>
                <w:bCs/>
                <w:szCs w:val="21"/>
              </w:rPr>
              <w:t>按照浮动收益支付日汇率，由浮动收益金额支付方向浮动收益金额接收方支付换算为人民币的浮动收益金额</w:t>
            </w:r>
            <w:r>
              <w:rPr>
                <w:rFonts w:eastAsia="楷体"/>
                <w:bCs/>
                <w:szCs w:val="21"/>
              </w:rPr>
              <w:t>；</w:t>
            </w:r>
          </w:p>
          <w:p>
            <w:pPr>
              <w:pStyle w:val="36"/>
              <w:numPr>
                <w:ilvl w:val="0"/>
                <w:numId w:val="3"/>
              </w:numPr>
              <w:spacing w:line="0" w:lineRule="atLeast"/>
              <w:ind w:firstLineChars="0"/>
              <w:rPr>
                <w:rFonts w:eastAsia="楷体"/>
                <w:bCs/>
                <w:szCs w:val="21"/>
              </w:rPr>
            </w:pPr>
            <w:r>
              <w:rPr>
                <w:rFonts w:eastAsia="楷体"/>
                <w:bCs/>
                <w:szCs w:val="21"/>
              </w:rPr>
              <w:t>若浮动收益金额&lt;0，则</w:t>
            </w:r>
            <w:r>
              <w:rPr>
                <w:rFonts w:hint="eastAsia" w:eastAsia="楷体"/>
                <w:bCs/>
                <w:szCs w:val="21"/>
              </w:rPr>
              <w:t>按照浮动收益支付日汇率，由浮动收益金额接收方向浮动收益金额支付方支付换算为人民币的浮动收益金额的绝对值</w:t>
            </w:r>
            <w:r>
              <w:rPr>
                <w:rFonts w:eastAsia="楷体"/>
                <w:bCs/>
                <w:szCs w:val="21"/>
              </w:rPr>
              <w:t>。</w:t>
            </w:r>
          </w:p>
          <w:p>
            <w:pPr>
              <w:pStyle w:val="36"/>
              <w:numPr>
                <w:ilvl w:val="0"/>
                <w:numId w:val="3"/>
              </w:numPr>
              <w:spacing w:line="0" w:lineRule="atLeast"/>
              <w:ind w:firstLineChars="0"/>
              <w:rPr>
                <w:rFonts w:eastAsia="楷体"/>
                <w:bCs/>
                <w:szCs w:val="21"/>
              </w:rPr>
            </w:pPr>
            <w:r>
              <w:rPr>
                <w:rFonts w:hint="eastAsia" w:eastAsia="楷体"/>
                <w:bCs/>
                <w:szCs w:val="21"/>
              </w:rPr>
              <w:t>浮动收益支付的结算通过增加或减少乙方对应交易货币的预付金（增加或扣减的金额为按照浮动收益支付日汇率将对应浮动收益金额换算为人民币的金额）实现。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0598" w:type="dxa"/>
            <w:gridSpan w:val="2"/>
          </w:tcPr>
          <w:p>
            <w:pPr>
              <w:pStyle w:val="3"/>
              <w:numPr>
                <w:ilvl w:val="0"/>
                <w:numId w:val="2"/>
              </w:numPr>
              <w:spacing w:before="0" w:after="0" w:line="0" w:lineRule="atLeast"/>
              <w:rPr>
                <w:rFonts w:ascii="Times New Roman" w:hAnsi="Times New Roman" w:eastAsia="楷体"/>
                <w:bCs w:val="0"/>
                <w:sz w:val="21"/>
                <w:szCs w:val="21"/>
              </w:rPr>
            </w:pPr>
            <w:r>
              <w:rPr>
                <w:rFonts w:ascii="Times New Roman" w:hAnsi="Times New Roman" w:eastAsia="楷体"/>
                <w:sz w:val="21"/>
                <w:szCs w:val="21"/>
              </w:rPr>
              <w:t>利率收益金额条款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376" w:type="dxa"/>
          </w:tcPr>
          <w:p>
            <w:pPr>
              <w:numPr>
                <w:ilvl w:val="1"/>
                <w:numId w:val="2"/>
              </w:numPr>
              <w:spacing w:line="0" w:lineRule="atLeast"/>
              <w:rPr>
                <w:rFonts w:eastAsia="楷体"/>
                <w:bCs/>
                <w:szCs w:val="21"/>
              </w:rPr>
            </w:pPr>
            <w:r>
              <w:rPr>
                <w:rFonts w:eastAsia="楷体"/>
                <w:bCs/>
                <w:szCs w:val="21"/>
              </w:rPr>
              <w:t>基本费率</w:t>
            </w:r>
          </w:p>
        </w:tc>
        <w:tc>
          <w:tcPr>
            <w:tcW w:w="8222" w:type="dxa"/>
          </w:tcPr>
          <w:p>
            <w:pPr>
              <w:spacing w:line="0" w:lineRule="atLeast"/>
              <w:rPr>
                <w:rFonts w:eastAsia="楷体"/>
                <w:bCs/>
                <w:szCs w:val="21"/>
              </w:rPr>
            </w:pPr>
            <w:r>
              <w:rPr>
                <w:rFonts w:eastAsia="楷体"/>
                <w:bCs/>
                <w:szCs w:val="21"/>
              </w:rPr>
              <w:t>以本交易确认书附录一约定为准。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利率收益金额支付方</w:t>
            </w:r>
          </w:p>
        </w:tc>
        <w:tc>
          <w:tcPr>
            <w:tcW w:w="8222" w:type="dxa"/>
          </w:tcPr>
          <w:p>
            <w:pPr>
              <w:spacing w:line="0" w:lineRule="atLeast"/>
              <w:rPr>
                <w:rFonts w:eastAsia="楷体"/>
                <w:bCs/>
                <w:szCs w:val="21"/>
              </w:rPr>
            </w:pPr>
            <w:r>
              <w:rPr>
                <w:rFonts w:eastAsia="楷体"/>
                <w:bCs/>
                <w:szCs w:val="21"/>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r>
              <w:rPr>
                <w:rFonts w:eastAsia="楷体"/>
                <w:bCs/>
                <w:szCs w:val="21"/>
              </w:rPr>
              <w:t>利率收益金额接收方</w:t>
            </w:r>
          </w:p>
        </w:tc>
        <w:tc>
          <w:tcPr>
            <w:tcW w:w="8222" w:type="dxa"/>
          </w:tcPr>
          <w:p>
            <w:pPr>
              <w:spacing w:line="0" w:lineRule="atLeast"/>
              <w:rPr>
                <w:rFonts w:eastAsia="楷体"/>
                <w:bCs/>
                <w:szCs w:val="21"/>
              </w:rPr>
            </w:pPr>
            <w:r>
              <w:rPr>
                <w:rFonts w:eastAsia="楷体"/>
                <w:bCs/>
                <w:szCs w:val="21"/>
              </w:rPr>
              <w:t>甲方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bookmarkStart w:id="7" w:name="_Ref350348780"/>
            <w:r>
              <w:rPr>
                <w:rFonts w:eastAsia="楷体"/>
                <w:bCs/>
                <w:szCs w:val="21"/>
              </w:rPr>
              <w:t>利率收益计算日</w:t>
            </w:r>
            <w:bookmarkEnd w:id="7"/>
          </w:p>
        </w:tc>
        <w:tc>
          <w:tcPr>
            <w:tcW w:w="8222" w:type="dxa"/>
          </w:tcPr>
          <w:p>
            <w:pPr>
              <w:spacing w:line="0" w:lineRule="atLeast"/>
              <w:rPr>
                <w:rFonts w:eastAsia="楷体"/>
                <w:bCs/>
                <w:szCs w:val="21"/>
              </w:rPr>
            </w:pPr>
            <w:r>
              <w:rPr>
                <w:rFonts w:eastAsia="楷体"/>
                <w:bCs/>
                <w:szCs w:val="21"/>
              </w:rPr>
              <w:t>每年3、6、9、12月的15日、到期日或提前终止日。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spacing w:line="0" w:lineRule="atLeast"/>
              <w:rPr>
                <w:rFonts w:eastAsia="楷体"/>
                <w:bCs/>
                <w:szCs w:val="21"/>
              </w:rPr>
            </w:pPr>
            <w:bookmarkStart w:id="8" w:name="_Ref350349235"/>
            <w:r>
              <w:rPr>
                <w:rFonts w:eastAsia="楷体"/>
                <w:bCs/>
                <w:szCs w:val="21"/>
              </w:rPr>
              <w:t>利率收益支付日</w:t>
            </w:r>
            <w:bookmarkEnd w:id="8"/>
          </w:p>
        </w:tc>
        <w:tc>
          <w:tcPr>
            <w:tcW w:w="8222" w:type="dxa"/>
          </w:tcPr>
          <w:p>
            <w:pPr>
              <w:spacing w:line="0" w:lineRule="atLeast"/>
              <w:rPr>
                <w:rFonts w:eastAsia="楷体"/>
                <w:bCs/>
                <w:szCs w:val="21"/>
              </w:rPr>
            </w:pPr>
            <w:r>
              <w:rPr>
                <w:rFonts w:eastAsia="楷体"/>
                <w:bCs/>
                <w:szCs w:val="21"/>
              </w:rPr>
              <w:t>利率收益计算日后3个营业日内。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2376" w:type="dxa"/>
          </w:tcPr>
          <w:p>
            <w:pPr>
              <w:numPr>
                <w:ilvl w:val="1"/>
                <w:numId w:val="2"/>
              </w:numPr>
              <w:spacing w:line="0" w:lineRule="atLeast"/>
              <w:rPr>
                <w:rFonts w:eastAsia="楷体"/>
                <w:bCs/>
                <w:szCs w:val="21"/>
              </w:rPr>
            </w:pPr>
            <w:bookmarkStart w:id="9" w:name="_Ref356148741"/>
            <w:bookmarkStart w:id="10" w:name="_Ref356149870"/>
            <w:bookmarkStart w:id="11" w:name="_Ref350356585"/>
            <w:bookmarkStart w:id="12" w:name="_Ref357542384"/>
            <w:r>
              <w:rPr>
                <w:rFonts w:eastAsia="楷体"/>
                <w:bCs/>
                <w:szCs w:val="21"/>
              </w:rPr>
              <w:t>利率收益</w:t>
            </w:r>
            <w:bookmarkEnd w:id="9"/>
            <w:bookmarkEnd w:id="10"/>
            <w:bookmarkEnd w:id="11"/>
            <w:r>
              <w:rPr>
                <w:rFonts w:eastAsia="楷体"/>
                <w:bCs/>
                <w:szCs w:val="21"/>
              </w:rPr>
              <w:t>金额</w:t>
            </w:r>
            <w:bookmarkEnd w:id="12"/>
          </w:p>
        </w:tc>
        <w:tc>
          <w:tcPr>
            <w:tcW w:w="8222" w:type="dxa"/>
          </w:tcPr>
          <w:p>
            <w:pPr>
              <w:spacing w:line="0" w:lineRule="atLeast"/>
              <w:rPr>
                <w:rFonts w:eastAsia="楷体"/>
                <w:bCs/>
                <w:szCs w:val="21"/>
              </w:rPr>
            </w:pPr>
            <w:r>
              <w:rPr>
                <w:rFonts w:hint="eastAsia" w:eastAsia="楷体"/>
                <w:bCs/>
                <w:szCs w:val="21"/>
              </w:rPr>
              <w:t>以《定义文件》为准。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numPr>
                <w:ilvl w:val="1"/>
                <w:numId w:val="2"/>
              </w:numPr>
              <w:tabs>
                <w:tab w:val="left" w:pos="517"/>
              </w:tabs>
              <w:spacing w:line="0" w:lineRule="atLeast"/>
              <w:rPr>
                <w:rFonts w:eastAsia="楷体"/>
                <w:bCs/>
                <w:szCs w:val="21"/>
              </w:rPr>
            </w:pPr>
            <w:bookmarkStart w:id="13" w:name="_Ref358469367"/>
            <w:r>
              <w:rPr>
                <w:rFonts w:eastAsia="楷体"/>
                <w:bCs/>
                <w:szCs w:val="21"/>
              </w:rPr>
              <w:t>利率</w:t>
            </w:r>
            <w:bookmarkEnd w:id="13"/>
            <w:r>
              <w:rPr>
                <w:rFonts w:eastAsia="楷体"/>
                <w:bCs/>
                <w:szCs w:val="21"/>
              </w:rPr>
              <w:t>收益支付</w:t>
            </w:r>
          </w:p>
        </w:tc>
        <w:tc>
          <w:tcPr>
            <w:tcW w:w="8222" w:type="dxa"/>
          </w:tcPr>
          <w:p>
            <w:pPr>
              <w:spacing w:line="0" w:lineRule="atLeast"/>
              <w:rPr>
                <w:rFonts w:eastAsia="楷体"/>
                <w:bCs/>
                <w:szCs w:val="21"/>
              </w:rPr>
            </w:pPr>
            <w:r>
              <w:rPr>
                <w:rFonts w:eastAsia="楷体"/>
                <w:bCs/>
                <w:szCs w:val="21"/>
              </w:rPr>
              <w:t>利率收益金额支付方在利率收益支付日向利率收益接收方支付。</w:t>
            </w:r>
            <w:r>
              <w:rPr>
                <w:rFonts w:hint="eastAsia" w:eastAsia="楷体"/>
                <w:bCs/>
                <w:szCs w:val="21"/>
              </w:rPr>
              <w:t>利率收益金额按照交易货币计算，按照利率收益支付日当日汇率折算为人民币进行结算交收。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8" w:type="dxa"/>
            <w:gridSpan w:val="2"/>
          </w:tcPr>
          <w:p>
            <w:pPr>
              <w:pStyle w:val="3"/>
              <w:numPr>
                <w:ilvl w:val="0"/>
                <w:numId w:val="2"/>
              </w:numPr>
              <w:spacing w:before="0" w:after="0" w:line="0" w:lineRule="atLeast"/>
              <w:rPr>
                <w:rFonts w:ascii="Times New Roman" w:hAnsi="Times New Roman" w:eastAsia="楷体"/>
                <w:bCs w:val="0"/>
                <w:sz w:val="21"/>
                <w:szCs w:val="21"/>
              </w:rPr>
            </w:pPr>
            <w:r>
              <w:rPr>
                <w:rFonts w:ascii="Times New Roman" w:hAnsi="Times New Roman" w:eastAsia="楷体"/>
                <w:sz w:val="21"/>
                <w:szCs w:val="21"/>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8" w:type="dxa"/>
            <w:gridSpan w:val="2"/>
          </w:tcPr>
          <w:p>
            <w:pPr>
              <w:spacing w:line="0" w:lineRule="atLeast"/>
              <w:rPr>
                <w:rFonts w:eastAsia="楷体"/>
                <w:szCs w:val="21"/>
                <w:highlight w:val="none"/>
              </w:rPr>
            </w:pPr>
            <w:r>
              <w:rPr>
                <w:rFonts w:eastAsia="楷体"/>
                <w:szCs w:val="21"/>
              </w:rPr>
              <w:t>甲</w:t>
            </w:r>
            <w:r>
              <w:rPr>
                <w:rFonts w:eastAsia="楷体"/>
                <w:szCs w:val="21"/>
                <w:highlight w:val="none"/>
              </w:rPr>
              <w:t>乙双方作出如下声明：</w:t>
            </w:r>
          </w:p>
          <w:p>
            <w:pPr>
              <w:spacing w:line="0" w:lineRule="atLeast"/>
              <w:ind w:firstLine="420" w:firstLineChars="200"/>
              <w:rPr>
                <w:rFonts w:eastAsia="楷体"/>
                <w:szCs w:val="21"/>
                <w:highlight w:val="none"/>
              </w:rPr>
            </w:pPr>
            <w:r>
              <w:rPr>
                <w:rFonts w:hint="eastAsia" w:eastAsia="楷体"/>
                <w:szCs w:val="21"/>
                <w:highlight w:val="none"/>
              </w:rPr>
              <w:t>乙方保证：中国有关法律、法规、规章未禁止乙方办理本交易确认书项下交易，乙方办理本交易确认书项下交易符合国家有关法律法规以及监管/主管部门的有关规定，并已经获得办理该交易的相关授权。乙方参与主协议、补充协议、交易确认书项下收益互换合约交易所涉及资金、资产来源合法。乙方保证发出的指令内容是合法合规的，且不得利用本交易从事规避法律法规相关要求及强制性规定的违规行为。</w:t>
            </w:r>
          </w:p>
          <w:p>
            <w:pPr>
              <w:spacing w:line="0" w:lineRule="atLeast"/>
              <w:ind w:firstLine="420" w:firstLineChars="200"/>
              <w:rPr>
                <w:rFonts w:eastAsia="楷体"/>
                <w:szCs w:val="21"/>
                <w:highlight w:val="none"/>
              </w:rPr>
            </w:pPr>
            <w:r>
              <w:rPr>
                <w:rFonts w:hint="eastAsia" w:eastAsia="楷体"/>
                <w:szCs w:val="21"/>
                <w:highlight w:val="none"/>
              </w:rPr>
              <w:t>乙方保证与甲方本收益互换交易，是基于资产配置、产品投资、风险管理的真实需求，不涉及违规资产出表、资金腾挪或者规避信息披露、投资范围、交易限制、杠杆约束等规避监管要求的情形，不存在通过互联网、自媒体向不特定公众宣传或通过不当宣传诱导不适格投资者参与场外期权交易的情形，未从事配资公司、荐股平台、P2P 平台、违规互联网金融平台等涉嫌非法金融活动或存在潜在利益冲突的情形。乙方承诺已按照甲方尽职调查要求提供真实信息资料，符合《证券期货投资者适当性管理办法》规定标准的专业机构投资者。</w:t>
            </w:r>
          </w:p>
          <w:p>
            <w:pPr>
              <w:spacing w:line="0" w:lineRule="atLeast"/>
              <w:ind w:firstLine="420" w:firstLineChars="200"/>
              <w:rPr>
                <w:rFonts w:eastAsia="楷体"/>
                <w:szCs w:val="21"/>
                <w:highlight w:val="none"/>
              </w:rPr>
            </w:pPr>
            <w:r>
              <w:rPr>
                <w:rFonts w:hint="eastAsia" w:eastAsia="楷体"/>
                <w:szCs w:val="21"/>
                <w:highlight w:val="none"/>
              </w:rPr>
              <w:t>乙方承诺严格遵守有关国际及国内反洗钱、反恐怖融资、反逃税等法律法规；配合并接受甲方反洗钱、反恐怖融资、反逃税与制裁合规工作的相关调查或审查，如实提供甲方要求的相关信息与资料，配合甲方采取相应管控措施。乙方承诺自行承担因违反国际或国内反洗钱、反恐怖融资、反逃税与制裁合规法律法规等产生的不利后果，由此给甲方造成损失的（包括但不限于经济损失、行政处罚等），乙方应予赔偿。</w:t>
            </w:r>
          </w:p>
          <w:p>
            <w:pPr>
              <w:spacing w:line="0" w:lineRule="atLeast"/>
              <w:ind w:firstLine="420" w:firstLineChars="200"/>
              <w:rPr>
                <w:rFonts w:eastAsia="楷体"/>
                <w:szCs w:val="21"/>
                <w:highlight w:val="none"/>
              </w:rPr>
            </w:pPr>
            <w:r>
              <w:rPr>
                <w:rFonts w:hint="eastAsia" w:eastAsia="楷体"/>
                <w:szCs w:val="21"/>
                <w:highlight w:val="none"/>
              </w:rPr>
              <w:t>甲方</w:t>
            </w:r>
            <w:r>
              <w:rPr>
                <w:rFonts w:eastAsia="楷体"/>
                <w:szCs w:val="21"/>
                <w:highlight w:val="none"/>
              </w:rPr>
              <w:t>没有义务持有标的来对冲本交易下的风险。</w:t>
            </w:r>
            <w:r>
              <w:rPr>
                <w:rFonts w:hint="eastAsia" w:eastAsia="楷体"/>
                <w:szCs w:val="21"/>
                <w:highlight w:val="none"/>
              </w:rPr>
              <w:t>甲方</w:t>
            </w:r>
            <w:r>
              <w:rPr>
                <w:rFonts w:eastAsia="楷体"/>
                <w:szCs w:val="21"/>
                <w:highlight w:val="none"/>
              </w:rPr>
              <w:t>可以出于对冲与标的价格相关的风险需要而进行本交易下标的的买入或卖出操作。</w:t>
            </w:r>
            <w:r>
              <w:rPr>
                <w:rFonts w:hint="eastAsia" w:eastAsia="楷体"/>
                <w:szCs w:val="21"/>
                <w:highlight w:val="none"/>
              </w:rPr>
              <w:t>甲方</w:t>
            </w:r>
            <w:r>
              <w:rPr>
                <w:rFonts w:eastAsia="楷体"/>
                <w:szCs w:val="21"/>
                <w:highlight w:val="none"/>
              </w:rPr>
              <w:t>可以自主决定开始、中止或终止任何对冲交易</w:t>
            </w:r>
            <w:r>
              <w:rPr>
                <w:rFonts w:hint="eastAsia" w:eastAsia="楷体"/>
                <w:szCs w:val="21"/>
                <w:highlight w:val="none"/>
              </w:rPr>
              <w:t>，</w:t>
            </w:r>
            <w:r>
              <w:rPr>
                <w:rFonts w:eastAsia="楷体"/>
                <w:szCs w:val="21"/>
                <w:highlight w:val="none"/>
              </w:rPr>
              <w:t>且</w:t>
            </w:r>
            <w:r>
              <w:rPr>
                <w:rFonts w:hint="eastAsia" w:eastAsia="楷体"/>
                <w:szCs w:val="21"/>
                <w:highlight w:val="none"/>
              </w:rPr>
              <w:t>甲方</w:t>
            </w:r>
            <w:r>
              <w:rPr>
                <w:rFonts w:eastAsia="楷体"/>
                <w:szCs w:val="21"/>
                <w:highlight w:val="none"/>
              </w:rPr>
              <w:t>享有与标的相关的任何权益。若</w:t>
            </w:r>
            <w:r>
              <w:rPr>
                <w:rFonts w:hint="eastAsia" w:eastAsia="楷体"/>
                <w:szCs w:val="21"/>
                <w:highlight w:val="none"/>
              </w:rPr>
              <w:t>甲方</w:t>
            </w:r>
            <w:r>
              <w:rPr>
                <w:rFonts w:eastAsia="楷体"/>
                <w:szCs w:val="21"/>
                <w:highlight w:val="none"/>
              </w:rPr>
              <w:t>出于风险对冲需要而购买标的的，并不代表</w:t>
            </w:r>
            <w:r>
              <w:rPr>
                <w:rFonts w:hint="eastAsia" w:eastAsia="楷体"/>
                <w:szCs w:val="21"/>
                <w:highlight w:val="none"/>
              </w:rPr>
              <w:t>甲方</w:t>
            </w:r>
            <w:r>
              <w:rPr>
                <w:rFonts w:eastAsia="楷体"/>
                <w:szCs w:val="21"/>
                <w:highlight w:val="none"/>
              </w:rPr>
              <w:t>是</w:t>
            </w:r>
            <w:r>
              <w:rPr>
                <w:rFonts w:hint="eastAsia" w:eastAsia="楷体"/>
                <w:szCs w:val="21"/>
                <w:highlight w:val="none"/>
              </w:rPr>
              <w:t>乙方</w:t>
            </w:r>
            <w:r>
              <w:rPr>
                <w:rFonts w:eastAsia="楷体"/>
                <w:szCs w:val="21"/>
                <w:highlight w:val="none"/>
              </w:rPr>
              <w:t>的一致行动人，且</w:t>
            </w:r>
            <w:r>
              <w:rPr>
                <w:rFonts w:hint="eastAsia" w:eastAsia="楷体"/>
                <w:szCs w:val="21"/>
                <w:highlight w:val="none"/>
              </w:rPr>
              <w:t>甲方</w:t>
            </w:r>
            <w:r>
              <w:rPr>
                <w:rFonts w:eastAsia="楷体"/>
                <w:szCs w:val="21"/>
                <w:highlight w:val="none"/>
              </w:rPr>
              <w:t>不会成为</w:t>
            </w:r>
            <w:r>
              <w:rPr>
                <w:rFonts w:hint="eastAsia" w:eastAsia="楷体"/>
                <w:szCs w:val="21"/>
                <w:highlight w:val="none"/>
              </w:rPr>
              <w:t>乙方</w:t>
            </w:r>
            <w:r>
              <w:rPr>
                <w:rFonts w:eastAsia="楷体"/>
                <w:szCs w:val="21"/>
                <w:highlight w:val="none"/>
              </w:rPr>
              <w:t>的一致行动人。</w:t>
            </w:r>
          </w:p>
          <w:p>
            <w:pPr>
              <w:pStyle w:val="9"/>
              <w:adjustRightInd w:val="0"/>
              <w:snapToGrid w:val="0"/>
              <w:spacing w:line="0" w:lineRule="atLeast"/>
              <w:ind w:firstLine="350" w:firstLineChars="167"/>
              <w:jc w:val="both"/>
              <w:rPr>
                <w:rFonts w:ascii="Times New Roman" w:hAnsi="Times New Roman" w:eastAsia="楷体"/>
                <w:bCs/>
                <w:sz w:val="21"/>
                <w:szCs w:val="21"/>
                <w:highlight w:val="none"/>
              </w:rPr>
            </w:pP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进行本交易并不代表</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会名义或受益持有标的，且</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不享有与标的相关的任何权益，包括投票权、所有权；但</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作为</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的交易对手，享</w:t>
            </w:r>
            <w:r>
              <w:rPr>
                <w:rFonts w:hint="eastAsia" w:ascii="Times New Roman" w:hAnsi="Times New Roman" w:eastAsia="楷体"/>
                <w:sz w:val="21"/>
                <w:szCs w:val="21"/>
                <w:highlight w:val="none"/>
              </w:rPr>
              <w:t>有</w:t>
            </w:r>
            <w:r>
              <w:rPr>
                <w:rFonts w:ascii="Times New Roman" w:hAnsi="Times New Roman" w:eastAsia="楷体"/>
                <w:sz w:val="21"/>
                <w:szCs w:val="21"/>
                <w:highlight w:val="none"/>
              </w:rPr>
              <w:t>与交易标的表现相关的本交易确认书明确规定的相关经济收益。</w:t>
            </w:r>
          </w:p>
          <w:p>
            <w:pPr>
              <w:pStyle w:val="9"/>
              <w:adjustRightInd w:val="0"/>
              <w:snapToGrid w:val="0"/>
              <w:spacing w:line="0" w:lineRule="atLeast"/>
              <w:ind w:firstLine="350" w:firstLineChars="167"/>
              <w:jc w:val="both"/>
              <w:rPr>
                <w:rFonts w:ascii="Times New Roman" w:hAnsi="Times New Roman" w:eastAsia="楷体"/>
                <w:bCs/>
                <w:sz w:val="21"/>
                <w:szCs w:val="21"/>
                <w:highlight w:val="none"/>
              </w:rPr>
            </w:pPr>
            <w:r>
              <w:rPr>
                <w:rFonts w:ascii="Times New Roman" w:hAnsi="Times New Roman" w:eastAsia="楷体"/>
                <w:sz w:val="21"/>
                <w:szCs w:val="21"/>
                <w:highlight w:val="none"/>
              </w:rPr>
              <w:t>由于各种风险因素的存在，</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理解其参与交易的目的不一定能够实现，上述后果由</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自行承担，</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对此不提供担保也不承担任何责任。</w:t>
            </w:r>
          </w:p>
          <w:p>
            <w:pPr>
              <w:pStyle w:val="9"/>
              <w:spacing w:line="0" w:lineRule="atLeast"/>
              <w:ind w:firstLine="403"/>
              <w:rPr>
                <w:rFonts w:ascii="Times New Roman" w:hAnsi="Times New Roman" w:eastAsia="楷体"/>
                <w:sz w:val="21"/>
                <w:szCs w:val="21"/>
                <w:highlight w:val="none"/>
              </w:rPr>
            </w:pP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如出现主协议、补充协议约定的违约事件，</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有权提前终止本交易确认书所涉及的交易及适用于主协议、补充协议的所有其他交易，</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有义务承担由此产生的所有费用和损失。</w:t>
            </w:r>
          </w:p>
          <w:p>
            <w:pPr>
              <w:pStyle w:val="9"/>
              <w:spacing w:line="0" w:lineRule="atLeast"/>
              <w:ind w:firstLine="350" w:firstLineChars="167"/>
              <w:rPr>
                <w:rFonts w:ascii="Times New Roman" w:hAnsi="Times New Roman" w:eastAsia="楷体"/>
                <w:sz w:val="21"/>
                <w:szCs w:val="21"/>
                <w:highlight w:val="none"/>
              </w:rPr>
            </w:pPr>
            <w:r>
              <w:rPr>
                <w:rFonts w:ascii="Times New Roman" w:hAnsi="Times New Roman" w:eastAsia="楷体"/>
                <w:sz w:val="21"/>
                <w:szCs w:val="21"/>
                <w:highlight w:val="none"/>
              </w:rPr>
              <w:t>若</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根据</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的指令，出于风险对冲的需要买入或卖出标的的，本协议中“市场买入价”和“市场卖出价”分别是指</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直接或通过第三方对冲买入或对冲卖出标的的对冲成交价格。若</w:t>
            </w:r>
            <w:r>
              <w:rPr>
                <w:rFonts w:hint="eastAsia" w:ascii="Times New Roman" w:hAnsi="Times New Roman" w:eastAsia="楷体"/>
                <w:sz w:val="21"/>
                <w:szCs w:val="21"/>
                <w:highlight w:val="none"/>
              </w:rPr>
              <w:t>甲方</w:t>
            </w:r>
            <w:r>
              <w:rPr>
                <w:rFonts w:ascii="Times New Roman" w:hAnsi="Times New Roman" w:eastAsia="楷体"/>
                <w:sz w:val="21"/>
                <w:szCs w:val="21"/>
                <w:highlight w:val="none"/>
              </w:rPr>
              <w:t>未根据</w:t>
            </w:r>
            <w:r>
              <w:rPr>
                <w:rFonts w:hint="eastAsia" w:ascii="Times New Roman" w:hAnsi="Times New Roman" w:eastAsia="楷体"/>
                <w:sz w:val="21"/>
                <w:szCs w:val="21"/>
                <w:highlight w:val="none"/>
              </w:rPr>
              <w:t>乙方</w:t>
            </w:r>
            <w:r>
              <w:rPr>
                <w:rFonts w:ascii="Times New Roman" w:hAnsi="Times New Roman" w:eastAsia="楷体"/>
                <w:sz w:val="21"/>
                <w:szCs w:val="21"/>
                <w:highlight w:val="none"/>
              </w:rPr>
              <w:t>的指令实际买入或卖出标的的，本协议中“市场买入价”和“市场卖出价”分别是指参与标的所在交易所交易的普通券商，善意进行类似标的交易时在买入或卖出时所获得的合理的市场价格。其中普通券商是指在标的的交易所所在的国家及地区从事证券期货买卖业务，并受标的的交易所所在的国家及地区法律、法规（包括税收法律、法规）规管的任意券商。</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甲方为对冲本交易确认书项下交易或参考标的所涉的价格相关风险，将寻求第三方做相应的对冲安排。如甲方或向甲方提供对冲安排的第三方因可适用的法律、法规、监管规则及其相关解释及适用（包括但不限于中国境内、标的合约交易所所在地、甲方的对冲交易对手的所在地和对冲地）的变化或不可抗力、政府行为等其他事件的发生（或甲方按照自身合理判断认为即将发生前述事件）或甲方依据与第三方的相关合同条款约定导致上述对冲安排变为不可能、不可行、对冲停止或对冲安排提前终止，甲方有权提前终止本交易确认书项下的交易或经乙方同意修改本交易确认书项下的交易结构、相应调整费率。若提前终止，提前终止价格由甲方本着商业合理原则确定。</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甲乙双方均清楚并承诺会严格遵守《刑法》、《反不正当竞争法》、《证券法》、《公司法》等有关反商业贿赂和商业犯罪相关的法律法规，承诺本方、本方工作人员或其他利益关系人不得向对方、对方工作人员或其他利益关系人索要、收受、提供、给予协议约定外的任何物质或者非物质利益，包括但不限于明扣、暗扣、现金、房产、股权、支付凭证（如购物卡、消费卡、提货券等）、实物、有价证券、旅游、宴请、赞助、工作安排等，或为上述行为提供代持等便利。任何一方违反上述条款之规定，给对方造成损失的，应承担损害赔偿责任。涉嫌犯罪的，移交司法机关追究法律责任。</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如果在交易期限内一方违反上述声明，守约方有权单方提前终止本交易；提前终止所有费用和损失以及其他由违反保证或保证失效引起的其他所有费用及损失皆由违反方承担。</w:t>
            </w:r>
          </w:p>
          <w:p>
            <w:pPr>
              <w:pStyle w:val="9"/>
              <w:spacing w:line="0" w:lineRule="atLeast"/>
              <w:ind w:firstLine="350" w:firstLineChars="167"/>
              <w:rPr>
                <w:rFonts w:ascii="Times New Roman" w:hAnsi="Times New Roman" w:eastAsia="楷体"/>
                <w:sz w:val="21"/>
                <w:szCs w:val="21"/>
                <w:highlight w:val="none"/>
              </w:rPr>
            </w:pPr>
          </w:p>
          <w:p>
            <w:pPr>
              <w:pStyle w:val="9"/>
              <w:spacing w:line="0" w:lineRule="atLeast"/>
              <w:ind w:firstLine="0"/>
              <w:rPr>
                <w:rFonts w:ascii="Times New Roman" w:hAnsi="Times New Roman" w:eastAsia="楷体"/>
                <w:b/>
                <w:sz w:val="21"/>
                <w:szCs w:val="21"/>
                <w:highlight w:val="none"/>
              </w:rPr>
            </w:pPr>
            <w:r>
              <w:rPr>
                <w:rFonts w:hint="eastAsia" w:ascii="Times New Roman" w:hAnsi="Times New Roman" w:eastAsia="楷体"/>
                <w:b/>
                <w:sz w:val="21"/>
                <w:szCs w:val="21"/>
                <w:highlight w:val="none"/>
              </w:rPr>
              <w:t>甲方免责声明：</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甲方仅对乙方下达的指令进行形式审核，不对乙方的实际交易意图及行为后果承担任何法律责任，且在乙方出现不当行为时，甲方有权提前终止本交易，提前终止所有费用和损失由乙方承担。</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乙方的不当行为包括但不限于：</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（1）乙方单独或与他人合谋通过本交易方式或与其他方式配合进行市场操纵等扰乱金融市场的行为；</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（2）乙方单独或与他人合谋利用内幕信息或价格敏感信息通过本交易方式或与其他方式配合进行内幕交易的行为；</w:t>
            </w:r>
          </w:p>
          <w:p>
            <w:pPr>
              <w:pStyle w:val="9"/>
              <w:spacing w:line="0" w:lineRule="atLeast"/>
              <w:ind w:firstLine="350" w:firstLineChars="167"/>
              <w:rPr>
                <w:rFonts w:ascii="Times New Roman" w:hAnsi="Times New Roman" w:eastAsia="楷体"/>
                <w:sz w:val="21"/>
                <w:szCs w:val="21"/>
                <w:highlight w:val="none"/>
              </w:rPr>
            </w:pPr>
            <w:r>
              <w:rPr>
                <w:rFonts w:hint="eastAsia" w:ascii="Times New Roman" w:hAnsi="Times New Roman" w:eastAsia="楷体"/>
                <w:sz w:val="21"/>
                <w:szCs w:val="21"/>
                <w:highlight w:val="none"/>
              </w:rPr>
              <w:t>（3）乙方单独或与他人合谋通过本交易方式或与其他方式配合进行利益输送、利用信息优势谋取不正当利益的行为；</w:t>
            </w:r>
          </w:p>
          <w:p>
            <w:pPr>
              <w:pStyle w:val="9"/>
              <w:spacing w:line="0" w:lineRule="atLeast"/>
              <w:ind w:firstLine="350" w:firstLineChars="167"/>
              <w:rPr>
                <w:rFonts w:ascii="Times New Roman" w:hAnsi="Times New Roman" w:eastAsia="楷体"/>
                <w:sz w:val="21"/>
                <w:szCs w:val="21"/>
              </w:rPr>
            </w:pPr>
            <w:r>
              <w:rPr>
                <w:rFonts w:hint="eastAsia" w:ascii="Times New Roman" w:hAnsi="Times New Roman" w:eastAsia="楷体"/>
                <w:sz w:val="21"/>
                <w:szCs w:val="21"/>
                <w:highlight w:val="none"/>
              </w:rPr>
              <w:t>（4）其他法律、法规、监管规定、自律规则以及监管机构认为属于不正当的交易行为，或涉嫌违反有关法律、法规、监管规定、自律规则的行为。</w:t>
            </w:r>
          </w:p>
        </w:tc>
      </w:tr>
    </w:tbl>
    <w:p>
      <w:pPr>
        <w:jc w:val="left"/>
        <w:rPr>
          <w:rFonts w:eastAsia="楷体_GB2312"/>
          <w:szCs w:val="28"/>
        </w:rPr>
      </w:pPr>
    </w:p>
    <w:p>
      <w:pPr>
        <w:widowControl/>
        <w:jc w:val="left"/>
        <w:rPr>
          <w:rFonts w:eastAsia="楷体_GB2312"/>
          <w:szCs w:val="28"/>
        </w:rPr>
      </w:pPr>
      <w:r>
        <w:rPr>
          <w:rFonts w:eastAsia="楷体_GB2312"/>
          <w:szCs w:val="28"/>
        </w:rPr>
        <w:br w:type="page"/>
      </w:r>
    </w:p>
    <w:p>
      <w:pPr>
        <w:pStyle w:val="3"/>
        <w:spacing w:before="0" w:after="0" w:line="0" w:lineRule="atLeast"/>
        <w:rPr>
          <w:rFonts w:ascii="楷体" w:hAnsi="楷体" w:eastAsia="楷体"/>
          <w:sz w:val="21"/>
          <w:szCs w:val="21"/>
        </w:rPr>
      </w:pPr>
      <w:r>
        <w:rPr>
          <w:rFonts w:hint="eastAsia" w:ascii="楷体" w:hAnsi="楷体" w:eastAsia="楷体"/>
          <w:sz w:val="21"/>
          <w:szCs w:val="21"/>
        </w:rPr>
        <w:t>附录一：交易要素</w:t>
      </w:r>
    </w:p>
    <w:p>
      <w:pPr>
        <w:spacing w:line="0" w:lineRule="atLeast"/>
        <w:jc w:val="left"/>
        <w:rPr>
          <w:rFonts w:ascii="楷体" w:hAnsi="楷体" w:eastAsia="楷体"/>
          <w:b/>
          <w:bCs/>
          <w:szCs w:val="21"/>
        </w:rPr>
      </w:pPr>
      <w:r>
        <w:rPr>
          <w:rFonts w:hint="eastAsia" w:ascii="楷体" w:hAnsi="楷体" w:eastAsia="楷体"/>
          <w:b/>
          <w:bCs/>
          <w:szCs w:val="21"/>
        </w:rPr>
        <w:t>一、基本要素</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3545"/>
        <w:gridCol w:w="1841"/>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977" w:type="pct"/>
            <w:vAlign w:val="center"/>
          </w:tcPr>
          <w:p>
            <w:pPr>
              <w:spacing w:line="0" w:lineRule="atLeast"/>
              <w:rPr>
                <w:rFonts w:ascii="楷体" w:hAnsi="楷体" w:eastAsia="楷体"/>
                <w:bCs/>
                <w:szCs w:val="21"/>
              </w:rPr>
            </w:pPr>
            <w:r>
              <w:rPr>
                <w:rFonts w:hint="eastAsia" w:ascii="楷体" w:hAnsi="楷体" w:eastAsia="楷体"/>
                <w:bCs/>
                <w:szCs w:val="21"/>
              </w:rPr>
              <w:t>交易达成日</w:t>
            </w:r>
          </w:p>
        </w:tc>
        <w:tc>
          <w:tcPr>
            <w:tcW w:w="1655" w:type="pct"/>
            <w:vAlign w:val="center"/>
          </w:tcPr>
          <w:p>
            <w:pPr>
              <w:spacing w:line="0" w:lineRule="atLeast"/>
              <w:rPr>
                <w:rFonts w:ascii="楷体" w:hAnsi="楷体" w:eastAsia="楷体"/>
                <w:bCs/>
                <w:szCs w:val="21"/>
              </w:rPr>
            </w:pPr>
            <w:r>
              <w:rPr>
                <w:rFonts w:ascii="楷体" w:hAnsi="楷体" w:eastAsia="楷体"/>
                <w:bCs/>
                <w:szCs w:val="21"/>
              </w:rPr>
              <w:t>TRADE_DEAL_DATE</w:t>
            </w:r>
          </w:p>
        </w:tc>
        <w:tc>
          <w:tcPr>
            <w:tcW w:w="860" w:type="pct"/>
            <w:vAlign w:val="center"/>
          </w:tcPr>
          <w:p>
            <w:pPr>
              <w:spacing w:line="0" w:lineRule="atLeast"/>
              <w:rPr>
                <w:rFonts w:ascii="楷体" w:hAnsi="楷体" w:eastAsia="楷体"/>
                <w:bCs/>
                <w:szCs w:val="21"/>
              </w:rPr>
            </w:pPr>
            <w:r>
              <w:rPr>
                <w:rFonts w:hint="eastAsia" w:ascii="楷体" w:hAnsi="楷体" w:eastAsia="楷体"/>
                <w:bCs/>
                <w:szCs w:val="21"/>
              </w:rPr>
              <w:t>起始日</w:t>
            </w:r>
          </w:p>
        </w:tc>
        <w:tc>
          <w:tcPr>
            <w:tcW w:w="1507" w:type="pct"/>
            <w:vAlign w:val="center"/>
          </w:tcPr>
          <w:p>
            <w:pPr>
              <w:spacing w:line="0" w:lineRule="atLeast"/>
              <w:rPr>
                <w:rFonts w:ascii="楷体" w:hAnsi="楷体" w:eastAsia="楷体"/>
                <w:bCs/>
                <w:szCs w:val="21"/>
              </w:rPr>
            </w:pPr>
            <w:r>
              <w:rPr>
                <w:rFonts w:ascii="楷体" w:hAnsi="楷体" w:eastAsia="楷体"/>
                <w:bCs/>
                <w:szCs w:val="21"/>
              </w:rPr>
              <w:t>TRADE_ORDER_DATE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977" w:type="pct"/>
            <w:vAlign w:val="center"/>
          </w:tcPr>
          <w:p>
            <w:pPr>
              <w:spacing w:line="0" w:lineRule="atLeast"/>
              <w:rPr>
                <w:rFonts w:ascii="楷体" w:hAnsi="楷体" w:eastAsia="楷体"/>
                <w:bCs/>
                <w:szCs w:val="21"/>
              </w:rPr>
            </w:pPr>
            <w:r>
              <w:rPr>
                <w:rFonts w:hint="eastAsia" w:ascii="楷体" w:hAnsi="楷体" w:eastAsia="楷体"/>
                <w:bCs/>
                <w:szCs w:val="21"/>
              </w:rPr>
              <w:t>到期日</w:t>
            </w:r>
          </w:p>
        </w:tc>
        <w:tc>
          <w:tcPr>
            <w:tcW w:w="1655" w:type="pct"/>
            <w:vAlign w:val="center"/>
          </w:tcPr>
          <w:p>
            <w:pPr>
              <w:spacing w:line="0" w:lineRule="atLeast"/>
              <w:rPr>
                <w:rFonts w:ascii="楷体" w:hAnsi="楷体" w:eastAsia="楷体"/>
                <w:bCs/>
                <w:szCs w:val="21"/>
              </w:rPr>
            </w:pPr>
            <w:r>
              <w:rPr>
                <w:rFonts w:ascii="楷体" w:hAnsi="楷体" w:eastAsia="楷体"/>
                <w:bCs/>
                <w:szCs w:val="21"/>
              </w:rPr>
              <w:t>TRADE_FINISH_DATE</w:t>
            </w:r>
          </w:p>
        </w:tc>
        <w:tc>
          <w:tcPr>
            <w:tcW w:w="860" w:type="pct"/>
            <w:vAlign w:val="center"/>
          </w:tcPr>
          <w:p>
            <w:pPr>
              <w:spacing w:line="0" w:lineRule="atLeast"/>
              <w:rPr>
                <w:rFonts w:ascii="楷体" w:hAnsi="楷体" w:eastAsia="楷体"/>
                <w:bCs/>
                <w:szCs w:val="21"/>
              </w:rPr>
            </w:pPr>
            <w:r>
              <w:rPr>
                <w:rFonts w:hint="eastAsia" w:ascii="楷体" w:hAnsi="楷体" w:eastAsia="楷体"/>
                <w:bCs/>
                <w:szCs w:val="21"/>
              </w:rPr>
              <w:t>合约名义本金额</w:t>
            </w:r>
          </w:p>
          <w:p>
            <w:pPr>
              <w:spacing w:line="0" w:lineRule="atLeast"/>
              <w:rPr>
                <w:rFonts w:ascii="楷体" w:hAnsi="楷体" w:eastAsia="楷体"/>
                <w:bCs/>
                <w:szCs w:val="21"/>
              </w:rPr>
            </w:pPr>
            <w:r>
              <w:rPr>
                <w:rFonts w:hint="eastAsia" w:ascii="楷体" w:hAnsi="楷体" w:eastAsia="楷体"/>
                <w:bCs/>
                <w:szCs w:val="21"/>
              </w:rPr>
              <w:t>(交易货币)</w:t>
            </w:r>
          </w:p>
        </w:tc>
        <w:tc>
          <w:tcPr>
            <w:tcW w:w="1507" w:type="pct"/>
            <w:vAlign w:val="center"/>
          </w:tcPr>
          <w:p>
            <w:pPr>
              <w:spacing w:line="0" w:lineRule="atLeast"/>
              <w:rPr>
                <w:rFonts w:ascii="楷体" w:hAnsi="楷体" w:eastAsia="楷体"/>
                <w:bCs/>
                <w:szCs w:val="21"/>
              </w:rPr>
            </w:pPr>
            <w:r>
              <w:rPr>
                <w:rFonts w:ascii="楷体" w:hAnsi="楷体" w:eastAsia="楷体"/>
                <w:bCs/>
                <w:szCs w:val="21"/>
              </w:rPr>
              <w:t>NOTIONAL_AMT_TOTAL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977" w:type="pct"/>
            <w:vAlign w:val="center"/>
          </w:tcPr>
          <w:p>
            <w:pPr>
              <w:spacing w:line="0" w:lineRule="atLeast"/>
              <w:rPr>
                <w:rFonts w:ascii="楷体" w:hAnsi="楷体" w:eastAsia="楷体"/>
                <w:bCs/>
                <w:szCs w:val="21"/>
              </w:rPr>
            </w:pPr>
            <w:r>
              <w:rPr>
                <w:rFonts w:hint="eastAsia" w:ascii="楷体" w:hAnsi="楷体" w:eastAsia="楷体"/>
                <w:bCs/>
                <w:szCs w:val="21"/>
              </w:rPr>
              <w:t>交易货币</w:t>
            </w:r>
          </w:p>
        </w:tc>
        <w:tc>
          <w:tcPr>
            <w:tcW w:w="1655" w:type="pct"/>
            <w:vAlign w:val="center"/>
          </w:tcPr>
          <w:p>
            <w:pPr>
              <w:spacing w:line="0" w:lineRule="atLeast"/>
              <w:rPr>
                <w:rFonts w:ascii="楷体" w:hAnsi="楷体" w:eastAsia="楷体"/>
                <w:bCs/>
                <w:szCs w:val="21"/>
              </w:rPr>
            </w:pPr>
            <w:r>
              <w:rPr>
                <w:rFonts w:hint="eastAsia" w:ascii="楷体" w:hAnsi="楷体" w:eastAsia="楷体"/>
                <w:bCs/>
                <w:szCs w:val="21"/>
              </w:rPr>
              <w:t>PAYOFFCCY</w:t>
            </w:r>
          </w:p>
        </w:tc>
        <w:tc>
          <w:tcPr>
            <w:tcW w:w="860" w:type="pct"/>
            <w:vAlign w:val="center"/>
          </w:tcPr>
          <w:p>
            <w:pPr>
              <w:spacing w:line="0" w:lineRule="atLeast"/>
              <w:rPr>
                <w:rFonts w:ascii="楷体" w:hAnsi="楷体" w:eastAsia="楷体"/>
                <w:bCs/>
                <w:szCs w:val="21"/>
              </w:rPr>
            </w:pPr>
            <w:r>
              <w:rPr>
                <w:rFonts w:hint="eastAsia" w:ascii="楷体" w:hAnsi="楷体" w:eastAsia="楷体"/>
                <w:bCs/>
                <w:szCs w:val="21"/>
              </w:rPr>
              <w:t>结算货币</w:t>
            </w:r>
          </w:p>
        </w:tc>
        <w:tc>
          <w:tcPr>
            <w:tcW w:w="1507" w:type="pct"/>
            <w:vAlign w:val="center"/>
          </w:tcPr>
          <w:p>
            <w:pPr>
              <w:spacing w:line="0" w:lineRule="atLeast"/>
              <w:rPr>
                <w:rFonts w:hint="default" w:ascii="楷体" w:hAnsi="楷体" w:eastAsia="楷体"/>
                <w:bCs/>
                <w:szCs w:val="21"/>
                <w:lang w:val="en-US" w:eastAsia="zh-CN"/>
              </w:rPr>
            </w:pPr>
            <w:r>
              <w:rPr>
                <w:rFonts w:hint="eastAsia" w:ascii="楷体" w:hAnsi="楷体" w:eastAsia="楷体"/>
                <w:bCs/>
                <w:szCs w:val="21"/>
                <w:lang w:val="en-US" w:eastAsia="zh-CN"/>
              </w:rPr>
              <w:t>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977" w:type="pct"/>
            <w:vAlign w:val="center"/>
          </w:tcPr>
          <w:p>
            <w:pPr>
              <w:spacing w:line="0" w:lineRule="atLeast"/>
              <w:rPr>
                <w:rFonts w:ascii="楷体" w:hAnsi="楷体" w:eastAsia="楷体"/>
                <w:bCs/>
                <w:szCs w:val="21"/>
              </w:rPr>
            </w:pPr>
            <w:r>
              <w:rPr>
                <w:rFonts w:hint="eastAsia" w:ascii="楷体" w:hAnsi="楷体" w:eastAsia="楷体"/>
                <w:bCs/>
                <w:szCs w:val="21"/>
              </w:rPr>
              <w:t>基本费率</w:t>
            </w:r>
          </w:p>
        </w:tc>
        <w:tc>
          <w:tcPr>
            <w:tcW w:w="1655" w:type="pct"/>
            <w:vAlign w:val="center"/>
          </w:tcPr>
          <w:p>
            <w:pPr>
              <w:spacing w:line="0" w:lineRule="atLeast"/>
              <w:rPr>
                <w:rFonts w:ascii="楷体" w:hAnsi="楷体" w:eastAsia="楷体"/>
                <w:bCs/>
                <w:szCs w:val="21"/>
              </w:rPr>
            </w:pPr>
            <w:r>
              <w:rPr>
                <w:rFonts w:ascii="楷体" w:hAnsi="楷体" w:eastAsia="楷体"/>
                <w:bCs/>
                <w:szCs w:val="21"/>
              </w:rPr>
              <w:t>FEE_RATE</w:t>
            </w:r>
            <w:r>
              <w:rPr>
                <w:rFonts w:hint="eastAsia" w:ascii="楷体" w:hAnsi="楷体" w:eastAsia="楷体"/>
                <w:bCs/>
                <w:szCs w:val="21"/>
                <w:lang w:val="en-US" w:eastAsia="zh-CN"/>
              </w:rPr>
              <w:t>%</w:t>
            </w:r>
            <w:r>
              <w:rPr>
                <w:rFonts w:ascii="楷体" w:hAnsi="楷体" w:eastAsia="楷体"/>
                <w:bCs/>
                <w:szCs w:val="21"/>
              </w:rPr>
              <w:t>/</w:t>
            </w:r>
            <w:r>
              <w:rPr>
                <w:rFonts w:hint="eastAsia" w:ascii="楷体" w:hAnsi="楷体" w:eastAsia="楷体"/>
                <w:bCs/>
                <w:szCs w:val="21"/>
              </w:rPr>
              <w:t>年</w:t>
            </w:r>
          </w:p>
        </w:tc>
        <w:tc>
          <w:tcPr>
            <w:tcW w:w="860" w:type="pct"/>
            <w:vAlign w:val="center"/>
          </w:tcPr>
          <w:p>
            <w:pPr>
              <w:spacing w:line="0" w:lineRule="atLeast"/>
              <w:rPr>
                <w:rFonts w:ascii="楷体" w:hAnsi="楷体" w:eastAsia="楷体"/>
                <w:bCs/>
                <w:szCs w:val="21"/>
              </w:rPr>
            </w:pPr>
          </w:p>
        </w:tc>
        <w:tc>
          <w:tcPr>
            <w:tcW w:w="1507" w:type="pct"/>
            <w:vAlign w:val="center"/>
          </w:tcPr>
          <w:p>
            <w:pPr>
              <w:spacing w:line="0" w:lineRule="atLeast"/>
              <w:rPr>
                <w:rFonts w:ascii="楷体" w:hAnsi="楷体" w:eastAsia="楷体"/>
                <w:bCs/>
                <w:szCs w:val="21"/>
              </w:rPr>
            </w:pPr>
          </w:p>
        </w:tc>
      </w:tr>
    </w:tbl>
    <w:p>
      <w:pPr>
        <w:spacing w:line="0" w:lineRule="atLeast"/>
        <w:rPr>
          <w:rFonts w:ascii="楷体" w:hAnsi="楷体" w:eastAsia="楷体"/>
          <w:szCs w:val="21"/>
        </w:rPr>
      </w:pPr>
    </w:p>
    <w:p>
      <w:pPr>
        <w:spacing w:line="0" w:lineRule="atLeast"/>
        <w:jc w:val="left"/>
        <w:rPr>
          <w:rFonts w:ascii="楷体" w:hAnsi="楷体" w:eastAsia="楷体"/>
          <w:b/>
          <w:bCs/>
          <w:szCs w:val="21"/>
        </w:rPr>
      </w:pPr>
      <w:r>
        <w:rPr>
          <w:rFonts w:hint="eastAsia" w:ascii="楷体" w:hAnsi="楷体" w:eastAsia="楷体"/>
          <w:b/>
          <w:bCs/>
          <w:szCs w:val="21"/>
        </w:rPr>
        <w:t>二、投资组合</w:t>
      </w:r>
    </w:p>
    <w:tbl>
      <w:tblPr>
        <w:tblStyle w:val="18"/>
        <w:tblW w:w="107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419"/>
        <w:gridCol w:w="1419"/>
        <w:gridCol w:w="1677"/>
        <w:gridCol w:w="1161"/>
        <w:gridCol w:w="1763"/>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编号</w:t>
            </w:r>
          </w:p>
        </w:tc>
        <w:tc>
          <w:tcPr>
            <w:tcW w:w="1419"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标的合约</w:t>
            </w:r>
          </w:p>
        </w:tc>
        <w:tc>
          <w:tcPr>
            <w:tcW w:w="1419"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标的代码</w:t>
            </w:r>
          </w:p>
        </w:tc>
        <w:tc>
          <w:tcPr>
            <w:tcW w:w="1677"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标的期初价格</w:t>
            </w:r>
          </w:p>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（交易货币）</w:t>
            </w:r>
          </w:p>
        </w:tc>
        <w:tc>
          <w:tcPr>
            <w:tcW w:w="1161" w:type="dxa"/>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标的名义数量</w:t>
            </w:r>
          </w:p>
        </w:tc>
        <w:tc>
          <w:tcPr>
            <w:tcW w:w="1763" w:type="dxa"/>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合约乘数</w:t>
            </w:r>
          </w:p>
        </w:tc>
        <w:tc>
          <w:tcPr>
            <w:tcW w:w="1677" w:type="dxa"/>
            <w:vAlign w:val="center"/>
          </w:tcPr>
          <w:p>
            <w:pPr>
              <w:widowControl/>
              <w:spacing w:line="0" w:lineRule="atLeast"/>
              <w:jc w:val="center"/>
              <w:rPr>
                <w:rFonts w:ascii="楷体" w:hAnsi="楷体" w:eastAsia="楷体"/>
                <w:color w:val="000000"/>
                <w:kern w:val="0"/>
                <w:szCs w:val="21"/>
              </w:rPr>
            </w:pPr>
            <w:r>
              <w:rPr>
                <w:rFonts w:hint="eastAsia" w:ascii="楷体" w:hAnsi="楷体" w:eastAsia="楷体"/>
                <w:color w:val="000000"/>
                <w:kern w:val="0"/>
                <w:szCs w:val="21"/>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ascii="楷体" w:hAnsi="楷体" w:eastAsia="楷体"/>
                <w:color w:val="000000"/>
                <w:kern w:val="0"/>
                <w:szCs w:val="21"/>
              </w:rPr>
            </w:pPr>
            <w:r>
              <w:rPr>
                <w:rFonts w:hint="eastAsia" w:ascii="楷体" w:hAnsi="楷体" w:eastAsia="楷体"/>
                <w:bCs/>
                <w:szCs w:val="21"/>
              </w:rPr>
              <w:t>1</w:t>
            </w:r>
          </w:p>
        </w:tc>
        <w:tc>
          <w:tcPr>
            <w:tcW w:w="1419" w:type="dxa"/>
            <w:noWrap/>
            <w:vAlign w:val="center"/>
          </w:tcPr>
          <w:p>
            <w:pPr>
              <w:widowControl/>
              <w:spacing w:line="0" w:lineRule="atLeast"/>
              <w:jc w:val="center"/>
              <w:rPr>
                <w:rFonts w:ascii="楷体" w:hAnsi="楷体" w:eastAsia="楷体"/>
                <w:color w:val="000000"/>
                <w:kern w:val="0"/>
                <w:szCs w:val="21"/>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olor w:val="000000"/>
                <w:kern w:val="0"/>
                <w:szCs w:val="21"/>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olor w:val="000000"/>
                <w:kern w:val="0"/>
                <w:szCs w:val="21"/>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olor w:val="000000"/>
                <w:kern w:val="0"/>
                <w:szCs w:val="21"/>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olor w:val="000000"/>
                <w:kern w:val="0"/>
                <w:szCs w:val="21"/>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olor w:val="000000"/>
                <w:kern w:val="0"/>
                <w:szCs w:val="21"/>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ascii="楷体" w:hAnsi="楷体" w:eastAsia="楷体"/>
                <w:bCs/>
                <w:szCs w:val="21"/>
              </w:rPr>
              <w:t>2</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ascii="楷体" w:hAnsi="楷体" w:eastAsia="楷体"/>
                <w:bCs/>
                <w:szCs w:val="21"/>
              </w:rPr>
              <w:t>3</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ascii="楷体" w:hAnsi="楷体" w:eastAsia="楷体"/>
                <w:bCs/>
                <w:szCs w:val="21"/>
              </w:rPr>
              <w:t>4</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ascii="楷体" w:hAnsi="楷体" w:eastAsia="楷体"/>
                <w:bCs/>
                <w:szCs w:val="21"/>
              </w:rPr>
              <w:t>5</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6</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7</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8</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eastAsia"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9</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default"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10</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590" w:type="dxa"/>
            <w:noWrap/>
            <w:vAlign w:val="center"/>
          </w:tcPr>
          <w:p>
            <w:pPr>
              <w:widowControl/>
              <w:spacing w:line="0" w:lineRule="atLeast"/>
              <w:jc w:val="center"/>
              <w:rPr>
                <w:rFonts w:hint="default" w:ascii="楷体" w:hAnsi="楷体" w:eastAsia="楷体" w:cs="Times New Roman"/>
                <w:color w:val="000000"/>
                <w:kern w:val="0"/>
                <w:sz w:val="21"/>
                <w:szCs w:val="21"/>
                <w:lang w:val="en-US" w:eastAsia="zh-CN" w:bidi="ar-SA"/>
              </w:rPr>
            </w:pPr>
            <w:r>
              <w:rPr>
                <w:rFonts w:hint="eastAsia" w:ascii="楷体" w:hAnsi="楷体" w:eastAsia="楷体"/>
                <w:bCs/>
                <w:szCs w:val="21"/>
                <w:lang w:val="en-US" w:eastAsia="zh-CN"/>
              </w:rPr>
              <w:t>11</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I_NAME</w:t>
            </w:r>
          </w:p>
        </w:tc>
        <w:tc>
          <w:tcPr>
            <w:tcW w:w="1419"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I_CODE</w:t>
            </w:r>
          </w:p>
        </w:tc>
        <w:tc>
          <w:tcPr>
            <w:tcW w:w="1677" w:type="dxa"/>
            <w:noWrap/>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AVGCOST</w:t>
            </w:r>
          </w:p>
        </w:tc>
        <w:tc>
          <w:tcPr>
            <w:tcW w:w="1161"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color w:val="000000"/>
                <w:kern w:val="0"/>
                <w:szCs w:val="21"/>
              </w:rPr>
              <w:t>DEACOUNT</w:t>
            </w:r>
          </w:p>
        </w:tc>
        <w:tc>
          <w:tcPr>
            <w:tcW w:w="1763"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MULTIPLIER</w:t>
            </w:r>
          </w:p>
        </w:tc>
        <w:tc>
          <w:tcPr>
            <w:tcW w:w="1677" w:type="dxa"/>
            <w:vAlign w:val="center"/>
          </w:tcPr>
          <w:p>
            <w:pPr>
              <w:widowControl/>
              <w:spacing w:line="0" w:lineRule="atLeast"/>
              <w:jc w:val="center"/>
              <w:rPr>
                <w:rFonts w:ascii="楷体" w:hAnsi="楷体" w:eastAsia="楷体" w:cs="Times New Roman"/>
                <w:color w:val="000000"/>
                <w:kern w:val="0"/>
                <w:sz w:val="21"/>
                <w:szCs w:val="21"/>
                <w:highlight w:val="yellow"/>
                <w:lang w:val="en-US" w:eastAsia="zh-CN" w:bidi="ar-SA"/>
              </w:rPr>
            </w:pPr>
            <w:r>
              <w:rPr>
                <w:rFonts w:ascii="楷体" w:hAnsi="楷体" w:eastAsia="楷体"/>
                <w:bCs/>
                <w:szCs w:val="21"/>
              </w:rPr>
              <w:t>TRADE_TYPE</w:t>
            </w:r>
          </w:p>
        </w:tc>
      </w:tr>
    </w:tbl>
    <w:p>
      <w:pPr>
        <w:widowControl/>
        <w:jc w:val="left"/>
        <w:rPr>
          <w:rFonts w:eastAsia="楷体_GB2312"/>
          <w:kern w:val="0"/>
          <w:sz w:val="24"/>
        </w:rPr>
      </w:pPr>
    </w:p>
    <w:sectPr>
      <w:headerReference r:id="rId3" w:type="default"/>
      <w:footerReference r:id="rId4" w:type="default"/>
      <w:pgSz w:w="11906" w:h="16838"/>
      <w:pgMar w:top="426" w:right="707" w:bottom="426" w:left="709" w:header="142" w:footer="119"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6" w:space="0"/>
      </w:pBdr>
      <w:tabs>
        <w:tab w:val="left" w:pos="2662"/>
      </w:tabs>
      <w:jc w:val="both"/>
      <w:rPr>
        <w:rFonts w:ascii="黑体" w:hAnsi="黑体" w:eastAsia="黑体"/>
        <w:sz w:val="21"/>
        <w:szCs w:val="21"/>
      </w:rPr>
    </w:pPr>
    <w:r>
      <w:rPr>
        <w:rFonts w:hint="eastAsia" w:ascii="黑体" w:hAnsi="黑体" w:eastAsia="黑体"/>
        <w:sz w:val="21"/>
        <w:szCs w:val="21"/>
      </w:rPr>
      <w:drawing>
        <wp:anchor distT="0" distB="0" distL="114300" distR="114300" simplePos="0" relativeHeight="251659264" behindDoc="1" locked="0" layoutInCell="1" allowOverlap="1">
          <wp:simplePos x="0" y="0"/>
          <wp:positionH relativeFrom="column">
            <wp:posOffset>5873115</wp:posOffset>
          </wp:positionH>
          <wp:positionV relativeFrom="paragraph">
            <wp:posOffset>-30480</wp:posOffset>
          </wp:positionV>
          <wp:extent cx="771525" cy="771525"/>
          <wp:effectExtent l="0" t="0" r="3175" b="3175"/>
          <wp:wrapNone/>
          <wp:docPr id="1" name="图片 1" descr="original_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riginal_qrcode"/>
                  <pic:cNvPicPr>
                    <a:picLocks noChangeAspect="1"/>
                  </pic:cNvPicPr>
                </pic:nvPicPr>
                <pic:blipFill>
                  <a:blip r:embed="rId1"/>
                  <a:stretch>
                    <a:fillRect/>
                  </a:stretch>
                </pic:blipFill>
                <pic:spPr>
                  <a:xfrm>
                    <a:off x="0" y="0"/>
                    <a:ext cx="771525" cy="771525"/>
                  </a:xfrm>
                  <a:prstGeom prst="rect">
                    <a:avLst/>
                  </a:prstGeom>
                </pic:spPr>
              </pic:pic>
            </a:graphicData>
          </a:graphic>
        </wp:anchor>
      </w:drawing>
    </w:r>
    <w:r>
      <w:rPr>
        <w:rFonts w:hint="eastAsia" w:ascii="黑体" w:hAnsi="黑体" w:eastAsia="黑体"/>
        <w:sz w:val="21"/>
        <w:szCs w:val="21"/>
      </w:rPr>
      <w:t>场外衍生品交易确认书编号：CNTRID</w:t>
    </w:r>
  </w:p>
  <w:p>
    <w:pPr>
      <w:pStyle w:val="12"/>
      <w:pBdr>
        <w:bottom w:val="single" w:color="auto" w:sz="6" w:space="0"/>
      </w:pBdr>
      <w:tabs>
        <w:tab w:val="left" w:pos="2662"/>
      </w:tabs>
      <w:jc w:val="both"/>
      <w:rPr>
        <w:rFonts w:hint="eastAsia" w:ascii="黑体" w:hAnsi="黑体" w:eastAsia="黑体"/>
        <w:sz w:val="21"/>
        <w:szCs w:val="21"/>
        <w:lang w:eastAsia="zh-CN"/>
      </w:rPr>
    </w:pPr>
    <w:r>
      <w:rPr>
        <w:rFonts w:hint="eastAsia" w:ascii="黑体" w:hAnsi="黑体" w:eastAsia="黑体"/>
        <w:sz w:val="21"/>
        <w:szCs w:val="21"/>
      </w:rPr>
      <w:t>乙方：</w:t>
    </w:r>
    <w:r>
      <w:rPr>
        <w:rFonts w:ascii="黑体" w:hAnsi="黑体" w:eastAsia="黑体"/>
        <w:sz w:val="21"/>
        <w:szCs w:val="21"/>
      </w:rPr>
      <w:t>CLIENT</w:t>
    </w:r>
  </w:p>
  <w:p>
    <w:pPr>
      <w:pStyle w:val="12"/>
      <w:pBdr>
        <w:bottom w:val="single" w:color="auto" w:sz="6" w:space="0"/>
      </w:pBdr>
      <w:tabs>
        <w:tab w:val="left" w:pos="2662"/>
      </w:tabs>
      <w:jc w:val="both"/>
      <w:rPr>
        <w:rFonts w:hint="eastAsia" w:ascii="黑体" w:hAnsi="黑体" w:eastAsia="黑体"/>
        <w:sz w:val="21"/>
        <w:szCs w:val="21"/>
        <w:lang w:eastAsia="zh-CN"/>
      </w:rPr>
    </w:pPr>
    <w:r>
      <w:rPr>
        <w:rFonts w:hint="eastAsia" w:ascii="黑体" w:hAnsi="黑体" w:eastAsia="黑体"/>
        <w:sz w:val="21"/>
        <w:szCs w:val="21"/>
      </w:rPr>
      <w:t>主协议编号：</w:t>
    </w:r>
    <w:r>
      <w:rPr>
        <w:rFonts w:ascii="黑体" w:hAnsi="黑体" w:eastAsia="黑体"/>
        <w:sz w:val="21"/>
        <w:szCs w:val="21"/>
      </w:rPr>
      <w:t>MAIN_CONTRACT_ID</w:t>
    </w:r>
    <w:r>
      <w:rPr>
        <w:rFonts w:hint="eastAsia" w:ascii="黑体" w:hAnsi="黑体" w:eastAsia="黑体"/>
        <w:sz w:val="21"/>
        <w:szCs w:val="21"/>
        <w:lang w:val="en-US" w:eastAsia="zh-CN"/>
      </w:rPr>
      <w:t xml:space="preserve">                                                      </w:t>
    </w:r>
  </w:p>
  <w:p>
    <w:pPr>
      <w:pStyle w:val="12"/>
      <w:pBdr>
        <w:bottom w:val="single" w:color="auto" w:sz="6" w:space="0"/>
      </w:pBdr>
      <w:tabs>
        <w:tab w:val="left" w:pos="2662"/>
      </w:tabs>
      <w:jc w:val="both"/>
      <w:rPr>
        <w:b/>
        <w:sz w:val="21"/>
        <w:szCs w:val="21"/>
      </w:rPr>
    </w:pPr>
    <w:r>
      <w:rPr>
        <w:rFonts w:hint="eastAsia" w:ascii="黑体" w:hAnsi="黑体" w:eastAsia="黑体"/>
        <w:sz w:val="21"/>
        <w:szCs w:val="21"/>
      </w:rPr>
      <w:t>定义文件编号：</w:t>
    </w:r>
    <w:r>
      <w:rPr>
        <w:rFonts w:ascii="黑体" w:hAnsi="黑体" w:eastAsia="黑体"/>
        <w:sz w:val="21"/>
        <w:szCs w:val="21"/>
      </w:rPr>
      <w:t>DEFN_DOC_ID</w:t>
    </w:r>
    <w:bookmarkStart w:id="14" w:name="_GoBack"/>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E55D1"/>
    <w:multiLevelType w:val="multilevel"/>
    <w:tmpl w:val="049E55D1"/>
    <w:lvl w:ilvl="0" w:tentative="0">
      <w:start w:val="1"/>
      <w:numFmt w:val="decimal"/>
      <w:pStyle w:val="42"/>
      <w:lvlText w:val="第%1条."/>
      <w:lvlJc w:val="left"/>
      <w:pPr>
        <w:tabs>
          <w:tab w:val="left" w:pos="804"/>
        </w:tabs>
        <w:ind w:left="804" w:hanging="624"/>
      </w:pPr>
      <w:rPr>
        <w:rFonts w:hint="eastAsia" w:ascii="Times New Roman" w:hAnsi="Times New Roman" w:eastAsia="仿宋_GB2312"/>
        <w:b/>
        <w:i w:val="0"/>
        <w:sz w:val="24"/>
        <w:szCs w:val="24"/>
      </w:rPr>
    </w:lvl>
    <w:lvl w:ilvl="1" w:tentative="0">
      <w:start w:val="1"/>
      <w:numFmt w:val="decimal"/>
      <w:pStyle w:val="44"/>
      <w:lvlText w:val="%1.%2"/>
      <w:lvlJc w:val="left"/>
      <w:pPr>
        <w:tabs>
          <w:tab w:val="left" w:pos="1164"/>
        </w:tabs>
        <w:ind w:left="1164" w:hanging="624"/>
      </w:pPr>
      <w:rPr>
        <w:rFonts w:hint="eastAsia" w:ascii="Times New Roman" w:hAnsi="Times New Roman" w:eastAsia="仿宋_GB2312" w:cs="Arial"/>
        <w:b w:val="0"/>
        <w:i w:val="0"/>
        <w:sz w:val="24"/>
        <w:szCs w:val="24"/>
      </w:rPr>
    </w:lvl>
    <w:lvl w:ilvl="2" w:tentative="0">
      <w:start w:val="1"/>
      <w:numFmt w:val="decimal"/>
      <w:pStyle w:val="45"/>
      <w:lvlText w:val="(%3)"/>
      <w:lvlJc w:val="left"/>
      <w:pPr>
        <w:tabs>
          <w:tab w:val="left" w:pos="624"/>
        </w:tabs>
        <w:ind w:left="624" w:hanging="624"/>
      </w:pPr>
      <w:rPr>
        <w:rFonts w:hint="default" w:ascii="Arial" w:hAnsi="Arial" w:cs="Times New Roman"/>
        <w:b w:val="0"/>
        <w:i w:val="0"/>
        <w:sz w:val="24"/>
        <w:szCs w:val="24"/>
      </w:rPr>
    </w:lvl>
    <w:lvl w:ilvl="3" w:tentative="0">
      <w:start w:val="1"/>
      <w:numFmt w:val="decimal"/>
      <w:pStyle w:val="46"/>
      <w:lvlText w:val="%1.%2.%4"/>
      <w:lvlJc w:val="left"/>
      <w:pPr>
        <w:tabs>
          <w:tab w:val="left" w:pos="1817"/>
        </w:tabs>
        <w:ind w:left="1817" w:hanging="737"/>
      </w:pPr>
      <w:rPr>
        <w:rFonts w:hint="eastAsia" w:ascii="Times New Roman" w:hAnsi="Times New Roman" w:eastAsia="仿宋_GB2312" w:cs="Arial"/>
        <w:b w:val="0"/>
        <w:i w:val="0"/>
        <w:sz w:val="24"/>
        <w:szCs w:val="24"/>
        <w:lang w:val="en-US"/>
      </w:rPr>
    </w:lvl>
    <w:lvl w:ilvl="4" w:tentative="0">
      <w:start w:val="1"/>
      <w:numFmt w:val="lowerLetter"/>
      <w:pStyle w:val="47"/>
      <w:lvlText w:val="(%5)"/>
      <w:lvlJc w:val="left"/>
      <w:pPr>
        <w:tabs>
          <w:tab w:val="left" w:pos="1361"/>
        </w:tabs>
        <w:ind w:left="1361" w:hanging="737"/>
      </w:pPr>
      <w:rPr>
        <w:rFonts w:hint="default" w:ascii="Arial" w:hAnsi="Arial" w:cs="Times New Roman"/>
        <w:b w:val="0"/>
        <w:i w:val="0"/>
        <w:sz w:val="20"/>
      </w:rPr>
    </w:lvl>
    <w:lvl w:ilvl="5" w:tentative="0">
      <w:start w:val="1"/>
      <w:numFmt w:val="lowerRoman"/>
      <w:pStyle w:val="48"/>
      <w:lvlText w:val="(%6)"/>
      <w:lvlJc w:val="left"/>
      <w:pPr>
        <w:tabs>
          <w:tab w:val="left" w:pos="2041"/>
        </w:tabs>
        <w:ind w:left="2041" w:hanging="680"/>
      </w:pPr>
      <w:rPr>
        <w:rFonts w:hint="default" w:ascii="Arial" w:hAnsi="Arial" w:cs="Times New Roman"/>
        <w:b w:val="0"/>
        <w:i w:val="0"/>
        <w:sz w:val="20"/>
      </w:rPr>
    </w:lvl>
    <w:lvl w:ilvl="6" w:tentative="0">
      <w:start w:val="1"/>
      <w:numFmt w:val="upperLetter"/>
      <w:pStyle w:val="49"/>
      <w:lvlText w:val="(%7)"/>
      <w:lvlJc w:val="left"/>
      <w:pPr>
        <w:tabs>
          <w:tab w:val="left" w:pos="2041"/>
        </w:tabs>
        <w:ind w:left="2041" w:hanging="680"/>
      </w:pPr>
      <w:rPr>
        <w:rFonts w:hint="default" w:ascii="Arial" w:hAnsi="Arial" w:cs="Times New Roman"/>
        <w:b w:val="0"/>
        <w:i w:val="0"/>
        <w:sz w:val="20"/>
      </w:rPr>
    </w:lvl>
    <w:lvl w:ilvl="7" w:tentative="0">
      <w:start w:val="1"/>
      <w:numFmt w:val="upperLetter"/>
      <w:pStyle w:val="50"/>
      <w:lvlText w:val="(%8)"/>
      <w:lvlJc w:val="left"/>
      <w:pPr>
        <w:tabs>
          <w:tab w:val="left" w:pos="2722"/>
        </w:tabs>
        <w:ind w:left="2722" w:hanging="681"/>
      </w:pPr>
      <w:rPr>
        <w:rFonts w:hint="default" w:ascii="Arial" w:hAnsi="Arial" w:cs="Times New Roman"/>
        <w:b w:val="0"/>
        <w:i w:val="0"/>
        <w:sz w:val="20"/>
      </w:rPr>
    </w:lvl>
    <w:lvl w:ilvl="8" w:tentative="0">
      <w:start w:val="1"/>
      <w:numFmt w:val="none"/>
      <w:lvlText w:val=""/>
      <w:lvlJc w:val="left"/>
      <w:pPr>
        <w:tabs>
          <w:tab w:val="left" w:pos="4320"/>
        </w:tabs>
        <w:ind w:left="4320" w:hanging="1440"/>
      </w:pPr>
    </w:lvl>
  </w:abstractNum>
  <w:abstractNum w:abstractNumId="1">
    <w:nsid w:val="30D345A2"/>
    <w:multiLevelType w:val="multilevel"/>
    <w:tmpl w:val="30D345A2"/>
    <w:lvl w:ilvl="0" w:tentative="0">
      <w:start w:val="1"/>
      <w:numFmt w:val="bullet"/>
      <w:lvlText w:val=""/>
      <w:lvlJc w:val="left"/>
      <w:pPr>
        <w:ind w:left="420" w:hanging="420"/>
      </w:pPr>
      <w:rPr>
        <w:rFonts w:hint="default" w:ascii="Wingdings" w:hAnsi="Wingdings"/>
        <w:sz w:val="18"/>
        <w:szCs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CA20D9A"/>
    <w:multiLevelType w:val="multilevel"/>
    <w:tmpl w:val="5CA20D9A"/>
    <w:lvl w:ilvl="0" w:tentative="0">
      <w:start w:val="1"/>
      <w:numFmt w:val="chineseCountingThousand"/>
      <w:lvlText w:val="%1、"/>
      <w:lvlJc w:val="left"/>
      <w:pPr>
        <w:ind w:left="420" w:hanging="420"/>
      </w:pPr>
      <w:rPr>
        <w:rFonts w:hint="default" w:ascii="Times New Roman" w:hAnsi="Times New Roman"/>
        <w:b/>
        <w:sz w:val="21"/>
        <w:szCs w:val="21"/>
      </w:rPr>
    </w:lvl>
    <w:lvl w:ilvl="1" w:tentative="0">
      <w:start w:val="1"/>
      <w:numFmt w:val="decimal"/>
      <w:isLgl/>
      <w:lvlText w:val="%1.%2"/>
      <w:lvlJc w:val="left"/>
      <w:pPr>
        <w:ind w:left="405" w:hanging="405"/>
      </w:pPr>
      <w:rPr>
        <w:rFonts w:hint="default"/>
        <w:b w:val="0"/>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attachedTemplate r:id="rId1"/>
  <w:documentProtection w:enforcement="0"/>
  <w:defaultTabStop w:val="418"/>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lY2JiY2UzZDFmMGQyMDYwNWNhMWZlNzMxZTk3YmIifQ=="/>
  </w:docVars>
  <w:rsids>
    <w:rsidRoot w:val="00A21A4C"/>
    <w:rsid w:val="00000446"/>
    <w:rsid w:val="00002919"/>
    <w:rsid w:val="000053BC"/>
    <w:rsid w:val="000069B1"/>
    <w:rsid w:val="00006ED4"/>
    <w:rsid w:val="00007EEB"/>
    <w:rsid w:val="000102A4"/>
    <w:rsid w:val="0001084C"/>
    <w:rsid w:val="00010C96"/>
    <w:rsid w:val="0001105C"/>
    <w:rsid w:val="00011084"/>
    <w:rsid w:val="000115E1"/>
    <w:rsid w:val="0001276E"/>
    <w:rsid w:val="0001299C"/>
    <w:rsid w:val="00012CDC"/>
    <w:rsid w:val="00013EF8"/>
    <w:rsid w:val="00024A88"/>
    <w:rsid w:val="00025C73"/>
    <w:rsid w:val="00025F41"/>
    <w:rsid w:val="000261DC"/>
    <w:rsid w:val="000304F6"/>
    <w:rsid w:val="000314BA"/>
    <w:rsid w:val="00031C2C"/>
    <w:rsid w:val="000321EE"/>
    <w:rsid w:val="0003422E"/>
    <w:rsid w:val="000348BC"/>
    <w:rsid w:val="00035D29"/>
    <w:rsid w:val="00036ECD"/>
    <w:rsid w:val="000377B3"/>
    <w:rsid w:val="00037C21"/>
    <w:rsid w:val="00037C2C"/>
    <w:rsid w:val="000409B7"/>
    <w:rsid w:val="00040D2D"/>
    <w:rsid w:val="00040E79"/>
    <w:rsid w:val="00041B8D"/>
    <w:rsid w:val="00041DF6"/>
    <w:rsid w:val="000448BF"/>
    <w:rsid w:val="00044D20"/>
    <w:rsid w:val="00045282"/>
    <w:rsid w:val="00045527"/>
    <w:rsid w:val="0004642D"/>
    <w:rsid w:val="000467D8"/>
    <w:rsid w:val="00046A87"/>
    <w:rsid w:val="0004750B"/>
    <w:rsid w:val="00047833"/>
    <w:rsid w:val="00052FEC"/>
    <w:rsid w:val="0005313F"/>
    <w:rsid w:val="00053836"/>
    <w:rsid w:val="00053889"/>
    <w:rsid w:val="00054F51"/>
    <w:rsid w:val="000551B2"/>
    <w:rsid w:val="00055591"/>
    <w:rsid w:val="00061CCE"/>
    <w:rsid w:val="00063477"/>
    <w:rsid w:val="00063A09"/>
    <w:rsid w:val="00064C49"/>
    <w:rsid w:val="000654D1"/>
    <w:rsid w:val="0006624A"/>
    <w:rsid w:val="000679C5"/>
    <w:rsid w:val="00070357"/>
    <w:rsid w:val="00070CB0"/>
    <w:rsid w:val="0007212D"/>
    <w:rsid w:val="0007225F"/>
    <w:rsid w:val="00072FA0"/>
    <w:rsid w:val="000757BB"/>
    <w:rsid w:val="00075B77"/>
    <w:rsid w:val="000772E3"/>
    <w:rsid w:val="00077FE6"/>
    <w:rsid w:val="000822AC"/>
    <w:rsid w:val="0008238B"/>
    <w:rsid w:val="00084117"/>
    <w:rsid w:val="00086D0C"/>
    <w:rsid w:val="00087F20"/>
    <w:rsid w:val="00090802"/>
    <w:rsid w:val="000909E4"/>
    <w:rsid w:val="0009165F"/>
    <w:rsid w:val="000924DC"/>
    <w:rsid w:val="00092EB1"/>
    <w:rsid w:val="00093342"/>
    <w:rsid w:val="000944CE"/>
    <w:rsid w:val="00096078"/>
    <w:rsid w:val="00097227"/>
    <w:rsid w:val="000A10C9"/>
    <w:rsid w:val="000A1328"/>
    <w:rsid w:val="000A2839"/>
    <w:rsid w:val="000A2E18"/>
    <w:rsid w:val="000A3A5C"/>
    <w:rsid w:val="000A3C20"/>
    <w:rsid w:val="000A4498"/>
    <w:rsid w:val="000A4B64"/>
    <w:rsid w:val="000A6119"/>
    <w:rsid w:val="000A6465"/>
    <w:rsid w:val="000A6CEC"/>
    <w:rsid w:val="000A6D6E"/>
    <w:rsid w:val="000A7B16"/>
    <w:rsid w:val="000A7EDF"/>
    <w:rsid w:val="000A7F21"/>
    <w:rsid w:val="000B2805"/>
    <w:rsid w:val="000B4157"/>
    <w:rsid w:val="000B41D1"/>
    <w:rsid w:val="000B425C"/>
    <w:rsid w:val="000B4853"/>
    <w:rsid w:val="000B50BB"/>
    <w:rsid w:val="000B53CE"/>
    <w:rsid w:val="000B6872"/>
    <w:rsid w:val="000B6D05"/>
    <w:rsid w:val="000B6D68"/>
    <w:rsid w:val="000B7079"/>
    <w:rsid w:val="000C003C"/>
    <w:rsid w:val="000C153F"/>
    <w:rsid w:val="000C3240"/>
    <w:rsid w:val="000C39CA"/>
    <w:rsid w:val="000C47C1"/>
    <w:rsid w:val="000C530B"/>
    <w:rsid w:val="000D1800"/>
    <w:rsid w:val="000D21EF"/>
    <w:rsid w:val="000D2DD3"/>
    <w:rsid w:val="000D3D83"/>
    <w:rsid w:val="000D4B2C"/>
    <w:rsid w:val="000D622F"/>
    <w:rsid w:val="000D62F2"/>
    <w:rsid w:val="000D6E1E"/>
    <w:rsid w:val="000E12E9"/>
    <w:rsid w:val="000E1AA2"/>
    <w:rsid w:val="000E1E36"/>
    <w:rsid w:val="000E20D8"/>
    <w:rsid w:val="000E2C01"/>
    <w:rsid w:val="000E31A8"/>
    <w:rsid w:val="000E345D"/>
    <w:rsid w:val="000E3FC5"/>
    <w:rsid w:val="000E47F8"/>
    <w:rsid w:val="000E512F"/>
    <w:rsid w:val="000F0543"/>
    <w:rsid w:val="000F0562"/>
    <w:rsid w:val="000F067C"/>
    <w:rsid w:val="000F08E3"/>
    <w:rsid w:val="000F1683"/>
    <w:rsid w:val="000F2178"/>
    <w:rsid w:val="000F6014"/>
    <w:rsid w:val="000F6A23"/>
    <w:rsid w:val="000F7429"/>
    <w:rsid w:val="000F7527"/>
    <w:rsid w:val="000F7B53"/>
    <w:rsid w:val="001001A6"/>
    <w:rsid w:val="00100F1A"/>
    <w:rsid w:val="00101048"/>
    <w:rsid w:val="00102445"/>
    <w:rsid w:val="001025B2"/>
    <w:rsid w:val="00102CD5"/>
    <w:rsid w:val="00105CD6"/>
    <w:rsid w:val="00105FE6"/>
    <w:rsid w:val="00106D57"/>
    <w:rsid w:val="0011099D"/>
    <w:rsid w:val="00110AAB"/>
    <w:rsid w:val="00111817"/>
    <w:rsid w:val="00111B7E"/>
    <w:rsid w:val="001128FF"/>
    <w:rsid w:val="001134BC"/>
    <w:rsid w:val="0011553C"/>
    <w:rsid w:val="00116A26"/>
    <w:rsid w:val="00116FB7"/>
    <w:rsid w:val="001203E8"/>
    <w:rsid w:val="001206C7"/>
    <w:rsid w:val="001206F1"/>
    <w:rsid w:val="001218C7"/>
    <w:rsid w:val="00121ABD"/>
    <w:rsid w:val="001222A1"/>
    <w:rsid w:val="00123452"/>
    <w:rsid w:val="001239C4"/>
    <w:rsid w:val="0012430E"/>
    <w:rsid w:val="00126EA4"/>
    <w:rsid w:val="001276F3"/>
    <w:rsid w:val="00127CF5"/>
    <w:rsid w:val="001305A4"/>
    <w:rsid w:val="00130E2F"/>
    <w:rsid w:val="00131383"/>
    <w:rsid w:val="0013189D"/>
    <w:rsid w:val="00132818"/>
    <w:rsid w:val="00132A6F"/>
    <w:rsid w:val="00132BAB"/>
    <w:rsid w:val="00132FFC"/>
    <w:rsid w:val="001333E1"/>
    <w:rsid w:val="00134373"/>
    <w:rsid w:val="001345FE"/>
    <w:rsid w:val="001348FA"/>
    <w:rsid w:val="001353A5"/>
    <w:rsid w:val="001365B8"/>
    <w:rsid w:val="00136C6B"/>
    <w:rsid w:val="001370A6"/>
    <w:rsid w:val="00137D3A"/>
    <w:rsid w:val="001407F1"/>
    <w:rsid w:val="001417AB"/>
    <w:rsid w:val="00142A53"/>
    <w:rsid w:val="00143D59"/>
    <w:rsid w:val="00145956"/>
    <w:rsid w:val="00147CA7"/>
    <w:rsid w:val="00150C76"/>
    <w:rsid w:val="00153B88"/>
    <w:rsid w:val="00154DB9"/>
    <w:rsid w:val="001558F3"/>
    <w:rsid w:val="00156120"/>
    <w:rsid w:val="001567CD"/>
    <w:rsid w:val="00156948"/>
    <w:rsid w:val="0016131F"/>
    <w:rsid w:val="001626D7"/>
    <w:rsid w:val="001626E6"/>
    <w:rsid w:val="00162B42"/>
    <w:rsid w:val="00166221"/>
    <w:rsid w:val="00166E9D"/>
    <w:rsid w:val="00166FEF"/>
    <w:rsid w:val="001671A6"/>
    <w:rsid w:val="00170E77"/>
    <w:rsid w:val="00171924"/>
    <w:rsid w:val="00172600"/>
    <w:rsid w:val="00173AAB"/>
    <w:rsid w:val="001744F1"/>
    <w:rsid w:val="0017452E"/>
    <w:rsid w:val="00174E45"/>
    <w:rsid w:val="001764E6"/>
    <w:rsid w:val="00176B48"/>
    <w:rsid w:val="0018020C"/>
    <w:rsid w:val="0018398A"/>
    <w:rsid w:val="00190402"/>
    <w:rsid w:val="00190BBE"/>
    <w:rsid w:val="001919AF"/>
    <w:rsid w:val="00193856"/>
    <w:rsid w:val="00194E80"/>
    <w:rsid w:val="001963C7"/>
    <w:rsid w:val="00196439"/>
    <w:rsid w:val="001974BD"/>
    <w:rsid w:val="001A0122"/>
    <w:rsid w:val="001A0850"/>
    <w:rsid w:val="001A09A5"/>
    <w:rsid w:val="001A0DC2"/>
    <w:rsid w:val="001A1A9C"/>
    <w:rsid w:val="001A3157"/>
    <w:rsid w:val="001A31A3"/>
    <w:rsid w:val="001A31CD"/>
    <w:rsid w:val="001A489B"/>
    <w:rsid w:val="001A690A"/>
    <w:rsid w:val="001A6CC8"/>
    <w:rsid w:val="001A6CDE"/>
    <w:rsid w:val="001A73A2"/>
    <w:rsid w:val="001A7A60"/>
    <w:rsid w:val="001B051B"/>
    <w:rsid w:val="001B0847"/>
    <w:rsid w:val="001B110F"/>
    <w:rsid w:val="001B17A9"/>
    <w:rsid w:val="001B1EEE"/>
    <w:rsid w:val="001B21A2"/>
    <w:rsid w:val="001B2228"/>
    <w:rsid w:val="001B2863"/>
    <w:rsid w:val="001B2E0B"/>
    <w:rsid w:val="001B3117"/>
    <w:rsid w:val="001B4A4D"/>
    <w:rsid w:val="001B4B38"/>
    <w:rsid w:val="001B4D29"/>
    <w:rsid w:val="001B5337"/>
    <w:rsid w:val="001B764A"/>
    <w:rsid w:val="001B7D17"/>
    <w:rsid w:val="001C3922"/>
    <w:rsid w:val="001C474D"/>
    <w:rsid w:val="001C5749"/>
    <w:rsid w:val="001C5E6A"/>
    <w:rsid w:val="001C68B2"/>
    <w:rsid w:val="001D01A4"/>
    <w:rsid w:val="001D0D57"/>
    <w:rsid w:val="001D2D4C"/>
    <w:rsid w:val="001D357A"/>
    <w:rsid w:val="001D3886"/>
    <w:rsid w:val="001D477C"/>
    <w:rsid w:val="001D4E2D"/>
    <w:rsid w:val="001D5683"/>
    <w:rsid w:val="001D6101"/>
    <w:rsid w:val="001D6B40"/>
    <w:rsid w:val="001D7680"/>
    <w:rsid w:val="001E3240"/>
    <w:rsid w:val="001E4713"/>
    <w:rsid w:val="001E6193"/>
    <w:rsid w:val="001E6EBC"/>
    <w:rsid w:val="001E78F2"/>
    <w:rsid w:val="001E797B"/>
    <w:rsid w:val="001E7CCC"/>
    <w:rsid w:val="001F04E3"/>
    <w:rsid w:val="001F224F"/>
    <w:rsid w:val="001F3172"/>
    <w:rsid w:val="001F3646"/>
    <w:rsid w:val="001F4245"/>
    <w:rsid w:val="001F4467"/>
    <w:rsid w:val="001F506B"/>
    <w:rsid w:val="001F543B"/>
    <w:rsid w:val="001F67C9"/>
    <w:rsid w:val="001F6D41"/>
    <w:rsid w:val="001F7892"/>
    <w:rsid w:val="00200764"/>
    <w:rsid w:val="00201660"/>
    <w:rsid w:val="002016EA"/>
    <w:rsid w:val="00201881"/>
    <w:rsid w:val="00205361"/>
    <w:rsid w:val="00205C7F"/>
    <w:rsid w:val="002073C2"/>
    <w:rsid w:val="00207831"/>
    <w:rsid w:val="0021006F"/>
    <w:rsid w:val="0021036A"/>
    <w:rsid w:val="002104D3"/>
    <w:rsid w:val="00214769"/>
    <w:rsid w:val="0021619E"/>
    <w:rsid w:val="00217244"/>
    <w:rsid w:val="002207A1"/>
    <w:rsid w:val="00225A53"/>
    <w:rsid w:val="00225BBF"/>
    <w:rsid w:val="002260F6"/>
    <w:rsid w:val="002262AC"/>
    <w:rsid w:val="00226C48"/>
    <w:rsid w:val="00227AA7"/>
    <w:rsid w:val="00227E66"/>
    <w:rsid w:val="00227E74"/>
    <w:rsid w:val="0023072D"/>
    <w:rsid w:val="00232049"/>
    <w:rsid w:val="0023286B"/>
    <w:rsid w:val="00233235"/>
    <w:rsid w:val="00234387"/>
    <w:rsid w:val="00234912"/>
    <w:rsid w:val="0023564A"/>
    <w:rsid w:val="002367CA"/>
    <w:rsid w:val="00236F00"/>
    <w:rsid w:val="00240845"/>
    <w:rsid w:val="00242B9E"/>
    <w:rsid w:val="00243F44"/>
    <w:rsid w:val="00244A59"/>
    <w:rsid w:val="00245AD6"/>
    <w:rsid w:val="0024664F"/>
    <w:rsid w:val="002468A1"/>
    <w:rsid w:val="002472ED"/>
    <w:rsid w:val="0024767D"/>
    <w:rsid w:val="00247957"/>
    <w:rsid w:val="00247DB1"/>
    <w:rsid w:val="0025013B"/>
    <w:rsid w:val="002508BC"/>
    <w:rsid w:val="002521D9"/>
    <w:rsid w:val="00253BF5"/>
    <w:rsid w:val="00255E9A"/>
    <w:rsid w:val="00257704"/>
    <w:rsid w:val="00260F05"/>
    <w:rsid w:val="00262265"/>
    <w:rsid w:val="002636D7"/>
    <w:rsid w:val="00264C66"/>
    <w:rsid w:val="00265171"/>
    <w:rsid w:val="00265B12"/>
    <w:rsid w:val="002664BF"/>
    <w:rsid w:val="002676AC"/>
    <w:rsid w:val="00267E85"/>
    <w:rsid w:val="002703D1"/>
    <w:rsid w:val="00270B4B"/>
    <w:rsid w:val="002725E9"/>
    <w:rsid w:val="00273090"/>
    <w:rsid w:val="0027362B"/>
    <w:rsid w:val="00275CEC"/>
    <w:rsid w:val="002766C2"/>
    <w:rsid w:val="002769B6"/>
    <w:rsid w:val="00276C82"/>
    <w:rsid w:val="00276FE9"/>
    <w:rsid w:val="00280005"/>
    <w:rsid w:val="00280F20"/>
    <w:rsid w:val="00282CDD"/>
    <w:rsid w:val="002842A8"/>
    <w:rsid w:val="00286969"/>
    <w:rsid w:val="002871C9"/>
    <w:rsid w:val="002878B7"/>
    <w:rsid w:val="00287A75"/>
    <w:rsid w:val="002903DE"/>
    <w:rsid w:val="002903F1"/>
    <w:rsid w:val="00291D92"/>
    <w:rsid w:val="00292082"/>
    <w:rsid w:val="002929E4"/>
    <w:rsid w:val="00292C40"/>
    <w:rsid w:val="00295AB3"/>
    <w:rsid w:val="00295B83"/>
    <w:rsid w:val="0029754B"/>
    <w:rsid w:val="002A0147"/>
    <w:rsid w:val="002A07F3"/>
    <w:rsid w:val="002A0F19"/>
    <w:rsid w:val="002A10FB"/>
    <w:rsid w:val="002A116F"/>
    <w:rsid w:val="002A1EAA"/>
    <w:rsid w:val="002A22DC"/>
    <w:rsid w:val="002A31BC"/>
    <w:rsid w:val="002A32C1"/>
    <w:rsid w:val="002A33B2"/>
    <w:rsid w:val="002A4E0B"/>
    <w:rsid w:val="002A5565"/>
    <w:rsid w:val="002A6089"/>
    <w:rsid w:val="002A6E29"/>
    <w:rsid w:val="002A6E47"/>
    <w:rsid w:val="002A7416"/>
    <w:rsid w:val="002A7854"/>
    <w:rsid w:val="002A7888"/>
    <w:rsid w:val="002B594E"/>
    <w:rsid w:val="002B5E7B"/>
    <w:rsid w:val="002B6E35"/>
    <w:rsid w:val="002B70AD"/>
    <w:rsid w:val="002C1654"/>
    <w:rsid w:val="002C2C03"/>
    <w:rsid w:val="002C372E"/>
    <w:rsid w:val="002C55E2"/>
    <w:rsid w:val="002C6841"/>
    <w:rsid w:val="002C7E1D"/>
    <w:rsid w:val="002D0EF6"/>
    <w:rsid w:val="002D1F4D"/>
    <w:rsid w:val="002D35CC"/>
    <w:rsid w:val="002D4546"/>
    <w:rsid w:val="002D455E"/>
    <w:rsid w:val="002D4677"/>
    <w:rsid w:val="002D548F"/>
    <w:rsid w:val="002E03B9"/>
    <w:rsid w:val="002E1475"/>
    <w:rsid w:val="002E16F3"/>
    <w:rsid w:val="002E1C6A"/>
    <w:rsid w:val="002E21A9"/>
    <w:rsid w:val="002E2E69"/>
    <w:rsid w:val="002E37AD"/>
    <w:rsid w:val="002E38C2"/>
    <w:rsid w:val="002E4181"/>
    <w:rsid w:val="002E4395"/>
    <w:rsid w:val="002E4779"/>
    <w:rsid w:val="002E4F46"/>
    <w:rsid w:val="002E54DF"/>
    <w:rsid w:val="002E5732"/>
    <w:rsid w:val="002E6BB0"/>
    <w:rsid w:val="002F0DBE"/>
    <w:rsid w:val="002F12B4"/>
    <w:rsid w:val="002F5860"/>
    <w:rsid w:val="002F728A"/>
    <w:rsid w:val="002F73B2"/>
    <w:rsid w:val="003012E3"/>
    <w:rsid w:val="00301A99"/>
    <w:rsid w:val="0030304E"/>
    <w:rsid w:val="00303DDE"/>
    <w:rsid w:val="0030794D"/>
    <w:rsid w:val="00310282"/>
    <w:rsid w:val="00310A18"/>
    <w:rsid w:val="003137A5"/>
    <w:rsid w:val="0031421A"/>
    <w:rsid w:val="00315F48"/>
    <w:rsid w:val="0031652C"/>
    <w:rsid w:val="00320329"/>
    <w:rsid w:val="00321ADA"/>
    <w:rsid w:val="00321EF6"/>
    <w:rsid w:val="0032239A"/>
    <w:rsid w:val="00324F70"/>
    <w:rsid w:val="003251C4"/>
    <w:rsid w:val="003254B5"/>
    <w:rsid w:val="003268F8"/>
    <w:rsid w:val="00326AFC"/>
    <w:rsid w:val="00327486"/>
    <w:rsid w:val="00331265"/>
    <w:rsid w:val="003320B8"/>
    <w:rsid w:val="00332378"/>
    <w:rsid w:val="00333B85"/>
    <w:rsid w:val="00333D93"/>
    <w:rsid w:val="00334E76"/>
    <w:rsid w:val="0033527E"/>
    <w:rsid w:val="003361CE"/>
    <w:rsid w:val="0033787E"/>
    <w:rsid w:val="00337A40"/>
    <w:rsid w:val="00337A87"/>
    <w:rsid w:val="00337D8B"/>
    <w:rsid w:val="003411C0"/>
    <w:rsid w:val="00341BFB"/>
    <w:rsid w:val="00341E70"/>
    <w:rsid w:val="0034665C"/>
    <w:rsid w:val="00346850"/>
    <w:rsid w:val="00350455"/>
    <w:rsid w:val="003523F8"/>
    <w:rsid w:val="00352EC8"/>
    <w:rsid w:val="003535B4"/>
    <w:rsid w:val="003539C0"/>
    <w:rsid w:val="00353D7A"/>
    <w:rsid w:val="00354699"/>
    <w:rsid w:val="00355C2D"/>
    <w:rsid w:val="003563EC"/>
    <w:rsid w:val="00356C92"/>
    <w:rsid w:val="00357E28"/>
    <w:rsid w:val="00361E31"/>
    <w:rsid w:val="003628AE"/>
    <w:rsid w:val="00363A3C"/>
    <w:rsid w:val="00366ECA"/>
    <w:rsid w:val="00366ED1"/>
    <w:rsid w:val="00367715"/>
    <w:rsid w:val="003700E0"/>
    <w:rsid w:val="00370D65"/>
    <w:rsid w:val="0037157D"/>
    <w:rsid w:val="00373ECF"/>
    <w:rsid w:val="0037462A"/>
    <w:rsid w:val="003759E1"/>
    <w:rsid w:val="00376694"/>
    <w:rsid w:val="00376D1C"/>
    <w:rsid w:val="003779A4"/>
    <w:rsid w:val="003802C7"/>
    <w:rsid w:val="0038032B"/>
    <w:rsid w:val="00381FD4"/>
    <w:rsid w:val="00383AE5"/>
    <w:rsid w:val="003876E6"/>
    <w:rsid w:val="00387D92"/>
    <w:rsid w:val="0039046E"/>
    <w:rsid w:val="00392087"/>
    <w:rsid w:val="003A0C81"/>
    <w:rsid w:val="003A1453"/>
    <w:rsid w:val="003A1C1F"/>
    <w:rsid w:val="003A22BE"/>
    <w:rsid w:val="003A32B4"/>
    <w:rsid w:val="003A33E2"/>
    <w:rsid w:val="003A3C69"/>
    <w:rsid w:val="003A4B48"/>
    <w:rsid w:val="003A6035"/>
    <w:rsid w:val="003A7A2C"/>
    <w:rsid w:val="003B05BF"/>
    <w:rsid w:val="003B05FB"/>
    <w:rsid w:val="003B0A7F"/>
    <w:rsid w:val="003B19D4"/>
    <w:rsid w:val="003B1E72"/>
    <w:rsid w:val="003B20D8"/>
    <w:rsid w:val="003B231E"/>
    <w:rsid w:val="003B2E50"/>
    <w:rsid w:val="003B4802"/>
    <w:rsid w:val="003B5E7B"/>
    <w:rsid w:val="003B6A2C"/>
    <w:rsid w:val="003B73E9"/>
    <w:rsid w:val="003B7D7A"/>
    <w:rsid w:val="003C063B"/>
    <w:rsid w:val="003C16B4"/>
    <w:rsid w:val="003C180C"/>
    <w:rsid w:val="003C3702"/>
    <w:rsid w:val="003C487A"/>
    <w:rsid w:val="003C5F2E"/>
    <w:rsid w:val="003C6673"/>
    <w:rsid w:val="003C703B"/>
    <w:rsid w:val="003C7202"/>
    <w:rsid w:val="003D01B3"/>
    <w:rsid w:val="003D0CA4"/>
    <w:rsid w:val="003D0CF5"/>
    <w:rsid w:val="003D1684"/>
    <w:rsid w:val="003D2D0F"/>
    <w:rsid w:val="003D3023"/>
    <w:rsid w:val="003D4041"/>
    <w:rsid w:val="003D40B1"/>
    <w:rsid w:val="003D5707"/>
    <w:rsid w:val="003D5DBD"/>
    <w:rsid w:val="003D6042"/>
    <w:rsid w:val="003D612C"/>
    <w:rsid w:val="003D6BB6"/>
    <w:rsid w:val="003E2064"/>
    <w:rsid w:val="003E33D0"/>
    <w:rsid w:val="003E3A79"/>
    <w:rsid w:val="003E58C3"/>
    <w:rsid w:val="003E599E"/>
    <w:rsid w:val="003E5BCE"/>
    <w:rsid w:val="003E63D2"/>
    <w:rsid w:val="003E63FB"/>
    <w:rsid w:val="003E6EDF"/>
    <w:rsid w:val="003F038C"/>
    <w:rsid w:val="003F0969"/>
    <w:rsid w:val="003F0A3A"/>
    <w:rsid w:val="003F0B30"/>
    <w:rsid w:val="003F0E6D"/>
    <w:rsid w:val="003F6581"/>
    <w:rsid w:val="003F7675"/>
    <w:rsid w:val="003F78D1"/>
    <w:rsid w:val="00400194"/>
    <w:rsid w:val="00401D3C"/>
    <w:rsid w:val="00402938"/>
    <w:rsid w:val="00403EC8"/>
    <w:rsid w:val="00403F49"/>
    <w:rsid w:val="0040450E"/>
    <w:rsid w:val="00404DC9"/>
    <w:rsid w:val="00405AB5"/>
    <w:rsid w:val="00405F0F"/>
    <w:rsid w:val="00406675"/>
    <w:rsid w:val="004072F5"/>
    <w:rsid w:val="00407E7F"/>
    <w:rsid w:val="004105A2"/>
    <w:rsid w:val="004105B8"/>
    <w:rsid w:val="00410DED"/>
    <w:rsid w:val="004112B9"/>
    <w:rsid w:val="00412106"/>
    <w:rsid w:val="004128CF"/>
    <w:rsid w:val="00416D1D"/>
    <w:rsid w:val="00416E0E"/>
    <w:rsid w:val="00416ECC"/>
    <w:rsid w:val="0041738B"/>
    <w:rsid w:val="00420A6B"/>
    <w:rsid w:val="00421340"/>
    <w:rsid w:val="004226B3"/>
    <w:rsid w:val="00422DB5"/>
    <w:rsid w:val="00423157"/>
    <w:rsid w:val="0042317F"/>
    <w:rsid w:val="0042451C"/>
    <w:rsid w:val="0042568A"/>
    <w:rsid w:val="00426A23"/>
    <w:rsid w:val="00430325"/>
    <w:rsid w:val="00430C3B"/>
    <w:rsid w:val="00431AF9"/>
    <w:rsid w:val="00433B50"/>
    <w:rsid w:val="004365C3"/>
    <w:rsid w:val="004377C8"/>
    <w:rsid w:val="00441812"/>
    <w:rsid w:val="004420C5"/>
    <w:rsid w:val="00442451"/>
    <w:rsid w:val="004427C7"/>
    <w:rsid w:val="004428D9"/>
    <w:rsid w:val="00443806"/>
    <w:rsid w:val="00444258"/>
    <w:rsid w:val="004442C9"/>
    <w:rsid w:val="0044517A"/>
    <w:rsid w:val="004460E9"/>
    <w:rsid w:val="00452123"/>
    <w:rsid w:val="0045369D"/>
    <w:rsid w:val="00453CEA"/>
    <w:rsid w:val="00453EFC"/>
    <w:rsid w:val="00455858"/>
    <w:rsid w:val="00456128"/>
    <w:rsid w:val="0045712D"/>
    <w:rsid w:val="00461B12"/>
    <w:rsid w:val="004633F9"/>
    <w:rsid w:val="0046383C"/>
    <w:rsid w:val="00465A76"/>
    <w:rsid w:val="00467340"/>
    <w:rsid w:val="00471574"/>
    <w:rsid w:val="004734B1"/>
    <w:rsid w:val="00473F87"/>
    <w:rsid w:val="00474780"/>
    <w:rsid w:val="00475EDE"/>
    <w:rsid w:val="00476BB4"/>
    <w:rsid w:val="0047739C"/>
    <w:rsid w:val="00477779"/>
    <w:rsid w:val="004809F7"/>
    <w:rsid w:val="00480EA1"/>
    <w:rsid w:val="0048228B"/>
    <w:rsid w:val="00482C19"/>
    <w:rsid w:val="00483B8F"/>
    <w:rsid w:val="00485A0B"/>
    <w:rsid w:val="00486144"/>
    <w:rsid w:val="0048621D"/>
    <w:rsid w:val="00486CF9"/>
    <w:rsid w:val="0048755D"/>
    <w:rsid w:val="004877DF"/>
    <w:rsid w:val="004902FB"/>
    <w:rsid w:val="00490F38"/>
    <w:rsid w:val="0049101A"/>
    <w:rsid w:val="00491B30"/>
    <w:rsid w:val="00493288"/>
    <w:rsid w:val="004949D9"/>
    <w:rsid w:val="004962C5"/>
    <w:rsid w:val="004A14A3"/>
    <w:rsid w:val="004A15E7"/>
    <w:rsid w:val="004A1AEE"/>
    <w:rsid w:val="004A30BF"/>
    <w:rsid w:val="004A3A85"/>
    <w:rsid w:val="004A429D"/>
    <w:rsid w:val="004A4AD1"/>
    <w:rsid w:val="004A5746"/>
    <w:rsid w:val="004A6C02"/>
    <w:rsid w:val="004B0389"/>
    <w:rsid w:val="004B0790"/>
    <w:rsid w:val="004B1523"/>
    <w:rsid w:val="004B4696"/>
    <w:rsid w:val="004B4699"/>
    <w:rsid w:val="004B6ACE"/>
    <w:rsid w:val="004B714A"/>
    <w:rsid w:val="004B7B71"/>
    <w:rsid w:val="004B7DC9"/>
    <w:rsid w:val="004B7E18"/>
    <w:rsid w:val="004C19B0"/>
    <w:rsid w:val="004C1CD7"/>
    <w:rsid w:val="004C2ED6"/>
    <w:rsid w:val="004C3013"/>
    <w:rsid w:val="004C35DF"/>
    <w:rsid w:val="004C3768"/>
    <w:rsid w:val="004C483B"/>
    <w:rsid w:val="004C4B67"/>
    <w:rsid w:val="004C4BFA"/>
    <w:rsid w:val="004C5474"/>
    <w:rsid w:val="004C54B3"/>
    <w:rsid w:val="004C67F3"/>
    <w:rsid w:val="004D09F7"/>
    <w:rsid w:val="004D1452"/>
    <w:rsid w:val="004D16F3"/>
    <w:rsid w:val="004D220E"/>
    <w:rsid w:val="004D6603"/>
    <w:rsid w:val="004D6B2B"/>
    <w:rsid w:val="004E01EE"/>
    <w:rsid w:val="004E173C"/>
    <w:rsid w:val="004E1B38"/>
    <w:rsid w:val="004E3082"/>
    <w:rsid w:val="004E454A"/>
    <w:rsid w:val="004E61D1"/>
    <w:rsid w:val="004F009E"/>
    <w:rsid w:val="004F0C27"/>
    <w:rsid w:val="004F0EEE"/>
    <w:rsid w:val="004F199B"/>
    <w:rsid w:val="004F47E1"/>
    <w:rsid w:val="004F6129"/>
    <w:rsid w:val="004F7254"/>
    <w:rsid w:val="004F736C"/>
    <w:rsid w:val="004F7565"/>
    <w:rsid w:val="004F76FD"/>
    <w:rsid w:val="004F7962"/>
    <w:rsid w:val="004F7D6D"/>
    <w:rsid w:val="00500EA1"/>
    <w:rsid w:val="005016CD"/>
    <w:rsid w:val="005017B4"/>
    <w:rsid w:val="00501A18"/>
    <w:rsid w:val="00502307"/>
    <w:rsid w:val="005057C6"/>
    <w:rsid w:val="00510A7A"/>
    <w:rsid w:val="00511F0F"/>
    <w:rsid w:val="005159A3"/>
    <w:rsid w:val="00515AD3"/>
    <w:rsid w:val="00515E74"/>
    <w:rsid w:val="00515FC5"/>
    <w:rsid w:val="00520393"/>
    <w:rsid w:val="0052320B"/>
    <w:rsid w:val="00523444"/>
    <w:rsid w:val="00523A12"/>
    <w:rsid w:val="00523FAB"/>
    <w:rsid w:val="00526C1A"/>
    <w:rsid w:val="00527EC2"/>
    <w:rsid w:val="005300BE"/>
    <w:rsid w:val="00531561"/>
    <w:rsid w:val="00533702"/>
    <w:rsid w:val="005371B5"/>
    <w:rsid w:val="00540546"/>
    <w:rsid w:val="00540915"/>
    <w:rsid w:val="00541921"/>
    <w:rsid w:val="005422D4"/>
    <w:rsid w:val="00543D1E"/>
    <w:rsid w:val="005442B1"/>
    <w:rsid w:val="00544911"/>
    <w:rsid w:val="00544BF6"/>
    <w:rsid w:val="00545904"/>
    <w:rsid w:val="00546B8B"/>
    <w:rsid w:val="00547B64"/>
    <w:rsid w:val="00547FBC"/>
    <w:rsid w:val="005514A8"/>
    <w:rsid w:val="00551A1E"/>
    <w:rsid w:val="005524D3"/>
    <w:rsid w:val="00552DE4"/>
    <w:rsid w:val="00553D42"/>
    <w:rsid w:val="00554E8F"/>
    <w:rsid w:val="005551AB"/>
    <w:rsid w:val="005554BA"/>
    <w:rsid w:val="00557A52"/>
    <w:rsid w:val="00561827"/>
    <w:rsid w:val="00562AAC"/>
    <w:rsid w:val="00563CEA"/>
    <w:rsid w:val="00563D07"/>
    <w:rsid w:val="005652F0"/>
    <w:rsid w:val="00565BAE"/>
    <w:rsid w:val="00566FD5"/>
    <w:rsid w:val="005709BE"/>
    <w:rsid w:val="005738F8"/>
    <w:rsid w:val="005748B9"/>
    <w:rsid w:val="00574E87"/>
    <w:rsid w:val="005769D8"/>
    <w:rsid w:val="005801AD"/>
    <w:rsid w:val="00581144"/>
    <w:rsid w:val="00584281"/>
    <w:rsid w:val="0058446C"/>
    <w:rsid w:val="005866A1"/>
    <w:rsid w:val="005879E5"/>
    <w:rsid w:val="005907BE"/>
    <w:rsid w:val="005907CE"/>
    <w:rsid w:val="0059277A"/>
    <w:rsid w:val="00592E62"/>
    <w:rsid w:val="00593B26"/>
    <w:rsid w:val="00593E95"/>
    <w:rsid w:val="005945D7"/>
    <w:rsid w:val="0059475C"/>
    <w:rsid w:val="00595A91"/>
    <w:rsid w:val="00595B76"/>
    <w:rsid w:val="005970A9"/>
    <w:rsid w:val="0059776D"/>
    <w:rsid w:val="005A1E40"/>
    <w:rsid w:val="005A60E1"/>
    <w:rsid w:val="005A6BCA"/>
    <w:rsid w:val="005A7552"/>
    <w:rsid w:val="005A7CC7"/>
    <w:rsid w:val="005B0281"/>
    <w:rsid w:val="005B0952"/>
    <w:rsid w:val="005B0B12"/>
    <w:rsid w:val="005B1321"/>
    <w:rsid w:val="005B2CC4"/>
    <w:rsid w:val="005B32FC"/>
    <w:rsid w:val="005B3ECB"/>
    <w:rsid w:val="005B563C"/>
    <w:rsid w:val="005B6E37"/>
    <w:rsid w:val="005B6F7A"/>
    <w:rsid w:val="005B7DE0"/>
    <w:rsid w:val="005B7EC3"/>
    <w:rsid w:val="005C1466"/>
    <w:rsid w:val="005C24D2"/>
    <w:rsid w:val="005C327A"/>
    <w:rsid w:val="005C3731"/>
    <w:rsid w:val="005C3E3F"/>
    <w:rsid w:val="005C5807"/>
    <w:rsid w:val="005C6005"/>
    <w:rsid w:val="005C7987"/>
    <w:rsid w:val="005D05E1"/>
    <w:rsid w:val="005D14FA"/>
    <w:rsid w:val="005D27F3"/>
    <w:rsid w:val="005D3794"/>
    <w:rsid w:val="005D38DD"/>
    <w:rsid w:val="005D4A7C"/>
    <w:rsid w:val="005D6B6E"/>
    <w:rsid w:val="005E024A"/>
    <w:rsid w:val="005E0E45"/>
    <w:rsid w:val="005E1866"/>
    <w:rsid w:val="005E216B"/>
    <w:rsid w:val="005E2B93"/>
    <w:rsid w:val="005E71D6"/>
    <w:rsid w:val="005F07D9"/>
    <w:rsid w:val="005F1471"/>
    <w:rsid w:val="005F1596"/>
    <w:rsid w:val="005F2B89"/>
    <w:rsid w:val="005F45E1"/>
    <w:rsid w:val="005F477F"/>
    <w:rsid w:val="005F5E78"/>
    <w:rsid w:val="005F60D1"/>
    <w:rsid w:val="005F6C33"/>
    <w:rsid w:val="005F6F58"/>
    <w:rsid w:val="005F7739"/>
    <w:rsid w:val="005F7C12"/>
    <w:rsid w:val="006002E0"/>
    <w:rsid w:val="00600FD3"/>
    <w:rsid w:val="0060135B"/>
    <w:rsid w:val="006065E7"/>
    <w:rsid w:val="006105DC"/>
    <w:rsid w:val="006142A1"/>
    <w:rsid w:val="00615937"/>
    <w:rsid w:val="006169EB"/>
    <w:rsid w:val="00620492"/>
    <w:rsid w:val="00620E43"/>
    <w:rsid w:val="00622BCB"/>
    <w:rsid w:val="0062301A"/>
    <w:rsid w:val="00624C45"/>
    <w:rsid w:val="006256C7"/>
    <w:rsid w:val="00630F47"/>
    <w:rsid w:val="006334BF"/>
    <w:rsid w:val="006334E6"/>
    <w:rsid w:val="0063449A"/>
    <w:rsid w:val="00634E87"/>
    <w:rsid w:val="00637F89"/>
    <w:rsid w:val="00641C9C"/>
    <w:rsid w:val="006426E0"/>
    <w:rsid w:val="00642A94"/>
    <w:rsid w:val="006432F4"/>
    <w:rsid w:val="006448B6"/>
    <w:rsid w:val="00644AB2"/>
    <w:rsid w:val="00646E84"/>
    <w:rsid w:val="0064733F"/>
    <w:rsid w:val="0065058B"/>
    <w:rsid w:val="00650B4C"/>
    <w:rsid w:val="00652FF6"/>
    <w:rsid w:val="00653319"/>
    <w:rsid w:val="006535E2"/>
    <w:rsid w:val="00653E2E"/>
    <w:rsid w:val="00653F8E"/>
    <w:rsid w:val="00655E97"/>
    <w:rsid w:val="00656151"/>
    <w:rsid w:val="00661604"/>
    <w:rsid w:val="00661A78"/>
    <w:rsid w:val="00661F7D"/>
    <w:rsid w:val="00662865"/>
    <w:rsid w:val="00662A28"/>
    <w:rsid w:val="00662CFE"/>
    <w:rsid w:val="006631FC"/>
    <w:rsid w:val="006632F7"/>
    <w:rsid w:val="006652AF"/>
    <w:rsid w:val="00665C09"/>
    <w:rsid w:val="00666EF7"/>
    <w:rsid w:val="00667B5A"/>
    <w:rsid w:val="00670DF4"/>
    <w:rsid w:val="006712D6"/>
    <w:rsid w:val="0067192C"/>
    <w:rsid w:val="00671AFF"/>
    <w:rsid w:val="0067253B"/>
    <w:rsid w:val="00672AE3"/>
    <w:rsid w:val="006733AC"/>
    <w:rsid w:val="0067344C"/>
    <w:rsid w:val="0067678A"/>
    <w:rsid w:val="00680033"/>
    <w:rsid w:val="006802B2"/>
    <w:rsid w:val="00680AB8"/>
    <w:rsid w:val="00680ABA"/>
    <w:rsid w:val="006813AE"/>
    <w:rsid w:val="00681ADE"/>
    <w:rsid w:val="0068202B"/>
    <w:rsid w:val="0068372B"/>
    <w:rsid w:val="0068506D"/>
    <w:rsid w:val="00685B15"/>
    <w:rsid w:val="00687710"/>
    <w:rsid w:val="00687C56"/>
    <w:rsid w:val="006909A9"/>
    <w:rsid w:val="00690B5D"/>
    <w:rsid w:val="00690DED"/>
    <w:rsid w:val="00691C4F"/>
    <w:rsid w:val="00692435"/>
    <w:rsid w:val="0069362C"/>
    <w:rsid w:val="006937DC"/>
    <w:rsid w:val="00694860"/>
    <w:rsid w:val="00694AA5"/>
    <w:rsid w:val="00695EEA"/>
    <w:rsid w:val="006A05AC"/>
    <w:rsid w:val="006A1677"/>
    <w:rsid w:val="006A1BBC"/>
    <w:rsid w:val="006A2218"/>
    <w:rsid w:val="006A27C0"/>
    <w:rsid w:val="006A3301"/>
    <w:rsid w:val="006A39EF"/>
    <w:rsid w:val="006A4D5B"/>
    <w:rsid w:val="006A505D"/>
    <w:rsid w:val="006A5983"/>
    <w:rsid w:val="006A6628"/>
    <w:rsid w:val="006A6C81"/>
    <w:rsid w:val="006B02C0"/>
    <w:rsid w:val="006B04AF"/>
    <w:rsid w:val="006B22E4"/>
    <w:rsid w:val="006B2375"/>
    <w:rsid w:val="006B24C6"/>
    <w:rsid w:val="006B3E01"/>
    <w:rsid w:val="006B4751"/>
    <w:rsid w:val="006B5235"/>
    <w:rsid w:val="006B6A0D"/>
    <w:rsid w:val="006B7E00"/>
    <w:rsid w:val="006C0B14"/>
    <w:rsid w:val="006C182D"/>
    <w:rsid w:val="006C43FD"/>
    <w:rsid w:val="006C4608"/>
    <w:rsid w:val="006C4623"/>
    <w:rsid w:val="006C552F"/>
    <w:rsid w:val="006C61F0"/>
    <w:rsid w:val="006C625F"/>
    <w:rsid w:val="006C734A"/>
    <w:rsid w:val="006C7D1D"/>
    <w:rsid w:val="006D29C7"/>
    <w:rsid w:val="006D2BBC"/>
    <w:rsid w:val="006D3CE1"/>
    <w:rsid w:val="006D3F60"/>
    <w:rsid w:val="006D4147"/>
    <w:rsid w:val="006D475D"/>
    <w:rsid w:val="006D5B3B"/>
    <w:rsid w:val="006D6251"/>
    <w:rsid w:val="006D62A5"/>
    <w:rsid w:val="006D6805"/>
    <w:rsid w:val="006D758E"/>
    <w:rsid w:val="006E1F90"/>
    <w:rsid w:val="006E3125"/>
    <w:rsid w:val="006E3235"/>
    <w:rsid w:val="006E3617"/>
    <w:rsid w:val="006E39CE"/>
    <w:rsid w:val="006E47E3"/>
    <w:rsid w:val="006E48D8"/>
    <w:rsid w:val="006E511D"/>
    <w:rsid w:val="006E528E"/>
    <w:rsid w:val="006E56A0"/>
    <w:rsid w:val="006E61CB"/>
    <w:rsid w:val="006E6A23"/>
    <w:rsid w:val="006E7013"/>
    <w:rsid w:val="006E7B68"/>
    <w:rsid w:val="006F159E"/>
    <w:rsid w:val="006F1C44"/>
    <w:rsid w:val="006F2DE4"/>
    <w:rsid w:val="006F44B2"/>
    <w:rsid w:val="006F6933"/>
    <w:rsid w:val="00700533"/>
    <w:rsid w:val="007033EE"/>
    <w:rsid w:val="0070529A"/>
    <w:rsid w:val="0070643F"/>
    <w:rsid w:val="00706900"/>
    <w:rsid w:val="00707E75"/>
    <w:rsid w:val="007134E3"/>
    <w:rsid w:val="00714AD8"/>
    <w:rsid w:val="007159C6"/>
    <w:rsid w:val="00716B70"/>
    <w:rsid w:val="007214D8"/>
    <w:rsid w:val="007228E5"/>
    <w:rsid w:val="007238D3"/>
    <w:rsid w:val="00725729"/>
    <w:rsid w:val="00725C41"/>
    <w:rsid w:val="00725EEF"/>
    <w:rsid w:val="00727BE4"/>
    <w:rsid w:val="00732F71"/>
    <w:rsid w:val="00733477"/>
    <w:rsid w:val="00735FD8"/>
    <w:rsid w:val="00741EEC"/>
    <w:rsid w:val="00741F5A"/>
    <w:rsid w:val="00743DC3"/>
    <w:rsid w:val="007441C1"/>
    <w:rsid w:val="007448B4"/>
    <w:rsid w:val="00744F47"/>
    <w:rsid w:val="0074502A"/>
    <w:rsid w:val="007452AD"/>
    <w:rsid w:val="007460E2"/>
    <w:rsid w:val="00747014"/>
    <w:rsid w:val="00750129"/>
    <w:rsid w:val="00750477"/>
    <w:rsid w:val="00750F26"/>
    <w:rsid w:val="00751201"/>
    <w:rsid w:val="007524EF"/>
    <w:rsid w:val="00752782"/>
    <w:rsid w:val="00753C5A"/>
    <w:rsid w:val="00754647"/>
    <w:rsid w:val="007568BD"/>
    <w:rsid w:val="00756C46"/>
    <w:rsid w:val="00756F20"/>
    <w:rsid w:val="00757971"/>
    <w:rsid w:val="007642CB"/>
    <w:rsid w:val="00764582"/>
    <w:rsid w:val="00764FAB"/>
    <w:rsid w:val="00765096"/>
    <w:rsid w:val="0076578B"/>
    <w:rsid w:val="00765C38"/>
    <w:rsid w:val="00770E89"/>
    <w:rsid w:val="0077130B"/>
    <w:rsid w:val="00771DC2"/>
    <w:rsid w:val="00773A45"/>
    <w:rsid w:val="00773D28"/>
    <w:rsid w:val="0077546F"/>
    <w:rsid w:val="00775BD6"/>
    <w:rsid w:val="00775D13"/>
    <w:rsid w:val="00776D33"/>
    <w:rsid w:val="00777941"/>
    <w:rsid w:val="00780A52"/>
    <w:rsid w:val="00780BCB"/>
    <w:rsid w:val="00780E1B"/>
    <w:rsid w:val="007819E5"/>
    <w:rsid w:val="00782D1F"/>
    <w:rsid w:val="00784636"/>
    <w:rsid w:val="00784B08"/>
    <w:rsid w:val="00784B6A"/>
    <w:rsid w:val="0078537A"/>
    <w:rsid w:val="00785B59"/>
    <w:rsid w:val="00785E03"/>
    <w:rsid w:val="007873EE"/>
    <w:rsid w:val="00790F12"/>
    <w:rsid w:val="00792B95"/>
    <w:rsid w:val="00794C9C"/>
    <w:rsid w:val="0079598F"/>
    <w:rsid w:val="00795A73"/>
    <w:rsid w:val="00797BA1"/>
    <w:rsid w:val="007A0066"/>
    <w:rsid w:val="007A086B"/>
    <w:rsid w:val="007A2D7E"/>
    <w:rsid w:val="007A65AB"/>
    <w:rsid w:val="007A674E"/>
    <w:rsid w:val="007A77B2"/>
    <w:rsid w:val="007B0D17"/>
    <w:rsid w:val="007B1916"/>
    <w:rsid w:val="007B1CE8"/>
    <w:rsid w:val="007B24ED"/>
    <w:rsid w:val="007B3F7C"/>
    <w:rsid w:val="007B5352"/>
    <w:rsid w:val="007B54D2"/>
    <w:rsid w:val="007B671E"/>
    <w:rsid w:val="007B6AFD"/>
    <w:rsid w:val="007B6D0B"/>
    <w:rsid w:val="007B74FF"/>
    <w:rsid w:val="007C0E6B"/>
    <w:rsid w:val="007C0F7E"/>
    <w:rsid w:val="007C1DDF"/>
    <w:rsid w:val="007C2FA6"/>
    <w:rsid w:val="007C4524"/>
    <w:rsid w:val="007C48B9"/>
    <w:rsid w:val="007C7E84"/>
    <w:rsid w:val="007D0420"/>
    <w:rsid w:val="007D0444"/>
    <w:rsid w:val="007D0C44"/>
    <w:rsid w:val="007D0E90"/>
    <w:rsid w:val="007D133B"/>
    <w:rsid w:val="007D22E5"/>
    <w:rsid w:val="007D6363"/>
    <w:rsid w:val="007D67A1"/>
    <w:rsid w:val="007D69E8"/>
    <w:rsid w:val="007D6DFB"/>
    <w:rsid w:val="007E1056"/>
    <w:rsid w:val="007E32D5"/>
    <w:rsid w:val="007E3C32"/>
    <w:rsid w:val="007E3C90"/>
    <w:rsid w:val="007E512A"/>
    <w:rsid w:val="007E7049"/>
    <w:rsid w:val="007F129D"/>
    <w:rsid w:val="007F13B3"/>
    <w:rsid w:val="007F240D"/>
    <w:rsid w:val="007F2D75"/>
    <w:rsid w:val="007F3738"/>
    <w:rsid w:val="007F5FA0"/>
    <w:rsid w:val="007F6F47"/>
    <w:rsid w:val="007F7798"/>
    <w:rsid w:val="007F7A82"/>
    <w:rsid w:val="00800181"/>
    <w:rsid w:val="0080077E"/>
    <w:rsid w:val="008009E6"/>
    <w:rsid w:val="00803DEF"/>
    <w:rsid w:val="00806060"/>
    <w:rsid w:val="0081009D"/>
    <w:rsid w:val="0081224A"/>
    <w:rsid w:val="0081318C"/>
    <w:rsid w:val="00813DB4"/>
    <w:rsid w:val="00814186"/>
    <w:rsid w:val="0081537C"/>
    <w:rsid w:val="00815EAA"/>
    <w:rsid w:val="00815ED3"/>
    <w:rsid w:val="008201F0"/>
    <w:rsid w:val="00820748"/>
    <w:rsid w:val="00820BDD"/>
    <w:rsid w:val="00821631"/>
    <w:rsid w:val="0082291B"/>
    <w:rsid w:val="00822BCD"/>
    <w:rsid w:val="008232C5"/>
    <w:rsid w:val="00825FFE"/>
    <w:rsid w:val="00826CFA"/>
    <w:rsid w:val="00830B5F"/>
    <w:rsid w:val="00830EC1"/>
    <w:rsid w:val="008310B7"/>
    <w:rsid w:val="00832214"/>
    <w:rsid w:val="00832DA8"/>
    <w:rsid w:val="00834366"/>
    <w:rsid w:val="00835B64"/>
    <w:rsid w:val="00835FF1"/>
    <w:rsid w:val="00837583"/>
    <w:rsid w:val="00837B0E"/>
    <w:rsid w:val="00837C26"/>
    <w:rsid w:val="00841635"/>
    <w:rsid w:val="00841BA8"/>
    <w:rsid w:val="008450CC"/>
    <w:rsid w:val="00845992"/>
    <w:rsid w:val="00845D97"/>
    <w:rsid w:val="00847940"/>
    <w:rsid w:val="00847C4D"/>
    <w:rsid w:val="00847F7D"/>
    <w:rsid w:val="0085033A"/>
    <w:rsid w:val="00850513"/>
    <w:rsid w:val="00851CA1"/>
    <w:rsid w:val="00851CA7"/>
    <w:rsid w:val="00851D4A"/>
    <w:rsid w:val="00852995"/>
    <w:rsid w:val="008533EB"/>
    <w:rsid w:val="00853CA6"/>
    <w:rsid w:val="00853D00"/>
    <w:rsid w:val="008546EA"/>
    <w:rsid w:val="00856784"/>
    <w:rsid w:val="00857009"/>
    <w:rsid w:val="008627E3"/>
    <w:rsid w:val="00866B86"/>
    <w:rsid w:val="00867D89"/>
    <w:rsid w:val="008701F3"/>
    <w:rsid w:val="00870D30"/>
    <w:rsid w:val="00870E3D"/>
    <w:rsid w:val="008716DA"/>
    <w:rsid w:val="00871954"/>
    <w:rsid w:val="00873E50"/>
    <w:rsid w:val="0087639B"/>
    <w:rsid w:val="00881308"/>
    <w:rsid w:val="0088184B"/>
    <w:rsid w:val="00882192"/>
    <w:rsid w:val="008847E1"/>
    <w:rsid w:val="00884D7C"/>
    <w:rsid w:val="00885B3B"/>
    <w:rsid w:val="00885ED8"/>
    <w:rsid w:val="0088701D"/>
    <w:rsid w:val="00887573"/>
    <w:rsid w:val="00892603"/>
    <w:rsid w:val="00892A37"/>
    <w:rsid w:val="008933CE"/>
    <w:rsid w:val="00894771"/>
    <w:rsid w:val="00895866"/>
    <w:rsid w:val="00896789"/>
    <w:rsid w:val="00896F21"/>
    <w:rsid w:val="00897989"/>
    <w:rsid w:val="008A0A2A"/>
    <w:rsid w:val="008A161C"/>
    <w:rsid w:val="008A1F79"/>
    <w:rsid w:val="008A20D3"/>
    <w:rsid w:val="008A20EE"/>
    <w:rsid w:val="008A48E6"/>
    <w:rsid w:val="008A5CCA"/>
    <w:rsid w:val="008A5EAB"/>
    <w:rsid w:val="008A7A0D"/>
    <w:rsid w:val="008B268E"/>
    <w:rsid w:val="008B3BEF"/>
    <w:rsid w:val="008B41BF"/>
    <w:rsid w:val="008B600C"/>
    <w:rsid w:val="008C0DE1"/>
    <w:rsid w:val="008C10BA"/>
    <w:rsid w:val="008C14F4"/>
    <w:rsid w:val="008C1A6C"/>
    <w:rsid w:val="008C1B0D"/>
    <w:rsid w:val="008C31A5"/>
    <w:rsid w:val="008C56D9"/>
    <w:rsid w:val="008C61CF"/>
    <w:rsid w:val="008C6E96"/>
    <w:rsid w:val="008D1277"/>
    <w:rsid w:val="008D2419"/>
    <w:rsid w:val="008D4253"/>
    <w:rsid w:val="008D5234"/>
    <w:rsid w:val="008D57F2"/>
    <w:rsid w:val="008D67C6"/>
    <w:rsid w:val="008D77E9"/>
    <w:rsid w:val="008D7E50"/>
    <w:rsid w:val="008D7FE7"/>
    <w:rsid w:val="008E2C44"/>
    <w:rsid w:val="008E311E"/>
    <w:rsid w:val="008E3ADA"/>
    <w:rsid w:val="008E505D"/>
    <w:rsid w:val="008E63D6"/>
    <w:rsid w:val="008E646D"/>
    <w:rsid w:val="008E721C"/>
    <w:rsid w:val="008F09B2"/>
    <w:rsid w:val="008F104A"/>
    <w:rsid w:val="008F17A6"/>
    <w:rsid w:val="008F3CBE"/>
    <w:rsid w:val="008F4F8E"/>
    <w:rsid w:val="009018BB"/>
    <w:rsid w:val="009026CA"/>
    <w:rsid w:val="00903DCE"/>
    <w:rsid w:val="00904232"/>
    <w:rsid w:val="00904D14"/>
    <w:rsid w:val="00904DE5"/>
    <w:rsid w:val="009106FB"/>
    <w:rsid w:val="00911677"/>
    <w:rsid w:val="00911949"/>
    <w:rsid w:val="00911C84"/>
    <w:rsid w:val="00911C89"/>
    <w:rsid w:val="00915933"/>
    <w:rsid w:val="00915D21"/>
    <w:rsid w:val="00915DF4"/>
    <w:rsid w:val="00917B0E"/>
    <w:rsid w:val="00920B00"/>
    <w:rsid w:val="009219E8"/>
    <w:rsid w:val="009222E6"/>
    <w:rsid w:val="00922AAB"/>
    <w:rsid w:val="0092565A"/>
    <w:rsid w:val="00926D03"/>
    <w:rsid w:val="0093138B"/>
    <w:rsid w:val="009339F1"/>
    <w:rsid w:val="009344E7"/>
    <w:rsid w:val="00934A4A"/>
    <w:rsid w:val="00934B21"/>
    <w:rsid w:val="00935BA2"/>
    <w:rsid w:val="00935EA3"/>
    <w:rsid w:val="009363D4"/>
    <w:rsid w:val="009365C5"/>
    <w:rsid w:val="00936E9F"/>
    <w:rsid w:val="00940101"/>
    <w:rsid w:val="009411B8"/>
    <w:rsid w:val="0094216B"/>
    <w:rsid w:val="0094279E"/>
    <w:rsid w:val="0094291B"/>
    <w:rsid w:val="0094544D"/>
    <w:rsid w:val="009473A7"/>
    <w:rsid w:val="0095098E"/>
    <w:rsid w:val="00950F67"/>
    <w:rsid w:val="00953541"/>
    <w:rsid w:val="00953C42"/>
    <w:rsid w:val="00955617"/>
    <w:rsid w:val="00956A19"/>
    <w:rsid w:val="009600B3"/>
    <w:rsid w:val="009617D2"/>
    <w:rsid w:val="0096241D"/>
    <w:rsid w:val="00965C9D"/>
    <w:rsid w:val="00965F72"/>
    <w:rsid w:val="009675EE"/>
    <w:rsid w:val="0097002D"/>
    <w:rsid w:val="009715E5"/>
    <w:rsid w:val="00973E39"/>
    <w:rsid w:val="00974D54"/>
    <w:rsid w:val="0097600D"/>
    <w:rsid w:val="009760DE"/>
    <w:rsid w:val="00976382"/>
    <w:rsid w:val="0097790E"/>
    <w:rsid w:val="00980109"/>
    <w:rsid w:val="00980EF8"/>
    <w:rsid w:val="00981A72"/>
    <w:rsid w:val="00981EA6"/>
    <w:rsid w:val="0098200A"/>
    <w:rsid w:val="009820FE"/>
    <w:rsid w:val="00983321"/>
    <w:rsid w:val="009839C1"/>
    <w:rsid w:val="00984256"/>
    <w:rsid w:val="00985D8A"/>
    <w:rsid w:val="0098679B"/>
    <w:rsid w:val="00986E17"/>
    <w:rsid w:val="009873D8"/>
    <w:rsid w:val="00990CDA"/>
    <w:rsid w:val="00991911"/>
    <w:rsid w:val="0099204C"/>
    <w:rsid w:val="00992636"/>
    <w:rsid w:val="00992DFC"/>
    <w:rsid w:val="00993F31"/>
    <w:rsid w:val="00994246"/>
    <w:rsid w:val="00994977"/>
    <w:rsid w:val="00994BAA"/>
    <w:rsid w:val="00994E97"/>
    <w:rsid w:val="0099687B"/>
    <w:rsid w:val="0099731A"/>
    <w:rsid w:val="009A0880"/>
    <w:rsid w:val="009A0C27"/>
    <w:rsid w:val="009A0E70"/>
    <w:rsid w:val="009A1381"/>
    <w:rsid w:val="009A2884"/>
    <w:rsid w:val="009A3548"/>
    <w:rsid w:val="009A488A"/>
    <w:rsid w:val="009A543A"/>
    <w:rsid w:val="009A7C3A"/>
    <w:rsid w:val="009B20EA"/>
    <w:rsid w:val="009B24BE"/>
    <w:rsid w:val="009B24CA"/>
    <w:rsid w:val="009B31D9"/>
    <w:rsid w:val="009B383D"/>
    <w:rsid w:val="009B385F"/>
    <w:rsid w:val="009B403E"/>
    <w:rsid w:val="009B55B8"/>
    <w:rsid w:val="009B565F"/>
    <w:rsid w:val="009B7B3B"/>
    <w:rsid w:val="009C1EF1"/>
    <w:rsid w:val="009C21ED"/>
    <w:rsid w:val="009C2A8D"/>
    <w:rsid w:val="009C2E28"/>
    <w:rsid w:val="009C4040"/>
    <w:rsid w:val="009C46B7"/>
    <w:rsid w:val="009C71A8"/>
    <w:rsid w:val="009D0499"/>
    <w:rsid w:val="009D0A73"/>
    <w:rsid w:val="009D1650"/>
    <w:rsid w:val="009D24FF"/>
    <w:rsid w:val="009D2CC3"/>
    <w:rsid w:val="009D37DA"/>
    <w:rsid w:val="009D6452"/>
    <w:rsid w:val="009D65A4"/>
    <w:rsid w:val="009D74B2"/>
    <w:rsid w:val="009E2449"/>
    <w:rsid w:val="009E2F83"/>
    <w:rsid w:val="009E3692"/>
    <w:rsid w:val="009E3B0C"/>
    <w:rsid w:val="009E3D47"/>
    <w:rsid w:val="009E5AA3"/>
    <w:rsid w:val="009E5D7A"/>
    <w:rsid w:val="009E6531"/>
    <w:rsid w:val="009E7C9F"/>
    <w:rsid w:val="009F1686"/>
    <w:rsid w:val="009F1EFD"/>
    <w:rsid w:val="009F2EA0"/>
    <w:rsid w:val="009F4A52"/>
    <w:rsid w:val="009F4F3F"/>
    <w:rsid w:val="009F69FA"/>
    <w:rsid w:val="00A0181D"/>
    <w:rsid w:val="00A030B5"/>
    <w:rsid w:val="00A052F6"/>
    <w:rsid w:val="00A05B17"/>
    <w:rsid w:val="00A067C5"/>
    <w:rsid w:val="00A068B9"/>
    <w:rsid w:val="00A12048"/>
    <w:rsid w:val="00A12C31"/>
    <w:rsid w:val="00A130C8"/>
    <w:rsid w:val="00A1424A"/>
    <w:rsid w:val="00A14842"/>
    <w:rsid w:val="00A152F2"/>
    <w:rsid w:val="00A153B2"/>
    <w:rsid w:val="00A16140"/>
    <w:rsid w:val="00A17608"/>
    <w:rsid w:val="00A200F8"/>
    <w:rsid w:val="00A20CEB"/>
    <w:rsid w:val="00A219AB"/>
    <w:rsid w:val="00A21A4C"/>
    <w:rsid w:val="00A229D1"/>
    <w:rsid w:val="00A22EC2"/>
    <w:rsid w:val="00A22F41"/>
    <w:rsid w:val="00A231D6"/>
    <w:rsid w:val="00A2365F"/>
    <w:rsid w:val="00A238F1"/>
    <w:rsid w:val="00A23E44"/>
    <w:rsid w:val="00A23F06"/>
    <w:rsid w:val="00A24D19"/>
    <w:rsid w:val="00A25EA4"/>
    <w:rsid w:val="00A26272"/>
    <w:rsid w:val="00A2751D"/>
    <w:rsid w:val="00A278E3"/>
    <w:rsid w:val="00A27D5D"/>
    <w:rsid w:val="00A31F3A"/>
    <w:rsid w:val="00A3240A"/>
    <w:rsid w:val="00A328B5"/>
    <w:rsid w:val="00A34C53"/>
    <w:rsid w:val="00A3551D"/>
    <w:rsid w:val="00A365FC"/>
    <w:rsid w:val="00A377A1"/>
    <w:rsid w:val="00A40F2E"/>
    <w:rsid w:val="00A415BA"/>
    <w:rsid w:val="00A41777"/>
    <w:rsid w:val="00A42210"/>
    <w:rsid w:val="00A4299C"/>
    <w:rsid w:val="00A43385"/>
    <w:rsid w:val="00A443B5"/>
    <w:rsid w:val="00A453C7"/>
    <w:rsid w:val="00A4574B"/>
    <w:rsid w:val="00A46042"/>
    <w:rsid w:val="00A46043"/>
    <w:rsid w:val="00A46452"/>
    <w:rsid w:val="00A4695E"/>
    <w:rsid w:val="00A470DB"/>
    <w:rsid w:val="00A47F72"/>
    <w:rsid w:val="00A51598"/>
    <w:rsid w:val="00A525FD"/>
    <w:rsid w:val="00A5272A"/>
    <w:rsid w:val="00A54189"/>
    <w:rsid w:val="00A55C4C"/>
    <w:rsid w:val="00A55D5A"/>
    <w:rsid w:val="00A56C09"/>
    <w:rsid w:val="00A57477"/>
    <w:rsid w:val="00A57878"/>
    <w:rsid w:val="00A60083"/>
    <w:rsid w:val="00A6170D"/>
    <w:rsid w:val="00A61BCA"/>
    <w:rsid w:val="00A61F61"/>
    <w:rsid w:val="00A62475"/>
    <w:rsid w:val="00A62991"/>
    <w:rsid w:val="00A64943"/>
    <w:rsid w:val="00A64A5C"/>
    <w:rsid w:val="00A65635"/>
    <w:rsid w:val="00A66A17"/>
    <w:rsid w:val="00A6765E"/>
    <w:rsid w:val="00A71AB7"/>
    <w:rsid w:val="00A71FC9"/>
    <w:rsid w:val="00A721BB"/>
    <w:rsid w:val="00A734B8"/>
    <w:rsid w:val="00A739CE"/>
    <w:rsid w:val="00A74817"/>
    <w:rsid w:val="00A74D57"/>
    <w:rsid w:val="00A76E24"/>
    <w:rsid w:val="00A77FB0"/>
    <w:rsid w:val="00A8175D"/>
    <w:rsid w:val="00A81C88"/>
    <w:rsid w:val="00A82279"/>
    <w:rsid w:val="00A8610E"/>
    <w:rsid w:val="00A8732B"/>
    <w:rsid w:val="00A91E24"/>
    <w:rsid w:val="00A922CA"/>
    <w:rsid w:val="00A9355C"/>
    <w:rsid w:val="00A93A29"/>
    <w:rsid w:val="00A94EC4"/>
    <w:rsid w:val="00A95393"/>
    <w:rsid w:val="00A959FE"/>
    <w:rsid w:val="00A96E01"/>
    <w:rsid w:val="00A97BA2"/>
    <w:rsid w:val="00AA221E"/>
    <w:rsid w:val="00AA28EE"/>
    <w:rsid w:val="00AA2903"/>
    <w:rsid w:val="00AA4462"/>
    <w:rsid w:val="00AA51AF"/>
    <w:rsid w:val="00AA5D46"/>
    <w:rsid w:val="00AA7535"/>
    <w:rsid w:val="00AA7D30"/>
    <w:rsid w:val="00AA7E00"/>
    <w:rsid w:val="00AA7E7B"/>
    <w:rsid w:val="00AB0025"/>
    <w:rsid w:val="00AB0D54"/>
    <w:rsid w:val="00AB1B00"/>
    <w:rsid w:val="00AB2156"/>
    <w:rsid w:val="00AB2E35"/>
    <w:rsid w:val="00AB4B37"/>
    <w:rsid w:val="00AB4EE3"/>
    <w:rsid w:val="00AB500B"/>
    <w:rsid w:val="00AB6DA0"/>
    <w:rsid w:val="00AB7719"/>
    <w:rsid w:val="00AC0A1B"/>
    <w:rsid w:val="00AC1B7F"/>
    <w:rsid w:val="00AC20AF"/>
    <w:rsid w:val="00AC2607"/>
    <w:rsid w:val="00AC2671"/>
    <w:rsid w:val="00AC2F6E"/>
    <w:rsid w:val="00AC4D35"/>
    <w:rsid w:val="00AC4D5B"/>
    <w:rsid w:val="00AC59BD"/>
    <w:rsid w:val="00AC5C96"/>
    <w:rsid w:val="00AC5FF6"/>
    <w:rsid w:val="00AC79D1"/>
    <w:rsid w:val="00AD0CC1"/>
    <w:rsid w:val="00AD1284"/>
    <w:rsid w:val="00AD1436"/>
    <w:rsid w:val="00AD1FEA"/>
    <w:rsid w:val="00AD39C6"/>
    <w:rsid w:val="00AD4890"/>
    <w:rsid w:val="00AD6495"/>
    <w:rsid w:val="00AD6757"/>
    <w:rsid w:val="00AD69C2"/>
    <w:rsid w:val="00AD6B06"/>
    <w:rsid w:val="00AD7509"/>
    <w:rsid w:val="00AE266C"/>
    <w:rsid w:val="00AE3572"/>
    <w:rsid w:val="00AE35DF"/>
    <w:rsid w:val="00AE4752"/>
    <w:rsid w:val="00AE4B14"/>
    <w:rsid w:val="00AE52CB"/>
    <w:rsid w:val="00AE54E2"/>
    <w:rsid w:val="00AE56FA"/>
    <w:rsid w:val="00AE5B90"/>
    <w:rsid w:val="00AE5DFD"/>
    <w:rsid w:val="00AE6CD0"/>
    <w:rsid w:val="00AF06E1"/>
    <w:rsid w:val="00AF15AE"/>
    <w:rsid w:val="00AF18B2"/>
    <w:rsid w:val="00AF2291"/>
    <w:rsid w:val="00AF28E5"/>
    <w:rsid w:val="00AF2C82"/>
    <w:rsid w:val="00AF4BBA"/>
    <w:rsid w:val="00AF55D4"/>
    <w:rsid w:val="00AF67D8"/>
    <w:rsid w:val="00B01F1C"/>
    <w:rsid w:val="00B03A10"/>
    <w:rsid w:val="00B0414D"/>
    <w:rsid w:val="00B042ED"/>
    <w:rsid w:val="00B050AA"/>
    <w:rsid w:val="00B0609B"/>
    <w:rsid w:val="00B06248"/>
    <w:rsid w:val="00B06290"/>
    <w:rsid w:val="00B0685B"/>
    <w:rsid w:val="00B100C0"/>
    <w:rsid w:val="00B10798"/>
    <w:rsid w:val="00B120EE"/>
    <w:rsid w:val="00B13FAD"/>
    <w:rsid w:val="00B15355"/>
    <w:rsid w:val="00B162B9"/>
    <w:rsid w:val="00B16373"/>
    <w:rsid w:val="00B17119"/>
    <w:rsid w:val="00B2015D"/>
    <w:rsid w:val="00B20DD4"/>
    <w:rsid w:val="00B20E09"/>
    <w:rsid w:val="00B225F0"/>
    <w:rsid w:val="00B2302B"/>
    <w:rsid w:val="00B23237"/>
    <w:rsid w:val="00B23FC0"/>
    <w:rsid w:val="00B26099"/>
    <w:rsid w:val="00B302C2"/>
    <w:rsid w:val="00B30CD1"/>
    <w:rsid w:val="00B31A2D"/>
    <w:rsid w:val="00B33403"/>
    <w:rsid w:val="00B3433F"/>
    <w:rsid w:val="00B353A5"/>
    <w:rsid w:val="00B360B3"/>
    <w:rsid w:val="00B36C2D"/>
    <w:rsid w:val="00B409CA"/>
    <w:rsid w:val="00B41531"/>
    <w:rsid w:val="00B41F8D"/>
    <w:rsid w:val="00B429C1"/>
    <w:rsid w:val="00B466A2"/>
    <w:rsid w:val="00B47572"/>
    <w:rsid w:val="00B47AE3"/>
    <w:rsid w:val="00B47C55"/>
    <w:rsid w:val="00B50F71"/>
    <w:rsid w:val="00B5147B"/>
    <w:rsid w:val="00B540A6"/>
    <w:rsid w:val="00B54669"/>
    <w:rsid w:val="00B54A7E"/>
    <w:rsid w:val="00B60B5E"/>
    <w:rsid w:val="00B61940"/>
    <w:rsid w:val="00B6263D"/>
    <w:rsid w:val="00B6384C"/>
    <w:rsid w:val="00B658EB"/>
    <w:rsid w:val="00B66180"/>
    <w:rsid w:val="00B6773E"/>
    <w:rsid w:val="00B731C5"/>
    <w:rsid w:val="00B73701"/>
    <w:rsid w:val="00B73F02"/>
    <w:rsid w:val="00B7523E"/>
    <w:rsid w:val="00B75FF4"/>
    <w:rsid w:val="00B76CE2"/>
    <w:rsid w:val="00B77017"/>
    <w:rsid w:val="00B77FA6"/>
    <w:rsid w:val="00B80432"/>
    <w:rsid w:val="00B8043C"/>
    <w:rsid w:val="00B81C75"/>
    <w:rsid w:val="00B82BB6"/>
    <w:rsid w:val="00B844D5"/>
    <w:rsid w:val="00B84850"/>
    <w:rsid w:val="00B85A99"/>
    <w:rsid w:val="00B865B6"/>
    <w:rsid w:val="00B9247D"/>
    <w:rsid w:val="00B93D13"/>
    <w:rsid w:val="00B93E05"/>
    <w:rsid w:val="00B94BF9"/>
    <w:rsid w:val="00B95D0D"/>
    <w:rsid w:val="00B96899"/>
    <w:rsid w:val="00B9759C"/>
    <w:rsid w:val="00B9773E"/>
    <w:rsid w:val="00B9790E"/>
    <w:rsid w:val="00B97CB7"/>
    <w:rsid w:val="00B97F0C"/>
    <w:rsid w:val="00BA2339"/>
    <w:rsid w:val="00BA6493"/>
    <w:rsid w:val="00BA6830"/>
    <w:rsid w:val="00BA687D"/>
    <w:rsid w:val="00BB0B01"/>
    <w:rsid w:val="00BB12D6"/>
    <w:rsid w:val="00BB29EA"/>
    <w:rsid w:val="00BB3AA6"/>
    <w:rsid w:val="00BC1129"/>
    <w:rsid w:val="00BC2615"/>
    <w:rsid w:val="00BC26B0"/>
    <w:rsid w:val="00BC4994"/>
    <w:rsid w:val="00BC4F9B"/>
    <w:rsid w:val="00BC76AB"/>
    <w:rsid w:val="00BD27A4"/>
    <w:rsid w:val="00BD726A"/>
    <w:rsid w:val="00BE0582"/>
    <w:rsid w:val="00BE3B4F"/>
    <w:rsid w:val="00BE3ED9"/>
    <w:rsid w:val="00BE54B1"/>
    <w:rsid w:val="00BE5DF8"/>
    <w:rsid w:val="00BE704F"/>
    <w:rsid w:val="00BE774B"/>
    <w:rsid w:val="00BE7B27"/>
    <w:rsid w:val="00BE7C7E"/>
    <w:rsid w:val="00BF1DAB"/>
    <w:rsid w:val="00BF2837"/>
    <w:rsid w:val="00BF287C"/>
    <w:rsid w:val="00BF29A1"/>
    <w:rsid w:val="00BF323A"/>
    <w:rsid w:val="00BF4529"/>
    <w:rsid w:val="00BF46D7"/>
    <w:rsid w:val="00BF51A3"/>
    <w:rsid w:val="00BF5736"/>
    <w:rsid w:val="00BF58A8"/>
    <w:rsid w:val="00BF6393"/>
    <w:rsid w:val="00BF6CBB"/>
    <w:rsid w:val="00BF759E"/>
    <w:rsid w:val="00BF7969"/>
    <w:rsid w:val="00C01E11"/>
    <w:rsid w:val="00C033B0"/>
    <w:rsid w:val="00C03443"/>
    <w:rsid w:val="00C049E3"/>
    <w:rsid w:val="00C05E2D"/>
    <w:rsid w:val="00C06006"/>
    <w:rsid w:val="00C0683F"/>
    <w:rsid w:val="00C10459"/>
    <w:rsid w:val="00C11CE7"/>
    <w:rsid w:val="00C12EC7"/>
    <w:rsid w:val="00C13BA2"/>
    <w:rsid w:val="00C15713"/>
    <w:rsid w:val="00C179CA"/>
    <w:rsid w:val="00C202AC"/>
    <w:rsid w:val="00C2058F"/>
    <w:rsid w:val="00C207DE"/>
    <w:rsid w:val="00C21444"/>
    <w:rsid w:val="00C21FF0"/>
    <w:rsid w:val="00C226FB"/>
    <w:rsid w:val="00C23546"/>
    <w:rsid w:val="00C23F36"/>
    <w:rsid w:val="00C258D7"/>
    <w:rsid w:val="00C267BD"/>
    <w:rsid w:val="00C26AF8"/>
    <w:rsid w:val="00C2705A"/>
    <w:rsid w:val="00C270BF"/>
    <w:rsid w:val="00C274FB"/>
    <w:rsid w:val="00C2791E"/>
    <w:rsid w:val="00C27AC6"/>
    <w:rsid w:val="00C27FD5"/>
    <w:rsid w:val="00C305B2"/>
    <w:rsid w:val="00C32087"/>
    <w:rsid w:val="00C33968"/>
    <w:rsid w:val="00C33E6E"/>
    <w:rsid w:val="00C34119"/>
    <w:rsid w:val="00C376DC"/>
    <w:rsid w:val="00C37A9D"/>
    <w:rsid w:val="00C40147"/>
    <w:rsid w:val="00C40A21"/>
    <w:rsid w:val="00C4149A"/>
    <w:rsid w:val="00C41F0E"/>
    <w:rsid w:val="00C420C7"/>
    <w:rsid w:val="00C42952"/>
    <w:rsid w:val="00C42D6A"/>
    <w:rsid w:val="00C42D87"/>
    <w:rsid w:val="00C42F2F"/>
    <w:rsid w:val="00C43495"/>
    <w:rsid w:val="00C4351D"/>
    <w:rsid w:val="00C43C67"/>
    <w:rsid w:val="00C44A09"/>
    <w:rsid w:val="00C44F1D"/>
    <w:rsid w:val="00C454DD"/>
    <w:rsid w:val="00C45AD9"/>
    <w:rsid w:val="00C46761"/>
    <w:rsid w:val="00C47EB4"/>
    <w:rsid w:val="00C5031C"/>
    <w:rsid w:val="00C51676"/>
    <w:rsid w:val="00C5194A"/>
    <w:rsid w:val="00C543D1"/>
    <w:rsid w:val="00C5567A"/>
    <w:rsid w:val="00C55CCD"/>
    <w:rsid w:val="00C560A9"/>
    <w:rsid w:val="00C56B4B"/>
    <w:rsid w:val="00C5717F"/>
    <w:rsid w:val="00C571D6"/>
    <w:rsid w:val="00C606FB"/>
    <w:rsid w:val="00C60FF2"/>
    <w:rsid w:val="00C62714"/>
    <w:rsid w:val="00C6366B"/>
    <w:rsid w:val="00C65CED"/>
    <w:rsid w:val="00C65E0B"/>
    <w:rsid w:val="00C660E5"/>
    <w:rsid w:val="00C67A30"/>
    <w:rsid w:val="00C67E86"/>
    <w:rsid w:val="00C703A1"/>
    <w:rsid w:val="00C7107D"/>
    <w:rsid w:val="00C71FA0"/>
    <w:rsid w:val="00C7261B"/>
    <w:rsid w:val="00C72896"/>
    <w:rsid w:val="00C72F95"/>
    <w:rsid w:val="00C735FD"/>
    <w:rsid w:val="00C7447E"/>
    <w:rsid w:val="00C7512F"/>
    <w:rsid w:val="00C7528C"/>
    <w:rsid w:val="00C753D9"/>
    <w:rsid w:val="00C769CE"/>
    <w:rsid w:val="00C76B8F"/>
    <w:rsid w:val="00C7712E"/>
    <w:rsid w:val="00C7733A"/>
    <w:rsid w:val="00C77357"/>
    <w:rsid w:val="00C77489"/>
    <w:rsid w:val="00C817D5"/>
    <w:rsid w:val="00C81F82"/>
    <w:rsid w:val="00C8389A"/>
    <w:rsid w:val="00C84044"/>
    <w:rsid w:val="00C8555C"/>
    <w:rsid w:val="00C85A38"/>
    <w:rsid w:val="00C865D3"/>
    <w:rsid w:val="00C86CC8"/>
    <w:rsid w:val="00C86E32"/>
    <w:rsid w:val="00C86F0A"/>
    <w:rsid w:val="00C87041"/>
    <w:rsid w:val="00C8724C"/>
    <w:rsid w:val="00C874EC"/>
    <w:rsid w:val="00C90412"/>
    <w:rsid w:val="00C9043D"/>
    <w:rsid w:val="00C90566"/>
    <w:rsid w:val="00C918C6"/>
    <w:rsid w:val="00C932F3"/>
    <w:rsid w:val="00C935BA"/>
    <w:rsid w:val="00C9424B"/>
    <w:rsid w:val="00C94978"/>
    <w:rsid w:val="00C94B9C"/>
    <w:rsid w:val="00C96028"/>
    <w:rsid w:val="00C967E7"/>
    <w:rsid w:val="00C97116"/>
    <w:rsid w:val="00CA0051"/>
    <w:rsid w:val="00CA0FC2"/>
    <w:rsid w:val="00CA129E"/>
    <w:rsid w:val="00CA3B10"/>
    <w:rsid w:val="00CA46D3"/>
    <w:rsid w:val="00CA6DFF"/>
    <w:rsid w:val="00CB01BB"/>
    <w:rsid w:val="00CB0650"/>
    <w:rsid w:val="00CB071B"/>
    <w:rsid w:val="00CB0A9A"/>
    <w:rsid w:val="00CB13E8"/>
    <w:rsid w:val="00CB5583"/>
    <w:rsid w:val="00CB6057"/>
    <w:rsid w:val="00CC036C"/>
    <w:rsid w:val="00CC086B"/>
    <w:rsid w:val="00CC238B"/>
    <w:rsid w:val="00CC2AC6"/>
    <w:rsid w:val="00CC2B86"/>
    <w:rsid w:val="00CC3CCE"/>
    <w:rsid w:val="00CC532F"/>
    <w:rsid w:val="00CC67F2"/>
    <w:rsid w:val="00CC767D"/>
    <w:rsid w:val="00CD0967"/>
    <w:rsid w:val="00CD0CB0"/>
    <w:rsid w:val="00CD1638"/>
    <w:rsid w:val="00CD57D4"/>
    <w:rsid w:val="00CD6007"/>
    <w:rsid w:val="00CD6913"/>
    <w:rsid w:val="00CD7175"/>
    <w:rsid w:val="00CE1D1A"/>
    <w:rsid w:val="00CE2C20"/>
    <w:rsid w:val="00CE3C71"/>
    <w:rsid w:val="00CE4312"/>
    <w:rsid w:val="00CE4662"/>
    <w:rsid w:val="00CE5254"/>
    <w:rsid w:val="00CE6B84"/>
    <w:rsid w:val="00CF0602"/>
    <w:rsid w:val="00CF1039"/>
    <w:rsid w:val="00CF1815"/>
    <w:rsid w:val="00CF19DA"/>
    <w:rsid w:val="00CF240B"/>
    <w:rsid w:val="00CF2A78"/>
    <w:rsid w:val="00CF2C25"/>
    <w:rsid w:val="00CF3841"/>
    <w:rsid w:val="00CF3A95"/>
    <w:rsid w:val="00CF4448"/>
    <w:rsid w:val="00CF4EA1"/>
    <w:rsid w:val="00CF5769"/>
    <w:rsid w:val="00CF6424"/>
    <w:rsid w:val="00CF6BC4"/>
    <w:rsid w:val="00CF7B7C"/>
    <w:rsid w:val="00CF7F40"/>
    <w:rsid w:val="00D0024F"/>
    <w:rsid w:val="00D024AC"/>
    <w:rsid w:val="00D0259B"/>
    <w:rsid w:val="00D029C3"/>
    <w:rsid w:val="00D02EA3"/>
    <w:rsid w:val="00D03EBE"/>
    <w:rsid w:val="00D03F65"/>
    <w:rsid w:val="00D042FE"/>
    <w:rsid w:val="00D054DA"/>
    <w:rsid w:val="00D07D43"/>
    <w:rsid w:val="00D10C70"/>
    <w:rsid w:val="00D12337"/>
    <w:rsid w:val="00D1342E"/>
    <w:rsid w:val="00D13F62"/>
    <w:rsid w:val="00D14267"/>
    <w:rsid w:val="00D151D8"/>
    <w:rsid w:val="00D16CE2"/>
    <w:rsid w:val="00D16D88"/>
    <w:rsid w:val="00D17D01"/>
    <w:rsid w:val="00D20BF0"/>
    <w:rsid w:val="00D21583"/>
    <w:rsid w:val="00D22B59"/>
    <w:rsid w:val="00D2378E"/>
    <w:rsid w:val="00D256DD"/>
    <w:rsid w:val="00D25B4A"/>
    <w:rsid w:val="00D262AD"/>
    <w:rsid w:val="00D264BC"/>
    <w:rsid w:val="00D26671"/>
    <w:rsid w:val="00D27F1B"/>
    <w:rsid w:val="00D30646"/>
    <w:rsid w:val="00D3199C"/>
    <w:rsid w:val="00D31C5A"/>
    <w:rsid w:val="00D31C5C"/>
    <w:rsid w:val="00D32074"/>
    <w:rsid w:val="00D326C5"/>
    <w:rsid w:val="00D3344B"/>
    <w:rsid w:val="00D379AA"/>
    <w:rsid w:val="00D4090F"/>
    <w:rsid w:val="00D409CD"/>
    <w:rsid w:val="00D410BB"/>
    <w:rsid w:val="00D41594"/>
    <w:rsid w:val="00D433CD"/>
    <w:rsid w:val="00D443F9"/>
    <w:rsid w:val="00D44BA0"/>
    <w:rsid w:val="00D45A48"/>
    <w:rsid w:val="00D47B35"/>
    <w:rsid w:val="00D508C6"/>
    <w:rsid w:val="00D50E05"/>
    <w:rsid w:val="00D52235"/>
    <w:rsid w:val="00D53413"/>
    <w:rsid w:val="00D544BC"/>
    <w:rsid w:val="00D562E0"/>
    <w:rsid w:val="00D6096C"/>
    <w:rsid w:val="00D62B07"/>
    <w:rsid w:val="00D6457E"/>
    <w:rsid w:val="00D646EA"/>
    <w:rsid w:val="00D648BA"/>
    <w:rsid w:val="00D64B33"/>
    <w:rsid w:val="00D6506F"/>
    <w:rsid w:val="00D70EC3"/>
    <w:rsid w:val="00D71BDD"/>
    <w:rsid w:val="00D72A21"/>
    <w:rsid w:val="00D74BF4"/>
    <w:rsid w:val="00D74D7E"/>
    <w:rsid w:val="00D753E4"/>
    <w:rsid w:val="00D76E8C"/>
    <w:rsid w:val="00D808A4"/>
    <w:rsid w:val="00D80CB4"/>
    <w:rsid w:val="00D82299"/>
    <w:rsid w:val="00D8234D"/>
    <w:rsid w:val="00D82953"/>
    <w:rsid w:val="00D82E3D"/>
    <w:rsid w:val="00D8355D"/>
    <w:rsid w:val="00D83B05"/>
    <w:rsid w:val="00D84DDF"/>
    <w:rsid w:val="00D85D55"/>
    <w:rsid w:val="00D87BFE"/>
    <w:rsid w:val="00D9087B"/>
    <w:rsid w:val="00D91870"/>
    <w:rsid w:val="00D93362"/>
    <w:rsid w:val="00D9361B"/>
    <w:rsid w:val="00D93F46"/>
    <w:rsid w:val="00D95EE4"/>
    <w:rsid w:val="00D9634C"/>
    <w:rsid w:val="00D97CC7"/>
    <w:rsid w:val="00DA1F9D"/>
    <w:rsid w:val="00DA3899"/>
    <w:rsid w:val="00DA4296"/>
    <w:rsid w:val="00DA42AB"/>
    <w:rsid w:val="00DA57CA"/>
    <w:rsid w:val="00DA66F4"/>
    <w:rsid w:val="00DA6F3B"/>
    <w:rsid w:val="00DA7008"/>
    <w:rsid w:val="00DA70BC"/>
    <w:rsid w:val="00DB218E"/>
    <w:rsid w:val="00DB3345"/>
    <w:rsid w:val="00DB4C59"/>
    <w:rsid w:val="00DB7B81"/>
    <w:rsid w:val="00DC15FE"/>
    <w:rsid w:val="00DC1F22"/>
    <w:rsid w:val="00DC222C"/>
    <w:rsid w:val="00DC23C8"/>
    <w:rsid w:val="00DC2AEB"/>
    <w:rsid w:val="00DC2CC6"/>
    <w:rsid w:val="00DC3ED3"/>
    <w:rsid w:val="00DC4A2B"/>
    <w:rsid w:val="00DC7710"/>
    <w:rsid w:val="00DC7C0C"/>
    <w:rsid w:val="00DD06C6"/>
    <w:rsid w:val="00DD083A"/>
    <w:rsid w:val="00DD08A0"/>
    <w:rsid w:val="00DD0D4E"/>
    <w:rsid w:val="00DD0F15"/>
    <w:rsid w:val="00DD10E1"/>
    <w:rsid w:val="00DD2298"/>
    <w:rsid w:val="00DD2A97"/>
    <w:rsid w:val="00DD2CF7"/>
    <w:rsid w:val="00DD2E02"/>
    <w:rsid w:val="00DD333C"/>
    <w:rsid w:val="00DD4279"/>
    <w:rsid w:val="00DD45E0"/>
    <w:rsid w:val="00DD5656"/>
    <w:rsid w:val="00DD5E44"/>
    <w:rsid w:val="00DD76EA"/>
    <w:rsid w:val="00DD7A20"/>
    <w:rsid w:val="00DD7B2E"/>
    <w:rsid w:val="00DD7DD4"/>
    <w:rsid w:val="00DE0A30"/>
    <w:rsid w:val="00DE0FA6"/>
    <w:rsid w:val="00DE1076"/>
    <w:rsid w:val="00DE2022"/>
    <w:rsid w:val="00DE3AB9"/>
    <w:rsid w:val="00DE3E2B"/>
    <w:rsid w:val="00DE4AE8"/>
    <w:rsid w:val="00DE5682"/>
    <w:rsid w:val="00DE5C2E"/>
    <w:rsid w:val="00DE7079"/>
    <w:rsid w:val="00DF141B"/>
    <w:rsid w:val="00DF1F99"/>
    <w:rsid w:val="00DF3DD1"/>
    <w:rsid w:val="00DF45BC"/>
    <w:rsid w:val="00DF5D86"/>
    <w:rsid w:val="00DF737E"/>
    <w:rsid w:val="00E00027"/>
    <w:rsid w:val="00E00F21"/>
    <w:rsid w:val="00E02A2F"/>
    <w:rsid w:val="00E04903"/>
    <w:rsid w:val="00E05ADA"/>
    <w:rsid w:val="00E05CB3"/>
    <w:rsid w:val="00E078DA"/>
    <w:rsid w:val="00E103C0"/>
    <w:rsid w:val="00E10EA9"/>
    <w:rsid w:val="00E1195F"/>
    <w:rsid w:val="00E11C66"/>
    <w:rsid w:val="00E11D88"/>
    <w:rsid w:val="00E123E6"/>
    <w:rsid w:val="00E13A1F"/>
    <w:rsid w:val="00E151E7"/>
    <w:rsid w:val="00E1564E"/>
    <w:rsid w:val="00E15C16"/>
    <w:rsid w:val="00E15DFC"/>
    <w:rsid w:val="00E15F45"/>
    <w:rsid w:val="00E161EE"/>
    <w:rsid w:val="00E16A67"/>
    <w:rsid w:val="00E17468"/>
    <w:rsid w:val="00E20B2F"/>
    <w:rsid w:val="00E21BAD"/>
    <w:rsid w:val="00E2289E"/>
    <w:rsid w:val="00E232F4"/>
    <w:rsid w:val="00E25EF7"/>
    <w:rsid w:val="00E27DF3"/>
    <w:rsid w:val="00E30726"/>
    <w:rsid w:val="00E31622"/>
    <w:rsid w:val="00E329FE"/>
    <w:rsid w:val="00E33A09"/>
    <w:rsid w:val="00E342CD"/>
    <w:rsid w:val="00E34387"/>
    <w:rsid w:val="00E402EC"/>
    <w:rsid w:val="00E4260D"/>
    <w:rsid w:val="00E42A5C"/>
    <w:rsid w:val="00E42E3D"/>
    <w:rsid w:val="00E42F95"/>
    <w:rsid w:val="00E43855"/>
    <w:rsid w:val="00E44258"/>
    <w:rsid w:val="00E46ABB"/>
    <w:rsid w:val="00E51028"/>
    <w:rsid w:val="00E51E1E"/>
    <w:rsid w:val="00E5292A"/>
    <w:rsid w:val="00E52EEF"/>
    <w:rsid w:val="00E53DFA"/>
    <w:rsid w:val="00E53E21"/>
    <w:rsid w:val="00E5615A"/>
    <w:rsid w:val="00E56E36"/>
    <w:rsid w:val="00E607A2"/>
    <w:rsid w:val="00E60EB4"/>
    <w:rsid w:val="00E6259F"/>
    <w:rsid w:val="00E634C5"/>
    <w:rsid w:val="00E64BA3"/>
    <w:rsid w:val="00E64F51"/>
    <w:rsid w:val="00E65080"/>
    <w:rsid w:val="00E67220"/>
    <w:rsid w:val="00E6781F"/>
    <w:rsid w:val="00E67B7D"/>
    <w:rsid w:val="00E67E26"/>
    <w:rsid w:val="00E70291"/>
    <w:rsid w:val="00E708CC"/>
    <w:rsid w:val="00E72D6E"/>
    <w:rsid w:val="00E73104"/>
    <w:rsid w:val="00E73430"/>
    <w:rsid w:val="00E7619D"/>
    <w:rsid w:val="00E761FD"/>
    <w:rsid w:val="00E76256"/>
    <w:rsid w:val="00E778B7"/>
    <w:rsid w:val="00E82359"/>
    <w:rsid w:val="00E82BC1"/>
    <w:rsid w:val="00E845A6"/>
    <w:rsid w:val="00E85092"/>
    <w:rsid w:val="00E85183"/>
    <w:rsid w:val="00E86FC0"/>
    <w:rsid w:val="00E87395"/>
    <w:rsid w:val="00E8745D"/>
    <w:rsid w:val="00E9160D"/>
    <w:rsid w:val="00E93433"/>
    <w:rsid w:val="00E93D7C"/>
    <w:rsid w:val="00E948E2"/>
    <w:rsid w:val="00E95246"/>
    <w:rsid w:val="00E95386"/>
    <w:rsid w:val="00E953F0"/>
    <w:rsid w:val="00E9676B"/>
    <w:rsid w:val="00EA0984"/>
    <w:rsid w:val="00EA230C"/>
    <w:rsid w:val="00EA47D3"/>
    <w:rsid w:val="00EA5D8B"/>
    <w:rsid w:val="00EA5EC4"/>
    <w:rsid w:val="00EA6AC7"/>
    <w:rsid w:val="00EA764D"/>
    <w:rsid w:val="00EA78B6"/>
    <w:rsid w:val="00EA790B"/>
    <w:rsid w:val="00EB00D9"/>
    <w:rsid w:val="00EB117A"/>
    <w:rsid w:val="00EB204C"/>
    <w:rsid w:val="00EB4161"/>
    <w:rsid w:val="00EB47DF"/>
    <w:rsid w:val="00EB55EB"/>
    <w:rsid w:val="00EC00A1"/>
    <w:rsid w:val="00EC035F"/>
    <w:rsid w:val="00EC358B"/>
    <w:rsid w:val="00EC433A"/>
    <w:rsid w:val="00EC4A10"/>
    <w:rsid w:val="00EC507E"/>
    <w:rsid w:val="00EC7C44"/>
    <w:rsid w:val="00ED001B"/>
    <w:rsid w:val="00ED098F"/>
    <w:rsid w:val="00ED20CB"/>
    <w:rsid w:val="00ED21F3"/>
    <w:rsid w:val="00ED2661"/>
    <w:rsid w:val="00ED2750"/>
    <w:rsid w:val="00ED27F2"/>
    <w:rsid w:val="00ED357D"/>
    <w:rsid w:val="00ED4488"/>
    <w:rsid w:val="00ED4F61"/>
    <w:rsid w:val="00ED5272"/>
    <w:rsid w:val="00ED60AD"/>
    <w:rsid w:val="00EE0C13"/>
    <w:rsid w:val="00EE0CA5"/>
    <w:rsid w:val="00EE0DE0"/>
    <w:rsid w:val="00EE14AB"/>
    <w:rsid w:val="00EE303E"/>
    <w:rsid w:val="00EE31BD"/>
    <w:rsid w:val="00EE38D0"/>
    <w:rsid w:val="00EE67A5"/>
    <w:rsid w:val="00EE72D0"/>
    <w:rsid w:val="00EF0B31"/>
    <w:rsid w:val="00EF1607"/>
    <w:rsid w:val="00EF1FFB"/>
    <w:rsid w:val="00EF3565"/>
    <w:rsid w:val="00EF69F5"/>
    <w:rsid w:val="00EF7794"/>
    <w:rsid w:val="00EF7DBD"/>
    <w:rsid w:val="00F00501"/>
    <w:rsid w:val="00F011B6"/>
    <w:rsid w:val="00F012C7"/>
    <w:rsid w:val="00F0304A"/>
    <w:rsid w:val="00F041BF"/>
    <w:rsid w:val="00F044B1"/>
    <w:rsid w:val="00F0478C"/>
    <w:rsid w:val="00F04A5D"/>
    <w:rsid w:val="00F04D4F"/>
    <w:rsid w:val="00F06D45"/>
    <w:rsid w:val="00F06F07"/>
    <w:rsid w:val="00F07221"/>
    <w:rsid w:val="00F07696"/>
    <w:rsid w:val="00F077C0"/>
    <w:rsid w:val="00F1054A"/>
    <w:rsid w:val="00F108CA"/>
    <w:rsid w:val="00F109D5"/>
    <w:rsid w:val="00F114A2"/>
    <w:rsid w:val="00F11BA8"/>
    <w:rsid w:val="00F13BF2"/>
    <w:rsid w:val="00F13E54"/>
    <w:rsid w:val="00F14CB8"/>
    <w:rsid w:val="00F155A0"/>
    <w:rsid w:val="00F162A7"/>
    <w:rsid w:val="00F164BF"/>
    <w:rsid w:val="00F17D9E"/>
    <w:rsid w:val="00F2011C"/>
    <w:rsid w:val="00F203FB"/>
    <w:rsid w:val="00F20B5B"/>
    <w:rsid w:val="00F223B7"/>
    <w:rsid w:val="00F23383"/>
    <w:rsid w:val="00F23A03"/>
    <w:rsid w:val="00F24BA1"/>
    <w:rsid w:val="00F2542A"/>
    <w:rsid w:val="00F25ABF"/>
    <w:rsid w:val="00F25ECF"/>
    <w:rsid w:val="00F26764"/>
    <w:rsid w:val="00F300FC"/>
    <w:rsid w:val="00F30246"/>
    <w:rsid w:val="00F334ED"/>
    <w:rsid w:val="00F338C6"/>
    <w:rsid w:val="00F353DC"/>
    <w:rsid w:val="00F35758"/>
    <w:rsid w:val="00F35869"/>
    <w:rsid w:val="00F36AFE"/>
    <w:rsid w:val="00F410CC"/>
    <w:rsid w:val="00F41270"/>
    <w:rsid w:val="00F412DD"/>
    <w:rsid w:val="00F414B0"/>
    <w:rsid w:val="00F46154"/>
    <w:rsid w:val="00F50F8E"/>
    <w:rsid w:val="00F51014"/>
    <w:rsid w:val="00F52AC5"/>
    <w:rsid w:val="00F53B53"/>
    <w:rsid w:val="00F54346"/>
    <w:rsid w:val="00F5486D"/>
    <w:rsid w:val="00F54C64"/>
    <w:rsid w:val="00F555C3"/>
    <w:rsid w:val="00F573C2"/>
    <w:rsid w:val="00F6184F"/>
    <w:rsid w:val="00F62AD8"/>
    <w:rsid w:val="00F63220"/>
    <w:rsid w:val="00F640C6"/>
    <w:rsid w:val="00F649F2"/>
    <w:rsid w:val="00F64BBF"/>
    <w:rsid w:val="00F65291"/>
    <w:rsid w:val="00F66A5E"/>
    <w:rsid w:val="00F673B0"/>
    <w:rsid w:val="00F70571"/>
    <w:rsid w:val="00F729D2"/>
    <w:rsid w:val="00F73781"/>
    <w:rsid w:val="00F74511"/>
    <w:rsid w:val="00F74532"/>
    <w:rsid w:val="00F748FB"/>
    <w:rsid w:val="00F757EA"/>
    <w:rsid w:val="00F76D91"/>
    <w:rsid w:val="00F804AB"/>
    <w:rsid w:val="00F81505"/>
    <w:rsid w:val="00F81627"/>
    <w:rsid w:val="00F856C5"/>
    <w:rsid w:val="00F85954"/>
    <w:rsid w:val="00F861DB"/>
    <w:rsid w:val="00F87139"/>
    <w:rsid w:val="00F87848"/>
    <w:rsid w:val="00F903E2"/>
    <w:rsid w:val="00F914AD"/>
    <w:rsid w:val="00F91E26"/>
    <w:rsid w:val="00F93C73"/>
    <w:rsid w:val="00F93F13"/>
    <w:rsid w:val="00F96670"/>
    <w:rsid w:val="00F97193"/>
    <w:rsid w:val="00FA03A5"/>
    <w:rsid w:val="00FA087C"/>
    <w:rsid w:val="00FA29C3"/>
    <w:rsid w:val="00FA30C2"/>
    <w:rsid w:val="00FA348E"/>
    <w:rsid w:val="00FA3F97"/>
    <w:rsid w:val="00FA4F08"/>
    <w:rsid w:val="00FA654C"/>
    <w:rsid w:val="00FB056D"/>
    <w:rsid w:val="00FB1347"/>
    <w:rsid w:val="00FB14A6"/>
    <w:rsid w:val="00FB444D"/>
    <w:rsid w:val="00FB52EE"/>
    <w:rsid w:val="00FB6461"/>
    <w:rsid w:val="00FB6FCB"/>
    <w:rsid w:val="00FB777B"/>
    <w:rsid w:val="00FB7F52"/>
    <w:rsid w:val="00FC0766"/>
    <w:rsid w:val="00FC08B4"/>
    <w:rsid w:val="00FC09F3"/>
    <w:rsid w:val="00FC1F72"/>
    <w:rsid w:val="00FC340C"/>
    <w:rsid w:val="00FC4568"/>
    <w:rsid w:val="00FC4B3B"/>
    <w:rsid w:val="00FC689C"/>
    <w:rsid w:val="00FC70EA"/>
    <w:rsid w:val="00FC7A63"/>
    <w:rsid w:val="00FD0EF8"/>
    <w:rsid w:val="00FD165C"/>
    <w:rsid w:val="00FD53B0"/>
    <w:rsid w:val="00FD5E02"/>
    <w:rsid w:val="00FD6287"/>
    <w:rsid w:val="00FD632A"/>
    <w:rsid w:val="00FE0015"/>
    <w:rsid w:val="00FE0828"/>
    <w:rsid w:val="00FE11F2"/>
    <w:rsid w:val="00FE1974"/>
    <w:rsid w:val="00FE1F57"/>
    <w:rsid w:val="00FE2227"/>
    <w:rsid w:val="00FE2583"/>
    <w:rsid w:val="00FE5432"/>
    <w:rsid w:val="00FE5486"/>
    <w:rsid w:val="00FE5814"/>
    <w:rsid w:val="00FE5EF2"/>
    <w:rsid w:val="00FE6158"/>
    <w:rsid w:val="00FF15C4"/>
    <w:rsid w:val="00FF181D"/>
    <w:rsid w:val="00FF216E"/>
    <w:rsid w:val="00FF55CA"/>
    <w:rsid w:val="00FF7268"/>
    <w:rsid w:val="0A88347E"/>
    <w:rsid w:val="13990237"/>
    <w:rsid w:val="25B5063C"/>
    <w:rsid w:val="2C8A70DD"/>
    <w:rsid w:val="2DCB20DD"/>
    <w:rsid w:val="301160C4"/>
    <w:rsid w:val="364650F7"/>
    <w:rsid w:val="3A606720"/>
    <w:rsid w:val="3E2A7F85"/>
    <w:rsid w:val="456733F1"/>
    <w:rsid w:val="62D36D72"/>
    <w:rsid w:val="638214A9"/>
    <w:rsid w:val="752419B9"/>
    <w:rsid w:val="7A2A304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qFormat/>
    <w:uiPriority w:val="0"/>
    <w:pPr>
      <w:keepNext/>
      <w:keepLines/>
      <w:spacing w:before="260" w:after="260" w:line="415" w:lineRule="auto"/>
      <w:outlineLvl w:val="1"/>
    </w:pPr>
    <w:rPr>
      <w:rFonts w:ascii="Arial" w:hAnsi="Arial" w:eastAsia="黑体"/>
      <w:b/>
      <w:bCs/>
      <w:sz w:val="32"/>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34"/>
    <w:semiHidden/>
    <w:unhideWhenUsed/>
    <w:qFormat/>
    <w:uiPriority w:val="0"/>
    <w:rPr>
      <w:rFonts w:ascii="宋体"/>
      <w:sz w:val="18"/>
      <w:szCs w:val="18"/>
    </w:rPr>
  </w:style>
  <w:style w:type="paragraph" w:styleId="5">
    <w:name w:val="annotation text"/>
    <w:basedOn w:val="1"/>
    <w:link w:val="30"/>
    <w:qFormat/>
    <w:uiPriority w:val="99"/>
    <w:pPr>
      <w:jc w:val="left"/>
    </w:pPr>
  </w:style>
  <w:style w:type="paragraph" w:styleId="6">
    <w:name w:val="Body Text Indent"/>
    <w:basedOn w:val="1"/>
    <w:link w:val="51"/>
    <w:qFormat/>
    <w:uiPriority w:val="0"/>
    <w:pPr>
      <w:spacing w:after="120"/>
      <w:ind w:left="420" w:leftChars="200"/>
    </w:pPr>
  </w:style>
  <w:style w:type="paragraph" w:styleId="7">
    <w:name w:val="Plain Text"/>
    <w:basedOn w:val="1"/>
    <w:link w:val="31"/>
    <w:uiPriority w:val="0"/>
    <w:rPr>
      <w:rFonts w:hint="eastAsia" w:ascii="宋体" w:hAnsi="Courier New"/>
      <w:szCs w:val="20"/>
    </w:rPr>
  </w:style>
  <w:style w:type="paragraph" w:styleId="8">
    <w:name w:val="Date"/>
    <w:basedOn w:val="1"/>
    <w:next w:val="1"/>
    <w:link w:val="37"/>
    <w:qFormat/>
    <w:uiPriority w:val="0"/>
    <w:pPr>
      <w:ind w:left="100" w:leftChars="2500"/>
    </w:pPr>
  </w:style>
  <w:style w:type="paragraph" w:styleId="9">
    <w:name w:val="Body Text Indent 2"/>
    <w:basedOn w:val="1"/>
    <w:link w:val="38"/>
    <w:qFormat/>
    <w:uiPriority w:val="0"/>
    <w:pPr>
      <w:widowControl/>
      <w:spacing w:line="500" w:lineRule="exact"/>
      <w:ind w:firstLine="570"/>
      <w:jc w:val="left"/>
    </w:pPr>
    <w:rPr>
      <w:rFonts w:ascii="宋体" w:hAnsi="宋体"/>
      <w:kern w:val="0"/>
      <w:sz w:val="28"/>
    </w:rPr>
  </w:style>
  <w:style w:type="paragraph" w:styleId="10">
    <w:name w:val="Balloon Text"/>
    <w:basedOn w:val="1"/>
    <w:link w:val="33"/>
    <w:semiHidden/>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pPr>
    <w:rPr>
      <w:rFonts w:eastAsia="仿宋_GB2312"/>
      <w:b/>
      <w:sz w:val="24"/>
    </w:rPr>
  </w:style>
  <w:style w:type="paragraph" w:styleId="14">
    <w:name w:val="footnote text"/>
    <w:basedOn w:val="1"/>
    <w:link w:val="29"/>
    <w:qFormat/>
    <w:uiPriority w:val="99"/>
    <w:pPr>
      <w:snapToGrid w:val="0"/>
      <w:jc w:val="left"/>
    </w:pPr>
    <w:rPr>
      <w:sz w:val="18"/>
      <w:szCs w:val="18"/>
    </w:rPr>
  </w:style>
  <w:style w:type="paragraph" w:styleId="15">
    <w:name w:val="toc 2"/>
    <w:basedOn w:val="1"/>
    <w:next w:val="1"/>
    <w:qFormat/>
    <w:uiPriority w:val="39"/>
    <w:pPr>
      <w:ind w:left="420" w:leftChars="200"/>
    </w:pPr>
  </w:style>
  <w:style w:type="paragraph" w:styleId="16">
    <w:name w:val="annotation subject"/>
    <w:basedOn w:val="5"/>
    <w:next w:val="5"/>
    <w:link w:val="55"/>
    <w:semiHidden/>
    <w:unhideWhenUsed/>
    <w:qFormat/>
    <w:uiPriority w:val="99"/>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FollowedHyperlink"/>
    <w:basedOn w:val="19"/>
    <w:qFormat/>
    <w:uiPriority w:val="0"/>
    <w:rPr>
      <w:color w:val="800080"/>
      <w:u w:val="single"/>
    </w:rPr>
  </w:style>
  <w:style w:type="character" w:styleId="23">
    <w:name w:val="Hyperlink"/>
    <w:basedOn w:val="19"/>
    <w:qFormat/>
    <w:uiPriority w:val="99"/>
    <w:rPr>
      <w:color w:val="0000FF"/>
      <w:u w:val="single"/>
    </w:rPr>
  </w:style>
  <w:style w:type="character" w:styleId="24">
    <w:name w:val="annotation reference"/>
    <w:basedOn w:val="19"/>
    <w:qFormat/>
    <w:uiPriority w:val="99"/>
    <w:rPr>
      <w:sz w:val="21"/>
      <w:szCs w:val="21"/>
    </w:rPr>
  </w:style>
  <w:style w:type="character" w:styleId="25">
    <w:name w:val="footnote reference"/>
    <w:basedOn w:val="19"/>
    <w:qFormat/>
    <w:uiPriority w:val="99"/>
    <w:rPr>
      <w:vertAlign w:val="superscript"/>
    </w:rPr>
  </w:style>
  <w:style w:type="character" w:customStyle="1" w:styleId="26">
    <w:name w:val="页眉 字符"/>
    <w:basedOn w:val="19"/>
    <w:link w:val="12"/>
    <w:qFormat/>
    <w:uiPriority w:val="99"/>
    <w:rPr>
      <w:sz w:val="18"/>
      <w:szCs w:val="18"/>
    </w:rPr>
  </w:style>
  <w:style w:type="character" w:customStyle="1" w:styleId="27">
    <w:name w:val="页脚 字符"/>
    <w:basedOn w:val="19"/>
    <w:link w:val="11"/>
    <w:qFormat/>
    <w:uiPriority w:val="99"/>
    <w:rPr>
      <w:sz w:val="18"/>
      <w:szCs w:val="18"/>
    </w:rPr>
  </w:style>
  <w:style w:type="character" w:customStyle="1" w:styleId="28">
    <w:name w:val="标题 1 字符"/>
    <w:basedOn w:val="19"/>
    <w:link w:val="2"/>
    <w:qFormat/>
    <w:uiPriority w:val="0"/>
    <w:rPr>
      <w:rFonts w:ascii="Times New Roman" w:hAnsi="Times New Roman" w:eastAsia="宋体" w:cs="Times New Roman"/>
      <w:b/>
      <w:bCs/>
      <w:kern w:val="44"/>
      <w:sz w:val="44"/>
      <w:szCs w:val="44"/>
    </w:rPr>
  </w:style>
  <w:style w:type="character" w:customStyle="1" w:styleId="29">
    <w:name w:val="脚注文本 字符"/>
    <w:basedOn w:val="19"/>
    <w:link w:val="14"/>
    <w:qFormat/>
    <w:uiPriority w:val="99"/>
    <w:rPr>
      <w:rFonts w:ascii="Times New Roman" w:hAnsi="Times New Roman" w:eastAsia="宋体" w:cs="Times New Roman"/>
      <w:sz w:val="18"/>
      <w:szCs w:val="18"/>
    </w:rPr>
  </w:style>
  <w:style w:type="character" w:customStyle="1" w:styleId="30">
    <w:name w:val="批注文字 字符"/>
    <w:basedOn w:val="19"/>
    <w:link w:val="5"/>
    <w:qFormat/>
    <w:uiPriority w:val="99"/>
    <w:rPr>
      <w:rFonts w:ascii="Times New Roman" w:hAnsi="Times New Roman" w:eastAsia="宋体" w:cs="Times New Roman"/>
      <w:szCs w:val="24"/>
    </w:rPr>
  </w:style>
  <w:style w:type="character" w:customStyle="1" w:styleId="31">
    <w:name w:val="纯文本 字符"/>
    <w:basedOn w:val="19"/>
    <w:link w:val="7"/>
    <w:qFormat/>
    <w:uiPriority w:val="0"/>
    <w:rPr>
      <w:rFonts w:ascii="宋体" w:hAnsi="Courier New" w:eastAsia="宋体" w:cs="Times New Roman"/>
      <w:szCs w:val="20"/>
    </w:rPr>
  </w:style>
  <w:style w:type="paragraph" w:customStyle="1" w:styleId="32">
    <w:name w:val="Default"/>
    <w:qFormat/>
    <w:uiPriority w:val="0"/>
    <w:pPr>
      <w:widowControl w:val="0"/>
      <w:autoSpaceDE w:val="0"/>
      <w:autoSpaceDN w:val="0"/>
      <w:adjustRightInd w:val="0"/>
    </w:pPr>
    <w:rPr>
      <w:rFonts w:ascii="仿宋_GB2312" w:hAnsi="Times New Roman" w:eastAsia="仿宋_GB2312" w:cs="仿宋_GB2312"/>
      <w:color w:val="000000"/>
      <w:sz w:val="24"/>
      <w:szCs w:val="24"/>
      <w:lang w:val="en-US" w:eastAsia="zh-CN" w:bidi="ar-SA"/>
    </w:rPr>
  </w:style>
  <w:style w:type="character" w:customStyle="1" w:styleId="33">
    <w:name w:val="批注框文本 字符"/>
    <w:basedOn w:val="19"/>
    <w:link w:val="10"/>
    <w:semiHidden/>
    <w:qFormat/>
    <w:uiPriority w:val="99"/>
    <w:rPr>
      <w:rFonts w:ascii="Times New Roman" w:hAnsi="Times New Roman" w:eastAsia="宋体" w:cs="Times New Roman"/>
      <w:sz w:val="18"/>
      <w:szCs w:val="18"/>
    </w:rPr>
  </w:style>
  <w:style w:type="character" w:customStyle="1" w:styleId="34">
    <w:name w:val="文档结构图 字符"/>
    <w:basedOn w:val="19"/>
    <w:link w:val="4"/>
    <w:semiHidden/>
    <w:qFormat/>
    <w:uiPriority w:val="0"/>
    <w:rPr>
      <w:rFonts w:ascii="宋体" w:hAnsi="Times New Roman" w:eastAsia="宋体" w:cs="Times New Roman"/>
      <w:sz w:val="18"/>
      <w:szCs w:val="18"/>
    </w:rPr>
  </w:style>
  <w:style w:type="character" w:customStyle="1" w:styleId="35">
    <w:name w:val="标题 2 字符"/>
    <w:basedOn w:val="19"/>
    <w:link w:val="3"/>
    <w:qFormat/>
    <w:uiPriority w:val="0"/>
    <w:rPr>
      <w:rFonts w:ascii="Arial" w:hAnsi="Arial" w:eastAsia="黑体" w:cs="Times New Roman"/>
      <w:b/>
      <w:bCs/>
      <w:sz w:val="32"/>
      <w:szCs w:val="32"/>
    </w:rPr>
  </w:style>
  <w:style w:type="paragraph" w:styleId="36">
    <w:name w:val="List Paragraph"/>
    <w:basedOn w:val="1"/>
    <w:qFormat/>
    <w:uiPriority w:val="99"/>
    <w:pPr>
      <w:ind w:firstLine="420" w:firstLineChars="200"/>
    </w:pPr>
  </w:style>
  <w:style w:type="character" w:customStyle="1" w:styleId="37">
    <w:name w:val="日期 字符"/>
    <w:basedOn w:val="19"/>
    <w:link w:val="8"/>
    <w:qFormat/>
    <w:uiPriority w:val="0"/>
    <w:rPr>
      <w:rFonts w:ascii="Times New Roman" w:hAnsi="Times New Roman" w:eastAsia="宋体" w:cs="Times New Roman"/>
      <w:szCs w:val="24"/>
    </w:rPr>
  </w:style>
  <w:style w:type="character" w:customStyle="1" w:styleId="38">
    <w:name w:val="正文文本缩进 2 字符"/>
    <w:basedOn w:val="19"/>
    <w:link w:val="9"/>
    <w:qFormat/>
    <w:uiPriority w:val="0"/>
    <w:rPr>
      <w:rFonts w:ascii="宋体" w:hAnsi="宋体" w:eastAsia="宋体" w:cs="Times New Roman"/>
      <w:kern w:val="0"/>
      <w:sz w:val="28"/>
      <w:szCs w:val="24"/>
    </w:rPr>
  </w:style>
  <w:style w:type="character" w:customStyle="1" w:styleId="39">
    <w:name w:val="文档结构图 Char1"/>
    <w:basedOn w:val="19"/>
    <w:semiHidden/>
    <w:qFormat/>
    <w:uiPriority w:val="99"/>
    <w:rPr>
      <w:rFonts w:ascii="宋体" w:hAnsi="Times New Roman" w:eastAsia="宋体" w:cs="Times New Roman"/>
      <w:sz w:val="18"/>
      <w:szCs w:val="18"/>
    </w:rPr>
  </w:style>
  <w:style w:type="paragraph" w:customStyle="1" w:styleId="40">
    <w:name w:val="Char Char Char Char Char Char Char"/>
    <w:basedOn w:val="1"/>
    <w:qFormat/>
    <w:uiPriority w:val="0"/>
    <w:pPr>
      <w:tabs>
        <w:tab w:val="left" w:pos="360"/>
      </w:tabs>
    </w:pPr>
    <w:rPr>
      <w:sz w:val="24"/>
    </w:rPr>
  </w:style>
  <w:style w:type="paragraph" w:customStyle="1" w:styleId="41">
    <w:name w:val="列出段落1"/>
    <w:basedOn w:val="1"/>
    <w:qFormat/>
    <w:uiPriority w:val="0"/>
    <w:pPr>
      <w:snapToGrid w:val="0"/>
      <w:spacing w:before="240" w:after="240" w:line="312" w:lineRule="auto"/>
      <w:ind w:firstLine="420" w:firstLineChars="200"/>
    </w:pPr>
    <w:rPr>
      <w:sz w:val="24"/>
    </w:rPr>
  </w:style>
  <w:style w:type="paragraph" w:customStyle="1" w:styleId="42">
    <w:name w:val="Level 1"/>
    <w:basedOn w:val="1"/>
    <w:next w:val="1"/>
    <w:qFormat/>
    <w:uiPriority w:val="0"/>
    <w:pPr>
      <w:keepNext/>
      <w:widowControl/>
      <w:numPr>
        <w:ilvl w:val="0"/>
        <w:numId w:val="1"/>
      </w:numPr>
      <w:spacing w:line="360" w:lineRule="auto"/>
      <w:outlineLvl w:val="0"/>
    </w:pPr>
    <w:rPr>
      <w:rFonts w:ascii="Arial" w:hAnsi="Arial" w:eastAsia="黑体"/>
      <w:b/>
      <w:caps/>
      <w:w w:val="105"/>
      <w:kern w:val="20"/>
      <w:sz w:val="24"/>
      <w:lang w:val="en-GB" w:eastAsia="en-US"/>
    </w:rPr>
  </w:style>
  <w:style w:type="character" w:customStyle="1" w:styleId="43">
    <w:name w:val="Level 2 Char"/>
    <w:basedOn w:val="19"/>
    <w:link w:val="44"/>
    <w:qFormat/>
    <w:locked/>
    <w:uiPriority w:val="0"/>
    <w:rPr>
      <w:rFonts w:ascii="Arial" w:hAnsi="Arial" w:cs="Arial"/>
      <w:w w:val="105"/>
      <w:kern w:val="20"/>
      <w:sz w:val="24"/>
      <w:szCs w:val="24"/>
      <w:lang w:val="en-GB" w:eastAsia="en-US"/>
    </w:rPr>
  </w:style>
  <w:style w:type="paragraph" w:customStyle="1" w:styleId="44">
    <w:name w:val="Level 2"/>
    <w:basedOn w:val="1"/>
    <w:next w:val="1"/>
    <w:link w:val="43"/>
    <w:qFormat/>
    <w:uiPriority w:val="0"/>
    <w:pPr>
      <w:numPr>
        <w:ilvl w:val="1"/>
        <w:numId w:val="1"/>
      </w:numPr>
      <w:spacing w:line="360" w:lineRule="auto"/>
      <w:outlineLvl w:val="1"/>
    </w:pPr>
    <w:rPr>
      <w:rFonts w:ascii="Arial" w:hAnsi="Arial" w:cs="Arial"/>
      <w:w w:val="105"/>
      <w:kern w:val="20"/>
      <w:sz w:val="24"/>
      <w:lang w:val="en-GB" w:eastAsia="en-US"/>
    </w:rPr>
  </w:style>
  <w:style w:type="paragraph" w:customStyle="1" w:styleId="45">
    <w:name w:val="Level 3"/>
    <w:basedOn w:val="1"/>
    <w:qFormat/>
    <w:uiPriority w:val="0"/>
    <w:pPr>
      <w:numPr>
        <w:ilvl w:val="2"/>
        <w:numId w:val="1"/>
      </w:numPr>
      <w:spacing w:after="120" w:line="336" w:lineRule="auto"/>
      <w:outlineLvl w:val="2"/>
    </w:pPr>
    <w:rPr>
      <w:rFonts w:ascii="Arial" w:hAnsi="Arial"/>
      <w:w w:val="105"/>
      <w:kern w:val="20"/>
      <w:sz w:val="24"/>
      <w:szCs w:val="20"/>
      <w:lang w:val="en-GB" w:eastAsia="en-US"/>
    </w:rPr>
  </w:style>
  <w:style w:type="paragraph" w:customStyle="1" w:styleId="46">
    <w:name w:val="Level 4"/>
    <w:basedOn w:val="1"/>
    <w:qFormat/>
    <w:uiPriority w:val="0"/>
    <w:pPr>
      <w:widowControl/>
      <w:numPr>
        <w:ilvl w:val="3"/>
        <w:numId w:val="1"/>
      </w:numPr>
      <w:spacing w:after="120" w:line="336" w:lineRule="auto"/>
      <w:outlineLvl w:val="3"/>
    </w:pPr>
    <w:rPr>
      <w:rFonts w:ascii="Arial" w:hAnsi="Arial"/>
      <w:w w:val="105"/>
      <w:kern w:val="20"/>
      <w:sz w:val="24"/>
      <w:szCs w:val="20"/>
      <w:lang w:val="en-GB" w:eastAsia="en-US"/>
    </w:rPr>
  </w:style>
  <w:style w:type="paragraph" w:customStyle="1" w:styleId="47">
    <w:name w:val="Level 5"/>
    <w:basedOn w:val="46"/>
    <w:qFormat/>
    <w:uiPriority w:val="0"/>
    <w:pPr>
      <w:numPr>
        <w:ilvl w:val="4"/>
      </w:numPr>
      <w:outlineLvl w:val="4"/>
    </w:pPr>
  </w:style>
  <w:style w:type="paragraph" w:customStyle="1" w:styleId="48">
    <w:name w:val="Level 6"/>
    <w:basedOn w:val="47"/>
    <w:qFormat/>
    <w:uiPriority w:val="0"/>
    <w:pPr>
      <w:numPr>
        <w:ilvl w:val="5"/>
      </w:numPr>
      <w:outlineLvl w:val="5"/>
    </w:pPr>
  </w:style>
  <w:style w:type="paragraph" w:customStyle="1" w:styleId="49">
    <w:name w:val="Level 7"/>
    <w:basedOn w:val="1"/>
    <w:qFormat/>
    <w:uiPriority w:val="0"/>
    <w:pPr>
      <w:widowControl/>
      <w:numPr>
        <w:ilvl w:val="6"/>
        <w:numId w:val="1"/>
      </w:numPr>
      <w:spacing w:after="120" w:line="336" w:lineRule="auto"/>
      <w:outlineLvl w:val="6"/>
    </w:pPr>
    <w:rPr>
      <w:rFonts w:ascii="Arial" w:hAnsi="Arial"/>
      <w:w w:val="105"/>
      <w:kern w:val="20"/>
      <w:sz w:val="24"/>
      <w:szCs w:val="20"/>
      <w:lang w:val="en-GB" w:eastAsia="en-US"/>
    </w:rPr>
  </w:style>
  <w:style w:type="paragraph" w:customStyle="1" w:styleId="50">
    <w:name w:val="Level 8"/>
    <w:basedOn w:val="1"/>
    <w:qFormat/>
    <w:uiPriority w:val="0"/>
    <w:pPr>
      <w:widowControl/>
      <w:numPr>
        <w:ilvl w:val="7"/>
        <w:numId w:val="1"/>
      </w:numPr>
      <w:spacing w:after="120" w:line="336" w:lineRule="auto"/>
      <w:outlineLvl w:val="7"/>
    </w:pPr>
    <w:rPr>
      <w:rFonts w:ascii="Arial" w:hAnsi="Arial"/>
      <w:w w:val="105"/>
      <w:kern w:val="20"/>
      <w:sz w:val="24"/>
      <w:szCs w:val="20"/>
      <w:lang w:val="en-GB" w:eastAsia="en-US"/>
    </w:rPr>
  </w:style>
  <w:style w:type="character" w:customStyle="1" w:styleId="51">
    <w:name w:val="正文文本缩进 字符"/>
    <w:basedOn w:val="19"/>
    <w:link w:val="6"/>
    <w:qFormat/>
    <w:uiPriority w:val="0"/>
    <w:rPr>
      <w:rFonts w:ascii="Times New Roman" w:hAnsi="Times New Roman" w:eastAsia="宋体" w:cs="Times New Roman"/>
      <w:szCs w:val="24"/>
    </w:rPr>
  </w:style>
  <w:style w:type="paragraph" w:customStyle="1" w:styleId="52">
    <w:name w:val=".."/>
    <w:basedOn w:val="32"/>
    <w:next w:val="32"/>
    <w:qFormat/>
    <w:uiPriority w:val="99"/>
    <w:pPr>
      <w:spacing w:after="140"/>
    </w:pPr>
    <w:rPr>
      <w:rFonts w:ascii="黑体" w:eastAsia="黑体" w:cs="Times New Roman"/>
      <w:color w:val="auto"/>
    </w:rPr>
  </w:style>
  <w:style w:type="paragraph" w:customStyle="1" w:styleId="53">
    <w:name w:val="Body"/>
    <w:basedOn w:val="32"/>
    <w:next w:val="32"/>
    <w:qFormat/>
    <w:uiPriority w:val="99"/>
    <w:rPr>
      <w:rFonts w:ascii="黑体" w:eastAsia="黑体" w:cs="Times New Roman"/>
      <w:color w:val="auto"/>
    </w:rPr>
  </w:style>
  <w:style w:type="paragraph" w:customStyle="1" w:styleId="54">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55">
    <w:name w:val="批注主题 字符"/>
    <w:basedOn w:val="30"/>
    <w:link w:val="16"/>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5991;&#20214;\&#32929;&#31080;&#25910;&#30410;&#20114;&#25442;\&#21327;&#35758;&#25991;&#26412;\&#40511;&#26234;&#24935;&#36890;&#20999;&#25442;&#26041;&#26696;\&#32929;&#31080;&#25910;&#30410;&#20114;&#25442;&#20132;&#26131;&#26465;&#27454;&#28165;&#21333;(01&#21495;&#23458;&#2514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80E6E-BB5E-4B77-A50B-0B9E835A34D7}">
  <ds:schemaRefs/>
</ds:datastoreItem>
</file>

<file path=docProps/app.xml><?xml version="1.0" encoding="utf-8"?>
<Properties xmlns="http://schemas.openxmlformats.org/officeDocument/2006/extended-properties" xmlns:vt="http://schemas.openxmlformats.org/officeDocument/2006/docPropsVTypes">
  <Template>股票收益互换交易条款清单(01号客户)</Template>
  <Company>Lenovo (Beijing) Limited</Company>
  <Pages>4</Pages>
  <Words>602</Words>
  <Characters>3437</Characters>
  <Lines>28</Lines>
  <Paragraphs>8</Paragraphs>
  <TotalTime>8</TotalTime>
  <ScaleCrop>false</ScaleCrop>
  <LinksUpToDate>false</LinksUpToDate>
  <CharactersWithSpaces>4031</CharactersWithSpaces>
  <Application>WPS Office_12.1.0.15324_F1E327BC-269C-435d-A152-05C5408002CA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交易条款清单</cp:category>
  <dcterms:created xsi:type="dcterms:W3CDTF">2019-05-10T07:49:00Z</dcterms:created>
  <dc:creator>dengl</dc:creator>
  <cp:keywords>股票收益互换,条款清单</cp:keywords>
  <cp:lastModifiedBy>T018284</cp:lastModifiedBy>
  <cp:lastPrinted>2016-03-01T09:16:00Z</cp:lastPrinted>
  <dcterms:modified xsi:type="dcterms:W3CDTF">2023-08-10T07:57:34Z</dcterms:modified>
  <dc:title>股票收益互换交易条款清单</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2052-12.1.0.15324</vt:lpwstr>
  </property>
  <property fmtid="{D5CDD505-2E9C-101B-9397-08002B2CF9AE}" pid="3" name="ICV">
    <vt:lpwstr>7935DCF88B804442A19EABBDF447085E_13</vt:lpwstr>
  </property>
</Properties>
</file>