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경기·인천 교구</w:t>
        <w:br/>
        <w:t>교화 데이터 분석 방향성</w:t>
      </w:r>
    </w:p>
    <w:p>
      <w:pPr>
        <w:pStyle w:val="Subtitle"/>
      </w:pPr>
      <w:r>
        <w:t>음성회의 논의를 바탕으로 정리한 연구·실행 로드맵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432"/>
            <w:shd w:fill="EEF4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color w:val="1F4D78"/>
              </w:rPr>
              <w:t xml:space="preserve">핵심 방향  </w:t>
            </w:r>
            <w:r>
              <w:rPr>
                <w:rFonts w:ascii="Malgun Gothic" w:hAnsi="Malgun Gothic" w:eastAsia="맑은 고딕"/>
              </w:rPr>
              <w:t>현재 교화 구조를 진단하고, 성과·쇠퇴 요인을 탐색한 뒤, 인과 가설을 세우고 작은 정책 실험으로 검증한다.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88"/>
      </w:tblGrid>
      <w:tr>
        <w:tc>
          <w:tcPr>
            <w:tcW w:type="dxa" w:w="1944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color w:val="FFFFFF"/>
              </w:rPr>
              <w:t>구분</w:t>
            </w:r>
          </w:p>
        </w:tc>
        <w:tc>
          <w:tcPr>
            <w:tcW w:type="dxa" w:w="7488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연구 목적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제한된 인력·재정·공간을 효과적으로 배치하고 교화 구조 개선의 근거를 마련한다.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분석 범위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교당·교도·교무·가족·청소년·재정·공간·지역 생활권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핵심 원칙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통계적 관련성과 인과관계를 구분하고, 분석 결과를 파일럿 실험으로 연결한다.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최종 산출물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교당 유형 진단, 우선 정책과제, 파일럿 설계, 평가체계</w:t>
            </w:r>
          </w:p>
        </w:tc>
      </w:tr>
    </w:tbl>
    <w:p>
      <w:pPr>
        <w:pStyle w:val="Heading1"/>
      </w:pPr>
      <w:r>
        <w:t>요약: 가장 먼저 해야 할 5가지</w:t>
      </w:r>
    </w:p>
    <w:p>
      <w:pPr>
        <w:pStyle w:val="ListNumber"/>
        <w:spacing w:after="100"/>
        <w:ind w:left="461" w:hanging="288"/>
      </w:pPr>
      <w:r>
        <w:t>경기·인천 교구의 핵심 연구 질문 3~5개를 확정한다.</w:t>
      </w:r>
    </w:p>
    <w:p>
      <w:pPr>
        <w:pStyle w:val="ListNumber"/>
        <w:spacing w:after="100"/>
        <w:ind w:left="461" w:hanging="288"/>
      </w:pPr>
      <w:r>
        <w:t>성과지표와 설명변수 목록을 정하고 데이터 정의서를 만든다.</w:t>
      </w:r>
    </w:p>
    <w:p>
      <w:pPr>
        <w:pStyle w:val="ListNumber"/>
        <w:spacing w:after="100"/>
        <w:ind w:left="461" w:hanging="288"/>
      </w:pPr>
      <w:r>
        <w:t>교당별 10~20년 시계열 기초자료를 정비한다.</w:t>
      </w:r>
    </w:p>
    <w:p>
      <w:pPr>
        <w:pStyle w:val="ListNumber"/>
        <w:spacing w:after="100"/>
        <w:ind w:left="461" w:hanging="288"/>
      </w:pPr>
      <w:r>
        <w:t>교당을 성장·유지·쇠퇴 유형으로 분류한다.</w:t>
      </w:r>
    </w:p>
    <w:p>
      <w:pPr>
        <w:pStyle w:val="ListNumber"/>
        <w:spacing w:after="100"/>
        <w:ind w:left="461" w:hanging="288"/>
      </w:pPr>
      <w:r>
        <w:t>1인 교당 공동행정과 권역별 청소년 교화 파일럿을 설계한다.</w:t>
      </w:r>
    </w:p>
    <w:p>
      <w:r>
        <w:br w:type="page"/>
      </w:r>
    </w:p>
    <w:p>
      <w:pPr>
        <w:pStyle w:val="Heading1"/>
      </w:pPr>
      <w:r>
        <w:t>1. 최상위 연구 질문</w:t>
      </w:r>
    </w:p>
    <w:p>
      <w:pPr>
        <w:pStyle w:val="ListBullet"/>
        <w:spacing w:after="80"/>
        <w:ind w:left="432" w:hanging="259"/>
      </w:pPr>
      <w:r>
        <w:t>경기·인천 교구의 영세성을 발생시키고 고착시키는 구조는 무엇인가?</w:t>
      </w:r>
    </w:p>
    <w:p>
      <w:pPr>
        <w:pStyle w:val="ListBullet"/>
        <w:spacing w:after="80"/>
        <w:ind w:left="432" w:hanging="259"/>
      </w:pPr>
      <w:r>
        <w:t>제한된 인력·재정·공간을 어떻게 배치해야 교화 효과가 커지는가?</w:t>
      </w:r>
    </w:p>
    <w:p>
      <w:pPr>
        <w:pStyle w:val="ListBullet"/>
        <w:spacing w:after="80"/>
        <w:ind w:left="432" w:hanging="259"/>
      </w:pPr>
      <w:r>
        <w:t>1인 교무 교당이 유지해야 할 최소한의 교화 서비스는 무엇인가?</w:t>
      </w:r>
    </w:p>
    <w:p>
      <w:pPr>
        <w:pStyle w:val="ListBullet"/>
        <w:spacing w:after="80"/>
        <w:ind w:left="432" w:hanging="259"/>
      </w:pPr>
      <w:r>
        <w:t>청소년·청년·가족 교화의 단절은 어디서 발생하는가?</w:t>
      </w:r>
    </w:p>
    <w:p>
      <w:pPr>
        <w:pStyle w:val="ListBullet"/>
        <w:spacing w:after="80"/>
        <w:ind w:left="432" w:hanging="259"/>
      </w:pPr>
      <w:r>
        <w:t>성장·유지·쇠퇴하는 교당은 구조적으로 무엇이 다른가?</w:t>
      </w:r>
    </w:p>
    <w:p>
      <w:pPr>
        <w:pStyle w:val="ListBullet"/>
        <w:spacing w:after="80"/>
        <w:ind w:left="432" w:hanging="259"/>
      </w:pPr>
      <w:r>
        <w:t>교당 통합 외에 공동행정·공동프로그램·권역 연계로 해결할 수 있는 부분은 무엇인가?</w:t>
      </w:r>
    </w:p>
    <w:p>
      <w:pPr>
        <w:pStyle w:val="Heading1"/>
      </w:pPr>
      <w:r>
        <w:t>2. 교당의 성장·쇠퇴 유형 분류</w:t>
      </w:r>
    </w:p>
    <w:p>
      <w:r>
        <w:t>전체 평균만으로는 중요한 차이가 사라지므로, 교당을 변화 경로에 따라 분류하고 대표 사례를 선정한다.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912"/>
      </w:tblGrid>
      <w:tr>
        <w:tc>
          <w:tcPr>
            <w:tcW w:type="dxa" w:w="252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color w:val="FFFFFF"/>
              </w:rPr>
              <w:t>유형</w:t>
            </w:r>
          </w:p>
        </w:tc>
        <w:tc>
          <w:tcPr>
            <w:tcW w:type="dxa" w:w="6912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color w:val="FFFFFF"/>
              </w:rPr>
              <w:t>판별 관점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지속 성장형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장기간 출석·활동 교도가 함께 증가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회복형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하락 이후 뚜렷한 반등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안정 유지형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큰 변동 없이 일정 수준 유지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완만한 쇠퇴형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장기간 점진적 감소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급격한 쇠퇴형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짧은 기간에 출석·활동 급감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사건 이후 급변형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교무 교체, 이전, 신축, 갈등 등 이후 변화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세대 단절형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어린이·학생·청년층이 사라지는 유형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고령 교도 의존형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고령층 출석에 편중된 유형</w:t>
            </w:r>
          </w:p>
        </w:tc>
      </w:tr>
    </w:tbl>
    <w:p>
      <w:pPr>
        <w:pStyle w:val="Heading1"/>
      </w:pPr>
      <w:r>
        <w:t>3. 교화 성과지표 재설계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88"/>
      </w:tblGrid>
      <w:tr>
        <w:tc>
          <w:tcPr>
            <w:tcW w:type="dxa" w:w="1944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color w:val="FFFFFF"/>
              </w:rPr>
              <w:t>영역</w:t>
            </w:r>
          </w:p>
        </w:tc>
        <w:tc>
          <w:tcPr>
            <w:tcW w:type="dxa" w:w="7488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color w:val="FFFFFF"/>
              </w:rPr>
              <w:t>주요 지표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규모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법회 출석, 활동 교도, 입교자, 어린이·학생·청년 출석, 가족 출석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유지·이탈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1·3·5년 유지율, 연령대별 이탈률, 세대 전환율, 교무 교체 전후 변화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질적 활성도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단·회 활동, 훈련, 재가 지도자, 역할 분담, 지역사회 프로그램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효율성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교무 1인당 활동 교도, 재정 대비 성과, 공간 활용률, 행정 대비 교화시간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432"/>
            <w:shd w:fill="FFF5D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color w:val="1F4D78"/>
              </w:rPr>
              <w:t xml:space="preserve">주의  </w:t>
            </w:r>
            <w:r>
              <w:rPr>
                <w:rFonts w:ascii="Malgun Gothic" w:hAnsi="Malgun Gothic" w:eastAsia="맑은 고딕"/>
              </w:rPr>
              <w:t>법회 출석자 수 하나만으로 평가하면 규모가 큰 교당에 유리하다. 규모·유지·질·효율 지표를 함께 사용해야 한다.</w:t>
            </w:r>
          </w:p>
        </w:tc>
      </w:tr>
    </w:tbl>
    <w:p>
      <w:pPr>
        <w:spacing w:after="0"/>
      </w:pPr>
    </w:p>
    <w:p>
      <w:pPr>
        <w:pStyle w:val="Heading1"/>
      </w:pPr>
      <w:r>
        <w:t>4. 1인·2인·3인 교당 효과 재분석</w:t>
      </w:r>
    </w:p>
    <w:p>
      <w:pPr>
        <w:pStyle w:val="ListBullet"/>
        <w:spacing w:after="80"/>
        <w:ind w:left="432" w:hanging="259"/>
      </w:pPr>
      <w:r>
        <w:t>교무가 늘어서 교도가 늘었는가, 교도가 많은 교당에 교무가 추가 배치됐는가?</w:t>
      </w:r>
    </w:p>
    <w:p>
      <w:pPr>
        <w:pStyle w:val="ListBullet"/>
        <w:spacing w:after="80"/>
        <w:ind w:left="432" w:hanging="259"/>
      </w:pPr>
      <w:r>
        <w:t>복수 교무 체제가 성장보다 위기 시 이탈 방지에 효과가 있었는가?</w:t>
      </w:r>
    </w:p>
    <w:p>
      <w:pPr>
        <w:pStyle w:val="ListBullet"/>
        <w:spacing w:after="80"/>
        <w:ind w:left="432" w:hanging="259"/>
      </w:pPr>
      <w:r>
        <w:t>두 번째 교무가 어떤 역할을 맡았을 때 효과가 컸는가?</w:t>
      </w:r>
    </w:p>
    <w:p>
      <w:pPr>
        <w:pStyle w:val="ListBullet"/>
        <w:spacing w:after="80"/>
        <w:ind w:left="432" w:hanging="259"/>
      </w:pPr>
      <w:r>
        <w:t>청소년 담당 인력의 유무가 가족과 전체 출석에 영향을 주었는가?</w:t>
      </w:r>
    </w:p>
    <w:p>
      <w:pPr>
        <w:pStyle w:val="ListBullet"/>
        <w:spacing w:after="80"/>
        <w:ind w:left="432" w:hanging="259"/>
      </w:pPr>
      <w:r>
        <w:t>인력을 추가했지만 성과가 나타나지 않은 교당의 조건은 무엇인가?</w:t>
      </w:r>
    </w:p>
    <w:p>
      <w:r>
        <w:t>가능하면 1인에서 2인으로 전환된 교당의 배치 전후를 분석하고, 조건이 비슷한 1인 교당을 비교군으로 설정한다.</w:t>
      </w:r>
    </w:p>
    <w:p>
      <w:pPr>
        <w:pStyle w:val="Heading1"/>
      </w:pPr>
      <w:r>
        <w:t>5. 1인 교당의 최소 교화 서비스 모델</w:t>
      </w:r>
    </w:p>
    <w:p>
      <w:r>
        <w:t>경기·인천 교구의 높은 1인 교당 비중을 고려하여, 인력 증원만이 아닌 운영모델의 변화를 비교한다.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84"/>
      </w:tblGrid>
      <w:tr>
        <w:tc>
          <w:tcPr>
            <w:tcW w:type="dxa" w:w="2448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color w:val="FFFFFF"/>
              </w:rPr>
              <w:t>운영모델</w:t>
            </w:r>
          </w:p>
        </w:tc>
        <w:tc>
          <w:tcPr>
            <w:tcW w:type="dxa" w:w="6984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color w:val="FFFFFF"/>
              </w:rPr>
              <w:t>핵심 구조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독립운영형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교무 1인이 행정과 교화를 모두 수행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공동행정형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회계·시설·문서 등 일부를 교구가 지원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재가협력형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훈련된 재가 지도자가 단·회와 프로그램을 담당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공동프로그램형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인접 교당이 청소년·훈련 프로그램을 함께 운영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전문인력 순회형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청소년·상담·교육 전문인력이 권역을 순회</w:t>
            </w:r>
          </w:p>
        </w:tc>
      </w:tr>
    </w:tbl>
    <w:p>
      <w:pPr>
        <w:pStyle w:val="Heading1"/>
      </w:pPr>
      <w:r>
        <w:t>6. 청소년 교화 붕괴 요인</w:t>
      </w:r>
    </w:p>
    <w:p>
      <w:pPr>
        <w:pStyle w:val="ListBullet"/>
        <w:spacing w:after="80"/>
        <w:ind w:left="432" w:hanging="259"/>
      </w:pPr>
      <w:r>
        <w:t>청소년 담당 인력 유무와 청소년 법회 유지 여부</w:t>
      </w:r>
    </w:p>
    <w:p>
      <w:pPr>
        <w:pStyle w:val="ListBullet"/>
        <w:spacing w:after="80"/>
        <w:ind w:left="432" w:hanging="259"/>
      </w:pPr>
      <w:r>
        <w:t>담당 인력 감소와 프로그램 수·출석 변화</w:t>
      </w:r>
    </w:p>
    <w:p>
      <w:pPr>
        <w:pStyle w:val="ListBullet"/>
        <w:spacing w:after="80"/>
        <w:ind w:left="432" w:hanging="259"/>
      </w:pPr>
      <w:r>
        <w:t>청소년 출석과 부모 출석의 상호관계</w:t>
      </w:r>
    </w:p>
    <w:p>
      <w:pPr>
        <w:pStyle w:val="ListBullet"/>
        <w:spacing w:after="80"/>
        <w:ind w:left="432" w:hanging="259"/>
      </w:pPr>
      <w:r>
        <w:t>가족 동반 출석과 청소년 장기 유지</w:t>
      </w:r>
    </w:p>
    <w:p>
      <w:pPr>
        <w:pStyle w:val="ListBullet"/>
        <w:spacing w:after="80"/>
        <w:ind w:left="432" w:hanging="259"/>
      </w:pPr>
      <w:r>
        <w:t>어린이→학생→청년 단계별 전환과 이탈</w:t>
      </w:r>
    </w:p>
    <w:p>
      <w:pPr>
        <w:pStyle w:val="ListBullet"/>
        <w:spacing w:after="80"/>
        <w:ind w:left="432" w:hanging="259"/>
      </w:pPr>
      <w:r>
        <w:t>담당자 부재 후 재가 인력이 법회를 이어간 사례</w:t>
      </w:r>
    </w:p>
    <w:p>
      <w:pPr>
        <w:pStyle w:val="Heading1"/>
      </w:pPr>
      <w:r>
        <w:t>7. 가족 교화와 세대 사다리</w:t>
      </w:r>
    </w:p>
    <w:p>
      <w:r>
        <w:t>어린이부터 성인 교도까지의 이동을 추적하되, 단순 이탈과 지역 이동을 구분한다.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88"/>
      </w:tblGrid>
      <w:tr>
        <w:tc>
          <w:tcPr>
            <w:tcW w:type="dxa" w:w="1944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color w:val="FFFFFF"/>
              </w:rPr>
              <w:t>상태</w:t>
            </w:r>
          </w:p>
        </w:tc>
        <w:tc>
          <w:tcPr>
            <w:tcW w:type="dxa" w:w="7488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color w:val="FFFFFF"/>
              </w:rPr>
              <w:t>분석상 구분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지속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같은 교당에서 계속 출석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내부 이동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교구 내 다른 교당으로 이동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외부 이동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다른 교구로 전출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형태 변화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연령대 법회 변경 또는 간헐 출석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이탈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법회·활동에서 확인되지 않음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재유입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가족 또는 다른 경로를 통해 다시 참여</w:t>
            </w:r>
          </w:p>
        </w:tc>
      </w:tr>
    </w:tbl>
    <w:p>
      <w:pPr>
        <w:pStyle w:val="Heading1"/>
      </w:pPr>
      <w:r>
        <w:t>8. 교무 교체와 개인 효과</w:t>
      </w:r>
    </w:p>
    <w:p>
      <w:pPr>
        <w:pStyle w:val="ListBullet"/>
        <w:spacing w:after="80"/>
        <w:ind w:left="432" w:hanging="259"/>
      </w:pPr>
      <w:r>
        <w:t>교무 부임·이임 전후 출석·입교·이탈 변화</w:t>
      </w:r>
    </w:p>
    <w:p>
      <w:pPr>
        <w:pStyle w:val="ListBullet"/>
        <w:spacing w:after="80"/>
        <w:ind w:left="432" w:hanging="259"/>
      </w:pPr>
      <w:r>
        <w:t>교무 이임 후에도 성과가 유지되는지</w:t>
      </w:r>
    </w:p>
    <w:p>
      <w:pPr>
        <w:pStyle w:val="ListBullet"/>
        <w:spacing w:after="80"/>
        <w:ind w:left="432" w:hanging="259"/>
      </w:pPr>
      <w:r>
        <w:t>교무 전문분야와 교당 성과의 관계</w:t>
      </w:r>
    </w:p>
    <w:p>
      <w:pPr>
        <w:pStyle w:val="ListBullet"/>
        <w:spacing w:after="80"/>
        <w:ind w:left="432" w:hanging="259"/>
      </w:pPr>
      <w:r>
        <w:t>재임기간과 성과의 관계</w:t>
      </w:r>
    </w:p>
    <w:p>
      <w:pPr>
        <w:pStyle w:val="ListBullet"/>
        <w:spacing w:after="80"/>
        <w:ind w:left="432" w:hanging="259"/>
      </w:pPr>
      <w:r>
        <w:t>후임자가 기존 시스템을 승계한 정도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432"/>
            <w:shd w:fill="EEF4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color w:val="1F4D78"/>
              </w:rPr>
              <w:t xml:space="preserve">분석 목적  </w:t>
            </w:r>
            <w:r>
              <w:rPr>
                <w:rFonts w:ascii="Malgun Gothic" w:hAnsi="Malgun Gothic" w:eastAsia="맑은 고딕"/>
              </w:rPr>
              <w:t>좋은 교무 개인에게 의존한 성과와 조직 시스템으로 정착된 성과를 구분한다.</w:t>
            </w:r>
          </w:p>
        </w:tc>
      </w:tr>
    </w:tbl>
    <w:p>
      <w:pPr>
        <w:spacing w:after="0"/>
      </w:pPr>
    </w:p>
    <w:p>
      <w:pPr>
        <w:pStyle w:val="Heading1"/>
      </w:pPr>
      <w:r>
        <w:t>9. 성공·실패 교당의 심층 사례 연구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16"/>
        <w:gridCol w:w="4716"/>
      </w:tblGrid>
      <w:tr>
        <w:tc>
          <w:tcPr>
            <w:tcW w:type="dxa" w:w="4716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color w:val="FFFFFF"/>
              </w:rPr>
              <w:t>성공 사례에서 볼 것</w:t>
            </w:r>
          </w:p>
        </w:tc>
        <w:tc>
          <w:tcPr>
            <w:tcW w:type="dxa" w:w="4716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color w:val="FFFFFF"/>
              </w:rPr>
              <w:t>실패 사례에서 볼 것</w:t>
            </w:r>
          </w:p>
        </w:tc>
      </w:tr>
      <w:tr>
        <w:tc>
          <w:tcPr>
            <w:tcW w:type="dxa" w:w="47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성장 전환점</w:t>
            </w:r>
          </w:p>
        </w:tc>
        <w:tc>
          <w:tcPr>
            <w:tcW w:type="dxa" w:w="47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신축·이전 중 이탈</w:t>
            </w:r>
          </w:p>
        </w:tc>
      </w:tr>
      <w:tr>
        <w:tc>
          <w:tcPr>
            <w:tcW w:type="dxa" w:w="47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핵심 인물과 조직구조</w:t>
            </w:r>
          </w:p>
        </w:tc>
        <w:tc>
          <w:tcPr>
            <w:tcW w:type="dxa" w:w="47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갈등과 분열의 지속</w:t>
            </w:r>
          </w:p>
        </w:tc>
      </w:tr>
      <w:tr>
        <w:tc>
          <w:tcPr>
            <w:tcW w:type="dxa" w:w="47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지역사회 연결</w:t>
            </w:r>
          </w:p>
        </w:tc>
        <w:tc>
          <w:tcPr>
            <w:tcW w:type="dxa" w:w="47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교무·교도 관계 단절</w:t>
            </w:r>
          </w:p>
        </w:tc>
      </w:tr>
      <w:tr>
        <w:tc>
          <w:tcPr>
            <w:tcW w:type="dxa" w:w="47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재가 지도자의 역할</w:t>
            </w:r>
          </w:p>
        </w:tc>
        <w:tc>
          <w:tcPr>
            <w:tcW w:type="dxa" w:w="47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통합·합병 지연</w:t>
            </w:r>
          </w:p>
        </w:tc>
      </w:tr>
      <w:tr>
        <w:tc>
          <w:tcPr>
            <w:tcW w:type="dxa" w:w="47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교무 교체 후 지속성</w:t>
            </w:r>
          </w:p>
        </w:tc>
        <w:tc>
          <w:tcPr>
            <w:tcW w:type="dxa" w:w="47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청소년 법회 중단</w:t>
            </w:r>
          </w:p>
        </w:tc>
      </w:tr>
      <w:tr>
        <w:tc>
          <w:tcPr>
            <w:tcW w:type="dxa" w:w="47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가족·청소년 프로그램</w:t>
            </w:r>
          </w:p>
        </w:tc>
        <w:tc>
          <w:tcPr>
            <w:tcW w:type="dxa" w:w="47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규모 대비 과도한 시설비</w:t>
            </w:r>
          </w:p>
        </w:tc>
      </w:tr>
    </w:tbl>
    <w:p>
      <w:pPr>
        <w:pStyle w:val="Heading1"/>
      </w:pPr>
      <w:r>
        <w:t>10. 지역·생활권 분석</w:t>
      </w:r>
    </w:p>
    <w:p>
      <w:r>
        <w:t>경기·인천은 권역이 넓으므로 행정구역과 실제 생활권을 구분한다.</w:t>
      </w:r>
    </w:p>
    <w:p>
      <w:pPr>
        <w:pStyle w:val="ListBullet"/>
        <w:spacing w:after="80"/>
        <w:ind w:left="432" w:hanging="259"/>
      </w:pPr>
      <w:r>
        <w:t>교도 거주지와 교당 이동거리</w:t>
      </w:r>
    </w:p>
    <w:p>
      <w:pPr>
        <w:pStyle w:val="ListBullet"/>
        <w:spacing w:after="80"/>
        <w:ind w:left="432" w:hanging="259"/>
      </w:pPr>
      <w:r>
        <w:t>자동차·대중교통 이동시간과 15·30·45분 접근권</w:t>
      </w:r>
    </w:p>
    <w:p>
      <w:pPr>
        <w:pStyle w:val="ListBullet"/>
        <w:spacing w:after="80"/>
        <w:ind w:left="432" w:hanging="259"/>
      </w:pPr>
      <w:r>
        <w:t>지역별 연령·가구 구성과 생활인구</w:t>
      </w:r>
    </w:p>
    <w:p>
      <w:pPr>
        <w:pStyle w:val="ListBullet"/>
        <w:spacing w:after="80"/>
        <w:ind w:left="432" w:hanging="259"/>
      </w:pPr>
      <w:r>
        <w:t>아파트 입주·신도시 개발</w:t>
      </w:r>
    </w:p>
    <w:p>
      <w:pPr>
        <w:pStyle w:val="ListBullet"/>
        <w:spacing w:after="80"/>
        <w:ind w:left="432" w:hanging="259"/>
      </w:pPr>
      <w:r>
        <w:t>학교·대학·산업단지 위치</w:t>
      </w:r>
    </w:p>
    <w:p>
      <w:pPr>
        <w:pStyle w:val="ListBullet"/>
        <w:spacing w:after="80"/>
        <w:ind w:left="432" w:hanging="259"/>
      </w:pPr>
      <w:r>
        <w:t>종교·복지·문화시설 분포</w:t>
      </w:r>
    </w:p>
    <w:p>
      <w:pPr>
        <w:pStyle w:val="Heading1"/>
      </w:pPr>
      <w:r>
        <w:t>11. 재정·공간·행정 효율</w:t>
      </w:r>
    </w:p>
    <w:p>
      <w:pPr>
        <w:pStyle w:val="ListBullet"/>
        <w:spacing w:after="80"/>
        <w:ind w:left="432" w:hanging="259"/>
      </w:pPr>
      <w:r>
        <w:t>전기·가스·보험·통신·수선비 공동계약</w:t>
      </w:r>
    </w:p>
    <w:p>
      <w:pPr>
        <w:pStyle w:val="ListBullet"/>
        <w:spacing w:after="80"/>
        <w:ind w:left="432" w:hanging="259"/>
      </w:pPr>
      <w:r>
        <w:t>유휴·과잉공간과 실제 사용률</w:t>
      </w:r>
    </w:p>
    <w:p>
      <w:pPr>
        <w:pStyle w:val="ListBullet"/>
        <w:spacing w:after="80"/>
        <w:ind w:left="432" w:hanging="259"/>
      </w:pPr>
      <w:r>
        <w:t>교당별 중복 행정업무</w:t>
      </w:r>
    </w:p>
    <w:p>
      <w:pPr>
        <w:pStyle w:val="ListBullet"/>
        <w:spacing w:after="80"/>
        <w:ind w:left="432" w:hanging="259"/>
      </w:pPr>
      <w:r>
        <w:t>교구 공동회계·공동구매</w:t>
      </w:r>
    </w:p>
    <w:p>
      <w:pPr>
        <w:pStyle w:val="ListBullet"/>
        <w:spacing w:after="80"/>
        <w:ind w:left="432" w:hanging="259"/>
      </w:pPr>
      <w:r>
        <w:t>지역사회 공간개방 효과</w:t>
      </w:r>
    </w:p>
    <w:p>
      <w:pPr>
        <w:pStyle w:val="ListBullet"/>
        <w:spacing w:after="80"/>
        <w:ind w:left="432" w:hanging="259"/>
      </w:pPr>
      <w:r>
        <w:t>절감 자원의 교화·인력지원 재투입</w:t>
      </w:r>
    </w:p>
    <w:p>
      <w:pPr>
        <w:pStyle w:val="Heading1"/>
      </w:pPr>
      <w:r>
        <w:t>12. 통합 전 단계의 ‘느슨한 연계’</w:t>
      </w:r>
    </w:p>
    <w:p>
      <w:pPr>
        <w:pStyle w:val="ListNumber"/>
        <w:spacing w:after="100"/>
        <w:ind w:left="461" w:hanging="288"/>
      </w:pPr>
      <w:r>
        <w:t>공동행정</w:t>
      </w:r>
    </w:p>
    <w:p>
      <w:pPr>
        <w:pStyle w:val="ListNumber"/>
        <w:spacing w:after="100"/>
        <w:ind w:left="461" w:hanging="288"/>
      </w:pPr>
      <w:r>
        <w:t>공동구매·공동계약</w:t>
      </w:r>
    </w:p>
    <w:p>
      <w:pPr>
        <w:pStyle w:val="ListNumber"/>
        <w:spacing w:after="100"/>
        <w:ind w:left="461" w:hanging="288"/>
      </w:pPr>
      <w:r>
        <w:t>공동 청소년 프로그램</w:t>
      </w:r>
    </w:p>
    <w:p>
      <w:pPr>
        <w:pStyle w:val="ListNumber"/>
        <w:spacing w:after="100"/>
        <w:ind w:left="461" w:hanging="288"/>
      </w:pPr>
      <w:r>
        <w:t>공동 훈련·문화 프로그램</w:t>
      </w:r>
    </w:p>
    <w:p>
      <w:pPr>
        <w:pStyle w:val="ListNumber"/>
        <w:spacing w:after="100"/>
        <w:ind w:left="461" w:hanging="288"/>
      </w:pPr>
      <w:r>
        <w:t>전문 교무의 권역 순회</w:t>
      </w:r>
    </w:p>
    <w:p>
      <w:pPr>
        <w:pStyle w:val="ListNumber"/>
        <w:spacing w:after="100"/>
        <w:ind w:left="461" w:hanging="288"/>
      </w:pPr>
      <w:r>
        <w:t>온라인 법회·교육 콘텐츠 공동제작</w:t>
      </w:r>
    </w:p>
    <w:p>
      <w:pPr>
        <w:pStyle w:val="ListNumber"/>
        <w:spacing w:after="100"/>
        <w:ind w:left="461" w:hanging="288"/>
      </w:pPr>
      <w:r>
        <w:t>교도·시설 공유</w:t>
      </w:r>
    </w:p>
    <w:p>
      <w:pPr>
        <w:pStyle w:val="ListNumber"/>
        <w:spacing w:after="100"/>
        <w:ind w:left="461" w:hanging="288"/>
      </w:pPr>
      <w:r>
        <w:t>성과가 확인된 지역의 조직 통합 검토</w:t>
      </w:r>
    </w:p>
    <w:p>
      <w:pPr>
        <w:pStyle w:val="Heading1"/>
      </w:pPr>
      <w:r>
        <w:t>13. 분석 방법의 단계화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7776"/>
      </w:tblGrid>
      <w:tr>
        <w:tc>
          <w:tcPr>
            <w:tcW w:type="dxa" w:w="1656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color w:val="FFFFFF"/>
              </w:rPr>
              <w:t>단계</w:t>
            </w:r>
          </w:p>
        </w:tc>
        <w:tc>
          <w:tcPr>
            <w:tcW w:type="dxa" w:w="7776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1단계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데이터 품질·누락·정의 확인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2단계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교당별 기초통계와 시계열 시각화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3단계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성장·유지·쇠퇴 유형 분류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4단계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결과지표와 관련 변수 탐색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5단계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교당 내 변화와 교당 간 차이를 분리하는 다층분석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6단계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시간적 선후를 보는 교차지연 분석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7단계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가족·청소년·교무 배치의 경로를 보는 구조방정식 분석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8단계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대표 성공·실패 사례의 질적 연구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9단계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통계와 사례를 결합한 인과 가설 수립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10단계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파일럿 실험과 사후 평가</w:t>
            </w:r>
          </w:p>
        </w:tc>
      </w:tr>
    </w:tbl>
    <w:p>
      <w:pPr>
        <w:pStyle w:val="Heading1"/>
      </w:pPr>
      <w:r>
        <w:t>14. 우선 파일럿 실험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520"/>
        <w:gridCol w:w="5688"/>
      </w:tblGrid>
      <w:tr>
        <w:tc>
          <w:tcPr>
            <w:tcW w:type="dxa" w:w="1224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color w:val="FFFFFF"/>
              </w:rPr>
              <w:t>우선순위</w:t>
            </w:r>
          </w:p>
        </w:tc>
        <w:tc>
          <w:tcPr>
            <w:tcW w:type="dxa" w:w="252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color w:val="FFFFFF"/>
              </w:rPr>
              <w:t>실험</w:t>
            </w:r>
          </w:p>
        </w:tc>
        <w:tc>
          <w:tcPr>
            <w:tcW w:type="dxa" w:w="5688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color w:val="FFFFFF"/>
              </w:rPr>
              <w:t>평가 방향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1순위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1인 교당 공동행정</w:t>
            </w:r>
          </w:p>
        </w:tc>
        <w:tc>
          <w:tcPr>
            <w:tcW w:type="dxa" w:w="56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유사 교당 3~5곳에 행정지원 제공 후 교화시간·프로그램·출석 변화 측정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2순위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권역별 청소년 공동교화</w:t>
            </w:r>
          </w:p>
        </w:tc>
        <w:tc>
          <w:tcPr>
            <w:tcW w:type="dxa" w:w="56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인접 교당을 묶어 전문인력·공동프로그램을 제공하고 유지율 비교</w:t>
            </w:r>
          </w:p>
        </w:tc>
      </w:tr>
      <w:t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3순위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가족 교화 개입</w:t>
            </w:r>
          </w:p>
        </w:tc>
        <w:tc>
          <w:tcPr>
            <w:tcW w:type="dxa" w:w="56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부모·자녀 프로그램을 결합하고 동반 출석·재참여율 측정</w:t>
            </w:r>
          </w:p>
        </w:tc>
      </w:tr>
    </w:tbl>
    <w:p>
      <w:pPr>
        <w:pStyle w:val="Heading1"/>
      </w:pPr>
      <w:r>
        <w:t>15. 데이터 윤리·보안체계</w:t>
      </w:r>
    </w:p>
    <w:p>
      <w:pPr>
        <w:pStyle w:val="ListBullet"/>
        <w:spacing w:after="80"/>
        <w:ind w:left="432" w:hanging="259"/>
      </w:pPr>
      <w:r>
        <w:t>분석 목적과 허용 범위를 문서화한다.</w:t>
      </w:r>
    </w:p>
    <w:p>
      <w:pPr>
        <w:pStyle w:val="ListBullet"/>
        <w:spacing w:after="80"/>
        <w:ind w:left="432" w:hanging="259"/>
      </w:pPr>
      <w:r>
        <w:t>접근 담당자와 권한을 최소화한다.</w:t>
      </w:r>
    </w:p>
    <w:p>
      <w:pPr>
        <w:pStyle w:val="ListBullet"/>
        <w:spacing w:after="80"/>
        <w:ind w:left="432" w:hanging="259"/>
      </w:pPr>
      <w:r>
        <w:t>이름·법명·주소 등 식별정보를 가명처리한다.</w:t>
      </w:r>
    </w:p>
    <w:p>
      <w:pPr>
        <w:pStyle w:val="ListBullet"/>
        <w:spacing w:after="80"/>
        <w:ind w:left="432" w:hanging="259"/>
      </w:pPr>
      <w:r>
        <w:t>AI가 접근할 폴더 범위를 제한한다.</w:t>
      </w:r>
    </w:p>
    <w:p>
      <w:pPr>
        <w:pStyle w:val="ListBullet"/>
        <w:spacing w:after="80"/>
        <w:ind w:left="432" w:hanging="259"/>
      </w:pPr>
      <w:r>
        <w:t>원자료와 분석본을 분리 보관한다.</w:t>
      </w:r>
    </w:p>
    <w:p>
      <w:pPr>
        <w:pStyle w:val="ListBullet"/>
        <w:spacing w:after="80"/>
        <w:ind w:left="432" w:hanging="259"/>
      </w:pPr>
      <w:r>
        <w:t>다운로드·수정·입력 기록을 남긴다.</w:t>
      </w:r>
    </w:p>
    <w:p>
      <w:pPr>
        <w:pStyle w:val="ListBullet"/>
        <w:spacing w:after="80"/>
        <w:ind w:left="432" w:hanging="259"/>
      </w:pPr>
      <w:r>
        <w:t>크롤링·자동입력의 내부 규정 적합성을 확인한다.</w:t>
      </w:r>
    </w:p>
    <w:p>
      <w:pPr>
        <w:pStyle w:val="ListBullet"/>
        <w:spacing w:after="80"/>
        <w:ind w:left="432" w:hanging="259"/>
      </w:pPr>
      <w:r>
        <w:t>공개 보고서에서 소수집단 재식별을 방지한다.</w:t>
      </w:r>
    </w:p>
    <w:p>
      <w:pPr>
        <w:pStyle w:val="ListBullet"/>
        <w:spacing w:after="80"/>
        <w:ind w:left="432" w:hanging="259"/>
      </w:pPr>
      <w:r>
        <w:t>AI 분석 결과는 사람이 검토하고 승인한다.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432"/>
            <w:shd w:fill="FDECE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color w:val="1F4D78"/>
              </w:rPr>
              <w:t xml:space="preserve">필수 구분  </w:t>
            </w:r>
            <w:r>
              <w:rPr>
                <w:rFonts w:ascii="Malgun Gothic" w:hAnsi="Malgun Gothic" w:eastAsia="맑은 고딕"/>
              </w:rPr>
              <w:t>기술적으로 가능하다는 것과 조직 규정상 허용된다는 것은 별개의 문제다.</w:t>
            </w:r>
          </w:p>
        </w:tc>
      </w:tr>
    </w:tbl>
    <w:p>
      <w:pPr>
        <w:spacing w:after="0"/>
      </w:pPr>
    </w:p>
    <w:p>
      <w:pPr>
        <w:pStyle w:val="Heading1"/>
      </w:pPr>
      <w:r>
        <w:t>16. 권장 실행 로드맵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656"/>
        <w:gridCol w:w="6192"/>
      </w:tblGrid>
      <w:tr>
        <w:tc>
          <w:tcPr>
            <w:tcW w:type="dxa" w:w="1584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color w:val="FFFFFF"/>
              </w:rPr>
              <w:t>구간</w:t>
            </w:r>
          </w:p>
        </w:tc>
        <w:tc>
          <w:tcPr>
            <w:tcW w:type="dxa" w:w="1656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color w:val="FFFFFF"/>
              </w:rPr>
              <w:t>예상 기간</w:t>
            </w:r>
          </w:p>
        </w:tc>
        <w:tc>
          <w:tcPr>
            <w:tcW w:type="dxa" w:w="6192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color w:val="FFFFFF"/>
              </w:rPr>
              <w:t>주요 산출물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준비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1~2개월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질문 확정, 데이터 정의서, 권한·보안 검토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기초진단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2~3개월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시계열 정비, 교당 유형 분류, 핵심 지표 대시보드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심층분석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3~4개월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다층·경로 분석, 성공·실패 사례 조사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실험설계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1~2개월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대상 교당 선정, 지표·비교조건·기간 확정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파일럿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6~12개월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공동행정·청소년·가족 교화 실험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평가·확산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2개월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</w:rPr>
              <w:t>성과평가, 수정, 확산 또는 중단 결정</w:t>
            </w:r>
          </w:p>
        </w:tc>
      </w:tr>
    </w:tbl>
    <w:p>
      <w:pPr>
        <w:pStyle w:val="Heading1"/>
      </w:pPr>
      <w:r>
        <w:t>맺음말</w:t>
      </w:r>
    </w:p>
    <w:p>
      <w:r>
        <w:t>가장 중요한 것은 복잡한 분석기법을 먼저 선택하는 것이 아니라, 무엇을 바꾸기 위해 분석하는지를 확정하는 것이다. 분석 결과가 구체적인 실험과 정책 선택으로 이어지지 않으면 보고서가 축적되어도 교화 구조는 달라지지 않는다.</w:t>
      </w:r>
    </w:p>
    <w:sectPr w:rsidR="00FC693F" w:rsidRPr="0006063C" w:rsidSect="00034616">
      <w:footerReference w:type="default" r:id="rId9"/>
      <w:pgSz w:w="12240" w:h="15840"/>
      <w:pgMar w:top="1181" w:right="1296" w:bottom="1123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맑은 고딕"/>
        <w:color w:val="6E7680"/>
        <w:sz w:val="16"/>
      </w:rPr>
      <w:t xml:space="preserve">경기·인천 교구 교화 데이터 분석 방향성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algun Gothic" w:hAnsi="Malgun Gothic" w:eastAsia="맑은 고딕"/>
      <w:color w:val="262B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0B254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400"/>
    </w:pPr>
    <w:rPr>
      <w:rFonts w:asciiTheme="majorHAnsi" w:eastAsiaTheme="majorEastAsia" w:hAnsiTheme="majorHAnsi" w:cstheme="majorBidi" w:ascii="Malgun Gothic" w:hAnsi="Malgun Gothic" w:eastAsia="맑은 고딕"/>
      <w:b w:val="0"/>
      <w:i/>
      <w:iCs/>
      <w:color w:val="59657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경기·인천 교구 교화 데이터 분석 방향성</dc:title>
  <dc:subject>교화 데이터 연구·실행 로드맵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