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Malgun Gothic" w:cs="Malgun Gothic" w:eastAsia="Malgun Gothic" w:hAnsi="Malgun Gothic"/>
          <w:b/>
          <w:bCs/>
          <w:color w:val="C9A227"/>
          <w:sz w:val="22"/>
          <w:szCs w:val="22"/>
        </w:rPr>
        <w:t xml:space="preserve">원불교 경기인천교구</w:t>
      </w:r>
    </w:p>
    <w:p>
      <w:pPr>
        <w:spacing w:after="60"/>
        <w:jc w:val="center"/>
      </w:pPr>
      <w:r>
        <w:rPr>
          <w:rFonts w:ascii="Malgun Gothic" w:cs="Malgun Gothic" w:eastAsia="Malgun Gothic" w:hAnsi="Malgun Gothic"/>
          <w:b/>
          <w:bCs/>
          <w:color w:val="1F3A5F"/>
          <w:sz w:val="40"/>
          <w:szCs w:val="40"/>
        </w:rPr>
        <w:t xml:space="preserve">법회 참석 현황 분석 보고서</w:t>
      </w:r>
    </w:p>
    <w:p>
      <w:pPr>
        <w:pBdr>
          <w:bottom w:val="single" w:color="C9A227" w:sz="6" w:space="8"/>
        </w:pBdr>
        <w:spacing w:after="40"/>
        <w:jc w:val="center"/>
      </w:pPr>
      <w:r>
        <w:rPr>
          <w:rFonts w:ascii="Malgun Gothic" w:cs="Malgun Gothic" w:eastAsia="Malgun Gothic" w:hAnsi="Malgun Gothic"/>
          <w:color w:val="555555"/>
          <w:sz w:val="20"/>
          <w:szCs w:val="20"/>
        </w:rPr>
        <w:t xml:space="preserve">2015 – 2025 (원기 100 – 110년) · 47개 교당 · 법회 43,038건</w:t>
      </w:r>
    </w:p>
    <w:p>
      <w:pPr>
        <w:spacing w:after="40" w:before="120"/>
        <w:jc w:val="center"/>
      </w:pPr>
      <w:r>
        <w:rPr>
          <w:rFonts w:ascii="Malgun Gothic" w:cs="Malgun Gothic" w:eastAsia="Malgun Gothic" w:hAnsi="Malgun Gothic"/>
          <w:i/>
          <w:iCs/>
          <w:color w:val="888888"/>
          <w:sz w:val="16"/>
          <w:szCs w:val="16"/>
        </w:rPr>
        <w:t xml:space="preserve">작성일 2026-07-09 · 자료: 교역자광장 법회목록</w:t>
      </w:r>
    </w:p>
    <w:p>
      <w:pPr>
        <w:pStyle w:val="Heading1"/>
        <w:spacing w:after="140" w:before="280"/>
      </w:pPr>
      <w:r>
        <w:rPr>
          <w:rFonts w:ascii="Malgun Gothic" w:cs="Malgun Gothic" w:eastAsia="Malgun Gothic" w:hAnsi="Malgun Gothic"/>
          <w:b/>
          <w:bCs/>
          <w:color w:val="1F3A5F"/>
          <w:sz w:val="28"/>
          <w:szCs w:val="28"/>
        </w:rPr>
        <w:t xml:space="preserve">1. 개요</w:t>
      </w:r>
    </w:p>
    <w:p>
      <w:pPr>
        <w:spacing w:after="120" w:line="300"/>
      </w:pPr>
      <w:r>
        <w:rPr>
          <w:rFonts w:ascii="Malgun Gothic" w:cs="Malgun Gothic" w:eastAsia="Malgun Gothic" w:hAnsi="Malgun Gothic"/>
          <w:sz w:val="20"/>
          <w:szCs w:val="20"/>
        </w:rPr>
        <w:t xml:space="preserve">본 보고서는 원불교 경기인천교구 소속 교당의 법회 참석 데이터를 바탕으로, 2015년부터 2025년(원기 100~110년)까지 11년간의 법회 개최 및 참석 현황을 분석한 것이다. 교역자광장 시스템에서 수집한 법회목록 원자료를 정제하여, 교당별·연도별·법회구분별로 참석 규모와 구성, 추세를 살펴본다.</w:t>
      </w:r>
    </w:p>
    <w:p>
      <w:pPr>
        <w:spacing w:after="120" w:line="300"/>
      </w:pPr>
      <w:r>
        <w:rPr>
          <w:rFonts w:ascii="Malgun Gothic" w:cs="Malgun Gothic" w:eastAsia="Malgun Gothic" w:hAnsi="Malgun Gothic"/>
          <w:b/>
          <w:bCs/>
          <w:sz w:val="20"/>
          <w:szCs w:val="20"/>
        </w:rPr>
        <w:t xml:space="preserve">분석 범위 및 제외 항목  </w:t>
      </w:r>
      <w:r>
        <w:rPr>
          <w:rFonts w:ascii="Malgun Gothic" w:cs="Malgun Gothic" w:eastAsia="Malgun Gothic" w:hAnsi="Malgun Gothic"/>
          <w:sz w:val="20"/>
          <w:szCs w:val="20"/>
        </w:rPr>
        <w:t xml:space="preserve">원자료 17개 열 중 사용자 요청에 따라 교당코드(A)·법회종류 조회태그(E)·법회주차/번호(F)·법회종류 세부(H)·법회일자(I)의 5개 열을 분석에서 제외하였다. 분석은 교당명·연도·법회구분과 참석 인원(교도·신도·전무출신, 성별) 열을 대상으로 한다.</w:t>
      </w:r>
    </w:p>
    <w:p>
      <w:pPr>
        <w:pStyle w:val="Heading1"/>
        <w:spacing w:after="140" w:before="280"/>
      </w:pPr>
      <w:r>
        <w:rPr>
          <w:rFonts w:ascii="Malgun Gothic" w:cs="Malgun Gothic" w:eastAsia="Malgun Gothic" w:hAnsi="Malgun Gothic"/>
          <w:b/>
          <w:bCs/>
          <w:color w:val="1F3A5F"/>
          <w:sz w:val="28"/>
          <w:szCs w:val="28"/>
        </w:rPr>
        <w:t xml:space="preserve">2. 분석 방법 및 데이터 정제</w:t>
      </w:r>
    </w:p>
    <w:p>
      <w:pPr>
        <w:spacing w:after="120" w:line="300"/>
      </w:pPr>
      <w:r>
        <w:rPr>
          <w:rFonts w:ascii="Malgun Gothic" w:cs="Malgun Gothic" w:eastAsia="Malgun Gothic" w:hAnsi="Malgun Gothic"/>
          <w:sz w:val="20"/>
          <w:szCs w:val="20"/>
        </w:rPr>
        <w:t xml:space="preserve">원자료 49,085행에는 실제 법회 기록 외에 구분별 합계행, 표 중간 머리글행(‘번호/교당/법회종류…’, ‘남/여…’), 그리고 ‘해당하는 법회 목록을 찾을 수 없습니다’ 안내행이 섞여 있었다. 법회일자가 원기 날짜형식(예: 100.03.29)인 행만을 유효한 개별 법회로 간주하여 추출한 결과 43,038건이 남았고, 참석 인원 열은 정수로 변환하여 집계하였다.</w:t>
      </w:r>
    </w:p>
    <w:p>
      <w:pPr>
        <w:spacing w:after="120" w:line="300"/>
      </w:pPr>
      <w:r>
        <w:rPr>
          <w:rFonts w:ascii="Malgun Gothic" w:cs="Malgun Gothic" w:eastAsia="Malgun Gothic" w:hAnsi="Malgun Gothic"/>
          <w:b/>
          <w:bCs/>
          <w:sz w:val="20"/>
          <w:szCs w:val="20"/>
        </w:rPr>
        <w:t xml:space="preserve">중요한 전제  </w:t>
      </w:r>
      <w:r>
        <w:rPr>
          <w:rFonts w:ascii="Malgun Gothic" w:cs="Malgun Gothic" w:eastAsia="Malgun Gothic" w:hAnsi="Malgun Gothic"/>
          <w:sz w:val="20"/>
          <w:szCs w:val="20"/>
        </w:rPr>
        <w:t xml:space="preserve">수집 대상이 법회방법 ‘교당(대면)’으로 한정되어 있어, 코로나 시기에 늘어난 화상·영상 법회는 포함되지 않는다. 따라서 2020~2021년의 감소폭에는 실제 참여 위축과 더불어 ‘온라인 전환분 미집계’가 함께 반영되어 있음에 유의해야 한다. 또한 참석 수치는 중복을 포함한 연인원(延人員)이며 순인원이 아니다.</w:t>
      </w:r>
    </w:p>
    <w:p>
      <w:pPr>
        <w:pStyle w:val="Heading1"/>
        <w:spacing w:after="140" w:before="280"/>
      </w:pPr>
      <w:r>
        <w:rPr>
          <w:rFonts w:ascii="Malgun Gothic" w:cs="Malgun Gothic" w:eastAsia="Malgun Gothic" w:hAnsi="Malgun Gothic"/>
          <w:b/>
          <w:bCs/>
          <w:color w:val="1F3A5F"/>
          <w:sz w:val="28"/>
          <w:szCs w:val="28"/>
        </w:rPr>
        <w:t xml:space="preserve">3. 전체 요약</w:t>
      </w:r>
    </w:p>
    <w:p>
      <w:pPr>
        <w:pStyle w:val="ListParagraph"/>
        <w:numPr>
          <w:ilvl w:val="0"/>
          <w:numId w:val="1"/>
        </w:numPr>
        <w:spacing w:after="80" w:line="290"/>
      </w:pPr>
      <w:r>
        <w:rPr>
          <w:rFonts w:ascii="Malgun Gothic" w:cs="Malgun Gothic" w:eastAsia="Malgun Gothic" w:hAnsi="Malgun Gothic"/>
          <w:sz w:val="20"/>
          <w:szCs w:val="20"/>
        </w:rPr>
        <w:t xml:space="preserve">총 법회 43,038건, 누적 참석 연인원 1,001,956명 — 연평균 약 91,000명.</w:t>
      </w:r>
    </w:p>
    <w:p>
      <w:pPr>
        <w:pStyle w:val="ListParagraph"/>
        <w:numPr>
          <w:ilvl w:val="0"/>
          <w:numId w:val="1"/>
        </w:numPr>
        <w:spacing w:after="80" w:line="290"/>
      </w:pPr>
      <w:r>
        <w:rPr>
          <w:rFonts w:ascii="Malgun Gothic" w:cs="Malgun Gothic" w:eastAsia="Malgun Gothic" w:hAnsi="Malgun Gothic"/>
          <w:sz w:val="20"/>
          <w:szCs w:val="20"/>
        </w:rPr>
        <w:t xml:space="preserve">참석자 구성: 교도 89.1%, 신도 8.4%, 전무출신 2.5% — 교도 중심 구조.</w:t>
      </w:r>
    </w:p>
    <w:p>
      <w:pPr>
        <w:pStyle w:val="ListParagraph"/>
        <w:numPr>
          <w:ilvl w:val="0"/>
          <w:numId w:val="1"/>
        </w:numPr>
        <w:spacing w:after="80" w:line="290"/>
      </w:pPr>
      <w:r>
        <w:rPr>
          <w:rFonts w:ascii="Malgun Gothic" w:cs="Malgun Gothic" w:eastAsia="Malgun Gothic" w:hAnsi="Malgun Gothic"/>
          <w:sz w:val="20"/>
          <w:szCs w:val="20"/>
        </w:rPr>
        <w:t xml:space="preserve">성별: 여성 62.9% : 남성 37.1% (약 1.69 : 1)로 여성 참여가 지속 우위.</w:t>
      </w:r>
    </w:p>
    <w:p>
      <w:pPr>
        <w:pStyle w:val="ListParagraph"/>
        <w:numPr>
          <w:ilvl w:val="0"/>
          <w:numId w:val="1"/>
        </w:numPr>
        <w:spacing w:after="80" w:line="290"/>
      </w:pPr>
      <w:r>
        <w:rPr>
          <w:rFonts w:ascii="Malgun Gothic" w:cs="Malgun Gothic" w:eastAsia="Malgun Gothic" w:hAnsi="Malgun Gothic"/>
          <w:sz w:val="20"/>
          <w:szCs w:val="20"/>
        </w:rPr>
        <w:t xml:space="preserve">법회구분별로는 정례법회가 참석의 81.7%를 차지하는 핵심 축이며, 4축2재는 건당 참석(39명)이 가장 높은 대형 재일(齋日) 성격.</w:t>
      </w:r>
    </w:p>
    <w:p>
      <w:pPr>
        <w:pStyle w:val="ListParagraph"/>
        <w:numPr>
          <w:ilvl w:val="0"/>
          <w:numId w:val="1"/>
        </w:numPr>
        <w:spacing w:after="80" w:line="290"/>
      </w:pPr>
      <w:r>
        <w:rPr>
          <w:rFonts w:ascii="Malgun Gothic" w:cs="Malgun Gothic" w:eastAsia="Malgun Gothic" w:hAnsi="Malgun Gothic"/>
          <w:sz w:val="20"/>
          <w:szCs w:val="20"/>
        </w:rPr>
        <w:t xml:space="preserve">교당 간 편차가 매우 커, 분당·수원 2개 교당이 전체 참석의 약 22%를 차지.</w:t>
      </w:r>
    </w:p>
    <w:p>
      <w:pPr>
        <w:pStyle w:val="Heading1"/>
        <w:spacing w:after="140" w:before="280"/>
      </w:pPr>
      <w:r>
        <w:rPr>
          <w:rFonts w:ascii="Malgun Gothic" w:cs="Malgun Gothic" w:eastAsia="Malgun Gothic" w:hAnsi="Malgun Gothic"/>
          <w:b/>
          <w:bCs/>
          <w:color w:val="1F3A5F"/>
          <w:sz w:val="28"/>
          <w:szCs w:val="28"/>
        </w:rPr>
        <w:t xml:space="preserve">4. 연도별 추이</w:t>
      </w:r>
    </w:p>
    <w:p>
      <w:pPr>
        <w:spacing w:after="120" w:before="80"/>
        <w:jc w:val="center"/>
      </w:pPr>
      <w:r>
        <w:drawing>
          <wp:inline distT="0" distB="0" distL="0" distR="0">
            <wp:extent cx="5143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705100"/>
                    </a:xfrm>
                    <a:prstGeom prst="rect">
                      <a:avLst/>
                    </a:prstGeom>
                  </pic:spPr>
                </pic:pic>
              </a:graphicData>
            </a:graphic>
          </wp:inline>
        </w:drawing>
      </w:r>
    </w:p>
    <w:p>
      <w:pPr>
        <w:spacing w:after="120" w:line="300"/>
      </w:pPr>
      <w:r>
        <w:rPr>
          <w:rFonts w:ascii="Malgun Gothic" w:cs="Malgun Gothic" w:eastAsia="Malgun Gothic" w:hAnsi="Malgun Gothic"/>
          <w:sz w:val="20"/>
          <w:szCs w:val="20"/>
        </w:rPr>
        <w:t xml:space="preserve">2017년(112,522명)을 정점으로 완만한 하락세를 보이던 참석은 2020년 코로나19로 급감(전년 대비 −40.7%, 법회 건수도 4,064건→2,234건으로 반감)하였다. 이후 매년 회복하여 2025년 91,378명에 이르렀으나, 이는 코로나 직전인 2019년의 93.1%, 2017년 정점의 81% 수준으로 아직 예전 규모를 완전히 회복하지는 못했다.</w:t>
      </w:r>
    </w:p>
    <w:tbl>
      <w:tblPr>
        <w:tblW w:type="dxa" w:w="9000"/>
        <w:tblBorders>
          <w:top w:val="single" w:color="AAB2BD" w:sz="2"/>
          <w:left w:val="single" w:color="AAB2BD" w:sz="2"/>
          <w:bottom w:val="single" w:color="AAB2BD" w:sz="2"/>
          <w:right w:val="single" w:color="AAB2BD" w:sz="2"/>
          <w:insideH w:val="single" w:color="D5DAE0" w:sz="1"/>
          <w:insideV w:val="single" w:color="D5DAE0" w:sz="1"/>
        </w:tblBorders>
      </w:tblPr>
      <w:tblGrid>
        <w:gridCol w:w="900"/>
        <w:gridCol w:w="900"/>
        <w:gridCol w:w="1150"/>
        <w:gridCol w:w="1300"/>
        <w:gridCol w:w="1100"/>
        <w:gridCol w:w="1250"/>
        <w:gridCol w:w="1150"/>
        <w:gridCol w:w="1250"/>
      </w:tblGrid>
      <w:tr>
        <w:trPr>
          <w:tblHeader/>
        </w:trPr>
        <w:tc>
          <w:tcPr>
            <w:tcW w:type="dxa" w:w="900"/>
            <w:shd w:fill="1F3A5F" w:color="auto" w:val="clear"/>
            <w:tcMar>
              <w:top w:type="dxa" w:w="60"/>
              <w:left w:type="dxa" w:w="100"/>
              <w:bottom w:type="dxa" w:w="60"/>
              <w:right w:type="dxa" w:w="100"/>
            </w:tcMar>
          </w:tcPr>
          <w:p>
            <w:pPr>
              <w:jc w:val="center"/>
            </w:pPr>
            <w:r>
              <w:rPr>
                <w:rFonts w:ascii="Malgun Gothic" w:cs="Malgun Gothic" w:eastAsia="Malgun Gothic" w:hAnsi="Malgun Gothic"/>
                <w:b/>
                <w:bCs/>
                <w:color w:val="FFFFFF"/>
                <w:sz w:val="18"/>
                <w:szCs w:val="18"/>
              </w:rPr>
              <w:t xml:space="preserve">원기</w:t>
            </w:r>
          </w:p>
        </w:tc>
        <w:tc>
          <w:tcPr>
            <w:tcW w:type="dxa" w:w="900"/>
            <w:shd w:fill="1F3A5F" w:color="auto" w:val="clear"/>
            <w:tcMar>
              <w:top w:type="dxa" w:w="60"/>
              <w:left w:type="dxa" w:w="100"/>
              <w:bottom w:type="dxa" w:w="60"/>
              <w:right w:type="dxa" w:w="100"/>
            </w:tcMar>
          </w:tcPr>
          <w:p>
            <w:pPr>
              <w:jc w:val="center"/>
            </w:pPr>
            <w:r>
              <w:rPr>
                <w:rFonts w:ascii="Malgun Gothic" w:cs="Malgun Gothic" w:eastAsia="Malgun Gothic" w:hAnsi="Malgun Gothic"/>
                <w:b/>
                <w:bCs/>
                <w:color w:val="FFFFFF"/>
                <w:sz w:val="18"/>
                <w:szCs w:val="18"/>
              </w:rPr>
              <w:t xml:space="preserve">서기</w:t>
            </w:r>
          </w:p>
        </w:tc>
        <w:tc>
          <w:tcPr>
            <w:tcW w:type="dxa" w:w="1150"/>
            <w:shd w:fill="1F3A5F" w:color="auto" w:val="clear"/>
            <w:tcMar>
              <w:top w:type="dxa" w:w="60"/>
              <w:left w:type="dxa" w:w="100"/>
              <w:bottom w:type="dxa" w:w="60"/>
              <w:right w:type="dxa" w:w="100"/>
            </w:tcMar>
          </w:tcPr>
          <w:p>
            <w:pPr>
              <w:jc w:val="right"/>
            </w:pPr>
            <w:r>
              <w:rPr>
                <w:rFonts w:ascii="Malgun Gothic" w:cs="Malgun Gothic" w:eastAsia="Malgun Gothic" w:hAnsi="Malgun Gothic"/>
                <w:b/>
                <w:bCs/>
                <w:color w:val="FFFFFF"/>
                <w:sz w:val="18"/>
                <w:szCs w:val="18"/>
              </w:rPr>
              <w:t xml:space="preserve">법회건수</w:t>
            </w:r>
          </w:p>
        </w:tc>
        <w:tc>
          <w:tcPr>
            <w:tcW w:type="dxa" w:w="1300"/>
            <w:shd w:fill="1F3A5F" w:color="auto" w:val="clear"/>
            <w:tcMar>
              <w:top w:type="dxa" w:w="60"/>
              <w:left w:type="dxa" w:w="100"/>
              <w:bottom w:type="dxa" w:w="60"/>
              <w:right w:type="dxa" w:w="100"/>
            </w:tcMar>
          </w:tcPr>
          <w:p>
            <w:pPr>
              <w:jc w:val="right"/>
            </w:pPr>
            <w:r>
              <w:rPr>
                <w:rFonts w:ascii="Malgun Gothic" w:cs="Malgun Gothic" w:eastAsia="Malgun Gothic" w:hAnsi="Malgun Gothic"/>
                <w:b/>
                <w:bCs/>
                <w:color w:val="FFFFFF"/>
                <w:sz w:val="18"/>
                <w:szCs w:val="18"/>
              </w:rPr>
              <w:t xml:space="preserve">총참석</w:t>
            </w:r>
          </w:p>
        </w:tc>
        <w:tc>
          <w:tcPr>
            <w:tcW w:type="dxa" w:w="1100"/>
            <w:shd w:fill="1F3A5F" w:color="auto" w:val="clear"/>
            <w:tcMar>
              <w:top w:type="dxa" w:w="60"/>
              <w:left w:type="dxa" w:w="100"/>
              <w:bottom w:type="dxa" w:w="60"/>
              <w:right w:type="dxa" w:w="100"/>
            </w:tcMar>
          </w:tcPr>
          <w:p>
            <w:pPr>
              <w:jc w:val="right"/>
            </w:pPr>
            <w:r>
              <w:rPr>
                <w:rFonts w:ascii="Malgun Gothic" w:cs="Malgun Gothic" w:eastAsia="Malgun Gothic" w:hAnsi="Malgun Gothic"/>
                <w:b/>
                <w:bCs/>
                <w:color w:val="FFFFFF"/>
                <w:sz w:val="18"/>
                <w:szCs w:val="18"/>
              </w:rPr>
              <w:t xml:space="preserve">건당평균</w:t>
            </w:r>
          </w:p>
        </w:tc>
        <w:tc>
          <w:tcPr>
            <w:tcW w:type="dxa" w:w="1250"/>
            <w:shd w:fill="1F3A5F" w:color="auto" w:val="clear"/>
            <w:tcMar>
              <w:top w:type="dxa" w:w="60"/>
              <w:left w:type="dxa" w:w="100"/>
              <w:bottom w:type="dxa" w:w="60"/>
              <w:right w:type="dxa" w:w="100"/>
            </w:tcMar>
          </w:tcPr>
          <w:p>
            <w:pPr>
              <w:jc w:val="right"/>
            </w:pPr>
            <w:r>
              <w:rPr>
                <w:rFonts w:ascii="Malgun Gothic" w:cs="Malgun Gothic" w:eastAsia="Malgun Gothic" w:hAnsi="Malgun Gothic"/>
                <w:b/>
                <w:bCs/>
                <w:color w:val="FFFFFF"/>
                <w:sz w:val="18"/>
                <w:szCs w:val="18"/>
              </w:rPr>
              <w:t xml:space="preserve">교도</w:t>
            </w:r>
          </w:p>
        </w:tc>
        <w:tc>
          <w:tcPr>
            <w:tcW w:type="dxa" w:w="1150"/>
            <w:shd w:fill="1F3A5F" w:color="auto" w:val="clear"/>
            <w:tcMar>
              <w:top w:type="dxa" w:w="60"/>
              <w:left w:type="dxa" w:w="100"/>
              <w:bottom w:type="dxa" w:w="60"/>
              <w:right w:type="dxa" w:w="100"/>
            </w:tcMar>
          </w:tcPr>
          <w:p>
            <w:pPr>
              <w:jc w:val="right"/>
            </w:pPr>
            <w:r>
              <w:rPr>
                <w:rFonts w:ascii="Malgun Gothic" w:cs="Malgun Gothic" w:eastAsia="Malgun Gothic" w:hAnsi="Malgun Gothic"/>
                <w:b/>
                <w:bCs/>
                <w:color w:val="FFFFFF"/>
                <w:sz w:val="18"/>
                <w:szCs w:val="18"/>
              </w:rPr>
              <w:t xml:space="preserve">신도</w:t>
            </w:r>
          </w:p>
        </w:tc>
        <w:tc>
          <w:tcPr>
            <w:tcW w:type="dxa" w:w="1250"/>
            <w:shd w:fill="1F3A5F" w:color="auto" w:val="clear"/>
            <w:tcMar>
              <w:top w:type="dxa" w:w="60"/>
              <w:left w:type="dxa" w:w="100"/>
              <w:bottom w:type="dxa" w:w="60"/>
              <w:right w:type="dxa" w:w="100"/>
            </w:tcMar>
          </w:tcPr>
          <w:p>
            <w:pPr>
              <w:jc w:val="right"/>
            </w:pPr>
            <w:r>
              <w:rPr>
                <w:rFonts w:ascii="Malgun Gothic" w:cs="Malgun Gothic" w:eastAsia="Malgun Gothic" w:hAnsi="Malgun Gothic"/>
                <w:b/>
                <w:bCs/>
                <w:color w:val="FFFFFF"/>
                <w:sz w:val="18"/>
                <w:szCs w:val="18"/>
              </w:rPr>
              <w:t xml:space="preserve">전무출신</w:t>
            </w:r>
          </w:p>
        </w:tc>
      </w:tr>
      <w:tr>
        <w:tc>
          <w:tcPr>
            <w:tcW w:type="dxa" w:w="900"/>
            <w:shd w:fill="EEF1F5"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100</w:t>
            </w:r>
          </w:p>
        </w:tc>
        <w:tc>
          <w:tcPr>
            <w:tcW w:type="dxa" w:w="900"/>
            <w:shd w:fill="EEF1F5" w:color="auto" w:val="clear"/>
            <w:tcMar>
              <w:top w:type="dxa" w:w="50"/>
              <w:left w:type="dxa" w:w="100"/>
              <w:bottom w:type="dxa" w:w="50"/>
              <w:right w:type="dxa" w:w="100"/>
            </w:tcMar>
          </w:tcPr>
          <w:p>
            <w:pPr>
              <w:jc w:val="center"/>
            </w:pPr>
            <w:r>
              <w:rPr>
                <w:rFonts w:ascii="Malgun Gothic" w:cs="Malgun Gothic" w:eastAsia="Malgun Gothic" w:hAnsi="Malgun Gothic"/>
                <w:b w:val="false"/>
                <w:bCs w:val="false"/>
                <w:sz w:val="18"/>
                <w:szCs w:val="18"/>
              </w:rPr>
              <w:t xml:space="preserve">2015</w:t>
            </w:r>
          </w:p>
        </w:tc>
        <w:tc>
          <w:tcPr>
            <w:tcW w:type="dxa" w:w="11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4,224</w:t>
            </w:r>
          </w:p>
        </w:tc>
        <w:tc>
          <w:tcPr>
            <w:tcW w:type="dxa" w:w="13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99,989</w:t>
            </w:r>
          </w:p>
        </w:tc>
        <w:tc>
          <w:tcPr>
            <w:tcW w:type="dxa" w:w="1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23.67</w:t>
            </w:r>
          </w:p>
        </w:tc>
        <w:tc>
          <w:tcPr>
            <w:tcW w:type="dxa" w:w="12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87,355</w:t>
            </w:r>
          </w:p>
        </w:tc>
        <w:tc>
          <w:tcPr>
            <w:tcW w:type="dxa" w:w="11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10,407</w:t>
            </w:r>
          </w:p>
        </w:tc>
        <w:tc>
          <w:tcPr>
            <w:tcW w:type="dxa" w:w="12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2,227</w:t>
            </w:r>
          </w:p>
        </w:tc>
      </w:tr>
      <w:tr>
        <w:tc>
          <w:tcPr>
            <w:tcW w:type="dxa" w:w="900"/>
            <w:shd w:fill="FFFFFF"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101</w:t>
            </w:r>
          </w:p>
        </w:tc>
        <w:tc>
          <w:tcPr>
            <w:tcW w:type="dxa" w:w="900"/>
            <w:shd w:fill="FFFFFF" w:color="auto" w:val="clear"/>
            <w:tcMar>
              <w:top w:type="dxa" w:w="50"/>
              <w:left w:type="dxa" w:w="100"/>
              <w:bottom w:type="dxa" w:w="50"/>
              <w:right w:type="dxa" w:w="100"/>
            </w:tcMar>
          </w:tcPr>
          <w:p>
            <w:pPr>
              <w:jc w:val="center"/>
            </w:pPr>
            <w:r>
              <w:rPr>
                <w:rFonts w:ascii="Malgun Gothic" w:cs="Malgun Gothic" w:eastAsia="Malgun Gothic" w:hAnsi="Malgun Gothic"/>
                <w:b w:val="false"/>
                <w:bCs w:val="false"/>
                <w:sz w:val="18"/>
                <w:szCs w:val="18"/>
              </w:rPr>
              <w:t xml:space="preserve">2016</w:t>
            </w:r>
          </w:p>
        </w:tc>
        <w:tc>
          <w:tcPr>
            <w:tcW w:type="dxa" w:w="11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4,216</w:t>
            </w:r>
          </w:p>
        </w:tc>
        <w:tc>
          <w:tcPr>
            <w:tcW w:type="dxa" w:w="13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104,415</w:t>
            </w:r>
          </w:p>
        </w:tc>
        <w:tc>
          <w:tcPr>
            <w:tcW w:type="dxa" w:w="11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24.77</w:t>
            </w:r>
          </w:p>
        </w:tc>
        <w:tc>
          <w:tcPr>
            <w:tcW w:type="dxa" w:w="12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88,820</w:t>
            </w:r>
          </w:p>
        </w:tc>
        <w:tc>
          <w:tcPr>
            <w:tcW w:type="dxa" w:w="11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13,751</w:t>
            </w:r>
          </w:p>
        </w:tc>
        <w:tc>
          <w:tcPr>
            <w:tcW w:type="dxa" w:w="12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1,844</w:t>
            </w:r>
          </w:p>
        </w:tc>
      </w:tr>
      <w:tr>
        <w:tc>
          <w:tcPr>
            <w:tcW w:type="dxa" w:w="900"/>
            <w:shd w:fill="EEF1F5"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102</w:t>
            </w:r>
          </w:p>
        </w:tc>
        <w:tc>
          <w:tcPr>
            <w:tcW w:type="dxa" w:w="900"/>
            <w:shd w:fill="EEF1F5" w:color="auto" w:val="clear"/>
            <w:tcMar>
              <w:top w:type="dxa" w:w="50"/>
              <w:left w:type="dxa" w:w="100"/>
              <w:bottom w:type="dxa" w:w="50"/>
              <w:right w:type="dxa" w:w="100"/>
            </w:tcMar>
          </w:tcPr>
          <w:p>
            <w:pPr>
              <w:jc w:val="center"/>
            </w:pPr>
            <w:r>
              <w:rPr>
                <w:rFonts w:ascii="Malgun Gothic" w:cs="Malgun Gothic" w:eastAsia="Malgun Gothic" w:hAnsi="Malgun Gothic"/>
                <w:b w:val="false"/>
                <w:bCs w:val="false"/>
                <w:sz w:val="18"/>
                <w:szCs w:val="18"/>
              </w:rPr>
              <w:t xml:space="preserve">2017</w:t>
            </w:r>
          </w:p>
        </w:tc>
        <w:tc>
          <w:tcPr>
            <w:tcW w:type="dxa" w:w="11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4,781</w:t>
            </w:r>
          </w:p>
        </w:tc>
        <w:tc>
          <w:tcPr>
            <w:tcW w:type="dxa" w:w="13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112,522</w:t>
            </w:r>
          </w:p>
        </w:tc>
        <w:tc>
          <w:tcPr>
            <w:tcW w:type="dxa" w:w="1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23.54</w:t>
            </w:r>
          </w:p>
        </w:tc>
        <w:tc>
          <w:tcPr>
            <w:tcW w:type="dxa" w:w="12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95,898</w:t>
            </w:r>
          </w:p>
        </w:tc>
        <w:tc>
          <w:tcPr>
            <w:tcW w:type="dxa" w:w="11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14,326</w:t>
            </w:r>
          </w:p>
        </w:tc>
        <w:tc>
          <w:tcPr>
            <w:tcW w:type="dxa" w:w="12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2,298</w:t>
            </w:r>
          </w:p>
        </w:tc>
      </w:tr>
      <w:tr>
        <w:tc>
          <w:tcPr>
            <w:tcW w:type="dxa" w:w="900"/>
            <w:shd w:fill="FFFFFF"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103</w:t>
            </w:r>
          </w:p>
        </w:tc>
        <w:tc>
          <w:tcPr>
            <w:tcW w:type="dxa" w:w="900"/>
            <w:shd w:fill="FFFFFF" w:color="auto" w:val="clear"/>
            <w:tcMar>
              <w:top w:type="dxa" w:w="50"/>
              <w:left w:type="dxa" w:w="100"/>
              <w:bottom w:type="dxa" w:w="50"/>
              <w:right w:type="dxa" w:w="100"/>
            </w:tcMar>
          </w:tcPr>
          <w:p>
            <w:pPr>
              <w:jc w:val="center"/>
            </w:pPr>
            <w:r>
              <w:rPr>
                <w:rFonts w:ascii="Malgun Gothic" w:cs="Malgun Gothic" w:eastAsia="Malgun Gothic" w:hAnsi="Malgun Gothic"/>
                <w:b w:val="false"/>
                <w:bCs w:val="false"/>
                <w:sz w:val="18"/>
                <w:szCs w:val="18"/>
              </w:rPr>
              <w:t xml:space="preserve">2018</w:t>
            </w:r>
          </w:p>
        </w:tc>
        <w:tc>
          <w:tcPr>
            <w:tcW w:type="dxa" w:w="11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4,458</w:t>
            </w:r>
          </w:p>
        </w:tc>
        <w:tc>
          <w:tcPr>
            <w:tcW w:type="dxa" w:w="13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103,720</w:t>
            </w:r>
          </w:p>
        </w:tc>
        <w:tc>
          <w:tcPr>
            <w:tcW w:type="dxa" w:w="11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23.27</w:t>
            </w:r>
          </w:p>
        </w:tc>
        <w:tc>
          <w:tcPr>
            <w:tcW w:type="dxa" w:w="12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89,982</w:t>
            </w:r>
          </w:p>
        </w:tc>
        <w:tc>
          <w:tcPr>
            <w:tcW w:type="dxa" w:w="11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10,758</w:t>
            </w:r>
          </w:p>
        </w:tc>
        <w:tc>
          <w:tcPr>
            <w:tcW w:type="dxa" w:w="12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2,980</w:t>
            </w:r>
          </w:p>
        </w:tc>
      </w:tr>
      <w:tr>
        <w:tc>
          <w:tcPr>
            <w:tcW w:type="dxa" w:w="900"/>
            <w:shd w:fill="EEF1F5"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104</w:t>
            </w:r>
          </w:p>
        </w:tc>
        <w:tc>
          <w:tcPr>
            <w:tcW w:type="dxa" w:w="900"/>
            <w:shd w:fill="EEF1F5" w:color="auto" w:val="clear"/>
            <w:tcMar>
              <w:top w:type="dxa" w:w="50"/>
              <w:left w:type="dxa" w:w="100"/>
              <w:bottom w:type="dxa" w:w="50"/>
              <w:right w:type="dxa" w:w="100"/>
            </w:tcMar>
          </w:tcPr>
          <w:p>
            <w:pPr>
              <w:jc w:val="center"/>
            </w:pPr>
            <w:r>
              <w:rPr>
                <w:rFonts w:ascii="Malgun Gothic" w:cs="Malgun Gothic" w:eastAsia="Malgun Gothic" w:hAnsi="Malgun Gothic"/>
                <w:b w:val="false"/>
                <w:bCs w:val="false"/>
                <w:sz w:val="18"/>
                <w:szCs w:val="18"/>
              </w:rPr>
              <w:t xml:space="preserve">2019</w:t>
            </w:r>
          </w:p>
        </w:tc>
        <w:tc>
          <w:tcPr>
            <w:tcW w:type="dxa" w:w="11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4,064</w:t>
            </w:r>
          </w:p>
        </w:tc>
        <w:tc>
          <w:tcPr>
            <w:tcW w:type="dxa" w:w="13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98,177</w:t>
            </w:r>
          </w:p>
        </w:tc>
        <w:tc>
          <w:tcPr>
            <w:tcW w:type="dxa" w:w="1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24.16</w:t>
            </w:r>
          </w:p>
        </w:tc>
        <w:tc>
          <w:tcPr>
            <w:tcW w:type="dxa" w:w="12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85,883</w:t>
            </w:r>
          </w:p>
        </w:tc>
        <w:tc>
          <w:tcPr>
            <w:tcW w:type="dxa" w:w="11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9,090</w:t>
            </w:r>
          </w:p>
        </w:tc>
        <w:tc>
          <w:tcPr>
            <w:tcW w:type="dxa" w:w="12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3,204</w:t>
            </w:r>
          </w:p>
        </w:tc>
      </w:tr>
      <w:tr>
        <w:tc>
          <w:tcPr>
            <w:tcW w:type="dxa" w:w="900"/>
            <w:shd w:fill="FFFFFF"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105</w:t>
            </w:r>
          </w:p>
        </w:tc>
        <w:tc>
          <w:tcPr>
            <w:tcW w:type="dxa" w:w="900"/>
            <w:shd w:fill="FFFFFF" w:color="auto" w:val="clear"/>
            <w:tcMar>
              <w:top w:type="dxa" w:w="50"/>
              <w:left w:type="dxa" w:w="100"/>
              <w:bottom w:type="dxa" w:w="50"/>
              <w:right w:type="dxa" w:w="100"/>
            </w:tcMar>
          </w:tcPr>
          <w:p>
            <w:pPr>
              <w:jc w:val="center"/>
            </w:pPr>
            <w:r>
              <w:rPr>
                <w:rFonts w:ascii="Malgun Gothic" w:cs="Malgun Gothic" w:eastAsia="Malgun Gothic" w:hAnsi="Malgun Gothic"/>
                <w:b w:val="false"/>
                <w:bCs w:val="false"/>
                <w:sz w:val="18"/>
                <w:szCs w:val="18"/>
              </w:rPr>
              <w:t xml:space="preserve">2020</w:t>
            </w:r>
          </w:p>
        </w:tc>
        <w:tc>
          <w:tcPr>
            <w:tcW w:type="dxa" w:w="11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2,234</w:t>
            </w:r>
          </w:p>
        </w:tc>
        <w:tc>
          <w:tcPr>
            <w:tcW w:type="dxa" w:w="13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58,246</w:t>
            </w:r>
          </w:p>
        </w:tc>
        <w:tc>
          <w:tcPr>
            <w:tcW w:type="dxa" w:w="11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26.07</w:t>
            </w:r>
          </w:p>
        </w:tc>
        <w:tc>
          <w:tcPr>
            <w:tcW w:type="dxa" w:w="12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52,533</w:t>
            </w:r>
          </w:p>
        </w:tc>
        <w:tc>
          <w:tcPr>
            <w:tcW w:type="dxa" w:w="11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3,429</w:t>
            </w:r>
          </w:p>
        </w:tc>
        <w:tc>
          <w:tcPr>
            <w:tcW w:type="dxa" w:w="12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2,284</w:t>
            </w:r>
          </w:p>
        </w:tc>
      </w:tr>
      <w:tr>
        <w:tc>
          <w:tcPr>
            <w:tcW w:type="dxa" w:w="900"/>
            <w:shd w:fill="EEF1F5"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106</w:t>
            </w:r>
          </w:p>
        </w:tc>
        <w:tc>
          <w:tcPr>
            <w:tcW w:type="dxa" w:w="900"/>
            <w:shd w:fill="EEF1F5" w:color="auto" w:val="clear"/>
            <w:tcMar>
              <w:top w:type="dxa" w:w="50"/>
              <w:left w:type="dxa" w:w="100"/>
              <w:bottom w:type="dxa" w:w="50"/>
              <w:right w:type="dxa" w:w="100"/>
            </w:tcMar>
          </w:tcPr>
          <w:p>
            <w:pPr>
              <w:jc w:val="center"/>
            </w:pPr>
            <w:r>
              <w:rPr>
                <w:rFonts w:ascii="Malgun Gothic" w:cs="Malgun Gothic" w:eastAsia="Malgun Gothic" w:hAnsi="Malgun Gothic"/>
                <w:b w:val="false"/>
                <w:bCs w:val="false"/>
                <w:sz w:val="18"/>
                <w:szCs w:val="18"/>
              </w:rPr>
              <w:t xml:space="preserve">2021</w:t>
            </w:r>
          </w:p>
        </w:tc>
        <w:tc>
          <w:tcPr>
            <w:tcW w:type="dxa" w:w="11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3,398</w:t>
            </w:r>
          </w:p>
        </w:tc>
        <w:tc>
          <w:tcPr>
            <w:tcW w:type="dxa" w:w="13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78,000</w:t>
            </w:r>
          </w:p>
        </w:tc>
        <w:tc>
          <w:tcPr>
            <w:tcW w:type="dxa" w:w="1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22.95</w:t>
            </w:r>
          </w:p>
        </w:tc>
        <w:tc>
          <w:tcPr>
            <w:tcW w:type="dxa" w:w="12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73,512</w:t>
            </w:r>
          </w:p>
        </w:tc>
        <w:tc>
          <w:tcPr>
            <w:tcW w:type="dxa" w:w="11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1,748</w:t>
            </w:r>
          </w:p>
        </w:tc>
        <w:tc>
          <w:tcPr>
            <w:tcW w:type="dxa" w:w="12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2,740</w:t>
            </w:r>
          </w:p>
        </w:tc>
      </w:tr>
      <w:tr>
        <w:tc>
          <w:tcPr>
            <w:tcW w:type="dxa" w:w="900"/>
            <w:shd w:fill="FFFFFF"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107</w:t>
            </w:r>
          </w:p>
        </w:tc>
        <w:tc>
          <w:tcPr>
            <w:tcW w:type="dxa" w:w="900"/>
            <w:shd w:fill="FFFFFF" w:color="auto" w:val="clear"/>
            <w:tcMar>
              <w:top w:type="dxa" w:w="50"/>
              <w:left w:type="dxa" w:w="100"/>
              <w:bottom w:type="dxa" w:w="50"/>
              <w:right w:type="dxa" w:w="100"/>
            </w:tcMar>
          </w:tcPr>
          <w:p>
            <w:pPr>
              <w:jc w:val="center"/>
            </w:pPr>
            <w:r>
              <w:rPr>
                <w:rFonts w:ascii="Malgun Gothic" w:cs="Malgun Gothic" w:eastAsia="Malgun Gothic" w:hAnsi="Malgun Gothic"/>
                <w:b w:val="false"/>
                <w:bCs w:val="false"/>
                <w:sz w:val="18"/>
                <w:szCs w:val="18"/>
              </w:rPr>
              <w:t xml:space="preserve">2022</w:t>
            </w:r>
          </w:p>
        </w:tc>
        <w:tc>
          <w:tcPr>
            <w:tcW w:type="dxa" w:w="11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3,794</w:t>
            </w:r>
          </w:p>
        </w:tc>
        <w:tc>
          <w:tcPr>
            <w:tcW w:type="dxa" w:w="13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84,701</w:t>
            </w:r>
          </w:p>
        </w:tc>
        <w:tc>
          <w:tcPr>
            <w:tcW w:type="dxa" w:w="11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22.32</w:t>
            </w:r>
          </w:p>
        </w:tc>
        <w:tc>
          <w:tcPr>
            <w:tcW w:type="dxa" w:w="12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80,155</w:t>
            </w:r>
          </w:p>
        </w:tc>
        <w:tc>
          <w:tcPr>
            <w:tcW w:type="dxa" w:w="11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2,513</w:t>
            </w:r>
          </w:p>
        </w:tc>
        <w:tc>
          <w:tcPr>
            <w:tcW w:type="dxa" w:w="12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2,033</w:t>
            </w:r>
          </w:p>
        </w:tc>
      </w:tr>
      <w:tr>
        <w:tc>
          <w:tcPr>
            <w:tcW w:type="dxa" w:w="900"/>
            <w:shd w:fill="EEF1F5"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108</w:t>
            </w:r>
          </w:p>
        </w:tc>
        <w:tc>
          <w:tcPr>
            <w:tcW w:type="dxa" w:w="900"/>
            <w:shd w:fill="EEF1F5" w:color="auto" w:val="clear"/>
            <w:tcMar>
              <w:top w:type="dxa" w:w="50"/>
              <w:left w:type="dxa" w:w="100"/>
              <w:bottom w:type="dxa" w:w="50"/>
              <w:right w:type="dxa" w:w="100"/>
            </w:tcMar>
          </w:tcPr>
          <w:p>
            <w:pPr>
              <w:jc w:val="center"/>
            </w:pPr>
            <w:r>
              <w:rPr>
                <w:rFonts w:ascii="Malgun Gothic" w:cs="Malgun Gothic" w:eastAsia="Malgun Gothic" w:hAnsi="Malgun Gothic"/>
                <w:b w:val="false"/>
                <w:bCs w:val="false"/>
                <w:sz w:val="18"/>
                <w:szCs w:val="18"/>
              </w:rPr>
              <w:t xml:space="preserve">2023</w:t>
            </w:r>
          </w:p>
        </w:tc>
        <w:tc>
          <w:tcPr>
            <w:tcW w:type="dxa" w:w="11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3,823</w:t>
            </w:r>
          </w:p>
        </w:tc>
        <w:tc>
          <w:tcPr>
            <w:tcW w:type="dxa" w:w="13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85,159</w:t>
            </w:r>
          </w:p>
        </w:tc>
        <w:tc>
          <w:tcPr>
            <w:tcW w:type="dxa" w:w="1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22.28</w:t>
            </w:r>
          </w:p>
        </w:tc>
        <w:tc>
          <w:tcPr>
            <w:tcW w:type="dxa" w:w="12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78,900</w:t>
            </w:r>
          </w:p>
        </w:tc>
        <w:tc>
          <w:tcPr>
            <w:tcW w:type="dxa" w:w="11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4,000</w:t>
            </w:r>
          </w:p>
        </w:tc>
        <w:tc>
          <w:tcPr>
            <w:tcW w:type="dxa" w:w="12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2,259</w:t>
            </w:r>
          </w:p>
        </w:tc>
      </w:tr>
      <w:tr>
        <w:tc>
          <w:tcPr>
            <w:tcW w:type="dxa" w:w="900"/>
            <w:shd w:fill="FFFFFF"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109</w:t>
            </w:r>
          </w:p>
        </w:tc>
        <w:tc>
          <w:tcPr>
            <w:tcW w:type="dxa" w:w="900"/>
            <w:shd w:fill="FFFFFF" w:color="auto" w:val="clear"/>
            <w:tcMar>
              <w:top w:type="dxa" w:w="50"/>
              <w:left w:type="dxa" w:w="100"/>
              <w:bottom w:type="dxa" w:w="50"/>
              <w:right w:type="dxa" w:w="100"/>
            </w:tcMar>
          </w:tcPr>
          <w:p>
            <w:pPr>
              <w:jc w:val="center"/>
            </w:pPr>
            <w:r>
              <w:rPr>
                <w:rFonts w:ascii="Malgun Gothic" w:cs="Malgun Gothic" w:eastAsia="Malgun Gothic" w:hAnsi="Malgun Gothic"/>
                <w:b w:val="false"/>
                <w:bCs w:val="false"/>
                <w:sz w:val="18"/>
                <w:szCs w:val="18"/>
              </w:rPr>
              <w:t xml:space="preserve">2024</w:t>
            </w:r>
          </w:p>
        </w:tc>
        <w:tc>
          <w:tcPr>
            <w:tcW w:type="dxa" w:w="11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3,825</w:t>
            </w:r>
          </w:p>
        </w:tc>
        <w:tc>
          <w:tcPr>
            <w:tcW w:type="dxa" w:w="13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85,649</w:t>
            </w:r>
          </w:p>
        </w:tc>
        <w:tc>
          <w:tcPr>
            <w:tcW w:type="dxa" w:w="11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22.39</w:t>
            </w:r>
          </w:p>
        </w:tc>
        <w:tc>
          <w:tcPr>
            <w:tcW w:type="dxa" w:w="12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77,675</w:t>
            </w:r>
          </w:p>
        </w:tc>
        <w:tc>
          <w:tcPr>
            <w:tcW w:type="dxa" w:w="11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6,151</w:t>
            </w:r>
          </w:p>
        </w:tc>
        <w:tc>
          <w:tcPr>
            <w:tcW w:type="dxa" w:w="12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1,823</w:t>
            </w:r>
          </w:p>
        </w:tc>
      </w:tr>
      <w:tr>
        <w:tc>
          <w:tcPr>
            <w:tcW w:type="dxa" w:w="900"/>
            <w:shd w:fill="EEF1F5"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110</w:t>
            </w:r>
          </w:p>
        </w:tc>
        <w:tc>
          <w:tcPr>
            <w:tcW w:type="dxa" w:w="900"/>
            <w:shd w:fill="EEF1F5" w:color="auto" w:val="clear"/>
            <w:tcMar>
              <w:top w:type="dxa" w:w="50"/>
              <w:left w:type="dxa" w:w="100"/>
              <w:bottom w:type="dxa" w:w="50"/>
              <w:right w:type="dxa" w:w="100"/>
            </w:tcMar>
          </w:tcPr>
          <w:p>
            <w:pPr>
              <w:jc w:val="center"/>
            </w:pPr>
            <w:r>
              <w:rPr>
                <w:rFonts w:ascii="Malgun Gothic" w:cs="Malgun Gothic" w:eastAsia="Malgun Gothic" w:hAnsi="Malgun Gothic"/>
                <w:b w:val="false"/>
                <w:bCs w:val="false"/>
                <w:sz w:val="18"/>
                <w:szCs w:val="18"/>
              </w:rPr>
              <w:t xml:space="preserve">2025</w:t>
            </w:r>
          </w:p>
        </w:tc>
        <w:tc>
          <w:tcPr>
            <w:tcW w:type="dxa" w:w="11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4,221</w:t>
            </w:r>
          </w:p>
        </w:tc>
        <w:tc>
          <w:tcPr>
            <w:tcW w:type="dxa" w:w="13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91,378</w:t>
            </w:r>
          </w:p>
        </w:tc>
        <w:tc>
          <w:tcPr>
            <w:tcW w:type="dxa" w:w="1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21.65</w:t>
            </w:r>
          </w:p>
        </w:tc>
        <w:tc>
          <w:tcPr>
            <w:tcW w:type="dxa" w:w="12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82,143</w:t>
            </w:r>
          </w:p>
        </w:tc>
        <w:tc>
          <w:tcPr>
            <w:tcW w:type="dxa" w:w="11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7,908</w:t>
            </w:r>
          </w:p>
        </w:tc>
        <w:tc>
          <w:tcPr>
            <w:tcW w:type="dxa" w:w="12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1,327</w:t>
            </w:r>
          </w:p>
        </w:tc>
      </w:tr>
    </w:tbl>
    <w:p>
      <w:pPr>
        <w:spacing w:after="120" w:line="300"/>
      </w:pPr>
      <w:r>
        <w:rPr>
          <w:rFonts w:ascii="Malgun Gothic" w:cs="Malgun Gothic" w:eastAsia="Malgun Gothic" w:hAnsi="Malgun Gothic"/>
          <w:sz w:val="20"/>
          <w:szCs w:val="20"/>
        </w:rPr>
        <w:t xml:space="preserve">특히 주목할 점은 ‘신도(외부 참여자)’의 급감이다. </w:t>
      </w:r>
      <w:r>
        <w:rPr>
          <w:rFonts w:ascii="Malgun Gothic" w:cs="Malgun Gothic" w:eastAsia="Malgun Gothic" w:hAnsi="Malgun Gothic"/>
          <w:sz w:val="20"/>
          <w:szCs w:val="20"/>
        </w:rPr>
        <w:t xml:space="preserve">신도 참석은 2017년 14,326명에서 2021년 1,748명까지 떨어졌고 이후 부분 회복(2025년 7,908명)에 그쳤다. 교도(내부 신자)의 참석 회복 속도에 비해 외부 접점의 회복이 더뎌, 신규 유입 경로가 구조적으로 약화되었을 가능성을 시사한다.</w:t>
      </w:r>
    </w:p>
    <w:p>
      <w:r>
        <w:br w:type="page"/>
      </w:r>
    </w:p>
    <w:p>
      <w:pPr>
        <w:pStyle w:val="Heading1"/>
        <w:spacing w:after="140" w:before="280"/>
      </w:pPr>
      <w:r>
        <w:rPr>
          <w:rFonts w:ascii="Malgun Gothic" w:cs="Malgun Gothic" w:eastAsia="Malgun Gothic" w:hAnsi="Malgun Gothic"/>
          <w:b/>
          <w:bCs/>
          <w:color w:val="1F3A5F"/>
          <w:sz w:val="28"/>
          <w:szCs w:val="28"/>
        </w:rPr>
        <w:t xml:space="preserve">5. 법회구분별 분석</w:t>
      </w:r>
    </w:p>
    <w:p>
      <w:pPr>
        <w:spacing w:after="120" w:before="80"/>
        <w:jc w:val="center"/>
      </w:pPr>
      <w:r>
        <w:drawing>
          <wp:inline distT="0" distB="0" distL="0" distR="0">
            <wp:extent cx="44767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028950"/>
                    </a:xfrm>
                    <a:prstGeom prst="rect">
                      <a:avLst/>
                    </a:prstGeom>
                  </pic:spPr>
                </pic:pic>
              </a:graphicData>
            </a:graphic>
          </wp:inline>
        </w:drawing>
      </w:r>
    </w:p>
    <w:tbl>
      <w:tblPr>
        <w:tblW w:type="dxa" w:w="9000"/>
        <w:tblBorders>
          <w:top w:val="single" w:color="AAB2BD" w:sz="2"/>
          <w:left w:val="single" w:color="AAB2BD" w:sz="2"/>
          <w:bottom w:val="single" w:color="AAB2BD" w:sz="2"/>
          <w:right w:val="single" w:color="AAB2BD" w:sz="2"/>
          <w:insideH w:val="single" w:color="D5DAE0" w:sz="1"/>
          <w:insideV w:val="single" w:color="D5DAE0" w:sz="1"/>
        </w:tblBorders>
      </w:tblPr>
      <w:tblGrid>
        <w:gridCol w:w="2400"/>
        <w:gridCol w:w="1650"/>
        <w:gridCol w:w="1800"/>
        <w:gridCol w:w="1650"/>
        <w:gridCol w:w="1500"/>
      </w:tblGrid>
      <w:tr>
        <w:trPr>
          <w:tblHeader/>
        </w:trPr>
        <w:tc>
          <w:tcPr>
            <w:tcW w:type="dxa" w:w="2400"/>
            <w:shd w:fill="1F3A5F" w:color="auto" w:val="clear"/>
            <w:tcMar>
              <w:top w:type="dxa" w:w="60"/>
              <w:left w:type="dxa" w:w="100"/>
              <w:bottom w:type="dxa" w:w="60"/>
              <w:right w:type="dxa" w:w="100"/>
            </w:tcMar>
          </w:tcPr>
          <w:p>
            <w:pPr>
              <w:jc w:val="left"/>
            </w:pPr>
            <w:r>
              <w:rPr>
                <w:rFonts w:ascii="Malgun Gothic" w:cs="Malgun Gothic" w:eastAsia="Malgun Gothic" w:hAnsi="Malgun Gothic"/>
                <w:b/>
                <w:bCs/>
                <w:color w:val="FFFFFF"/>
                <w:sz w:val="18"/>
                <w:szCs w:val="18"/>
              </w:rPr>
              <w:t xml:space="preserve">법회구분</w:t>
            </w:r>
          </w:p>
        </w:tc>
        <w:tc>
          <w:tcPr>
            <w:tcW w:type="dxa" w:w="1650"/>
            <w:shd w:fill="1F3A5F" w:color="auto" w:val="clear"/>
            <w:tcMar>
              <w:top w:type="dxa" w:w="60"/>
              <w:left w:type="dxa" w:w="100"/>
              <w:bottom w:type="dxa" w:w="60"/>
              <w:right w:type="dxa" w:w="100"/>
            </w:tcMar>
          </w:tcPr>
          <w:p>
            <w:pPr>
              <w:jc w:val="right"/>
            </w:pPr>
            <w:r>
              <w:rPr>
                <w:rFonts w:ascii="Malgun Gothic" w:cs="Malgun Gothic" w:eastAsia="Malgun Gothic" w:hAnsi="Malgun Gothic"/>
                <w:b/>
                <w:bCs/>
                <w:color w:val="FFFFFF"/>
                <w:sz w:val="18"/>
                <w:szCs w:val="18"/>
              </w:rPr>
              <w:t xml:space="preserve">법회건수</w:t>
            </w:r>
          </w:p>
        </w:tc>
        <w:tc>
          <w:tcPr>
            <w:tcW w:type="dxa" w:w="1800"/>
            <w:shd w:fill="1F3A5F" w:color="auto" w:val="clear"/>
            <w:tcMar>
              <w:top w:type="dxa" w:w="60"/>
              <w:left w:type="dxa" w:w="100"/>
              <w:bottom w:type="dxa" w:w="60"/>
              <w:right w:type="dxa" w:w="100"/>
            </w:tcMar>
          </w:tcPr>
          <w:p>
            <w:pPr>
              <w:jc w:val="right"/>
            </w:pPr>
            <w:r>
              <w:rPr>
                <w:rFonts w:ascii="Malgun Gothic" w:cs="Malgun Gothic" w:eastAsia="Malgun Gothic" w:hAnsi="Malgun Gothic"/>
                <w:b/>
                <w:bCs/>
                <w:color w:val="FFFFFF"/>
                <w:sz w:val="18"/>
                <w:szCs w:val="18"/>
              </w:rPr>
              <w:t xml:space="preserve">총참석</w:t>
            </w:r>
          </w:p>
        </w:tc>
        <w:tc>
          <w:tcPr>
            <w:tcW w:type="dxa" w:w="1650"/>
            <w:shd w:fill="1F3A5F" w:color="auto" w:val="clear"/>
            <w:tcMar>
              <w:top w:type="dxa" w:w="60"/>
              <w:left w:type="dxa" w:w="100"/>
              <w:bottom w:type="dxa" w:w="60"/>
              <w:right w:type="dxa" w:w="100"/>
            </w:tcMar>
          </w:tcPr>
          <w:p>
            <w:pPr>
              <w:jc w:val="right"/>
            </w:pPr>
            <w:r>
              <w:rPr>
                <w:rFonts w:ascii="Malgun Gothic" w:cs="Malgun Gothic" w:eastAsia="Malgun Gothic" w:hAnsi="Malgun Gothic"/>
                <w:b/>
                <w:bCs/>
                <w:color w:val="FFFFFF"/>
                <w:sz w:val="18"/>
                <w:szCs w:val="18"/>
              </w:rPr>
              <w:t xml:space="preserve">건당평균</w:t>
            </w:r>
          </w:p>
        </w:tc>
        <w:tc>
          <w:tcPr>
            <w:tcW w:type="dxa" w:w="1500"/>
            <w:shd w:fill="1F3A5F" w:color="auto" w:val="clear"/>
            <w:tcMar>
              <w:top w:type="dxa" w:w="60"/>
              <w:left w:type="dxa" w:w="100"/>
              <w:bottom w:type="dxa" w:w="60"/>
              <w:right w:type="dxa" w:w="100"/>
            </w:tcMar>
          </w:tcPr>
          <w:p>
            <w:pPr>
              <w:jc w:val="right"/>
            </w:pPr>
            <w:r>
              <w:rPr>
                <w:rFonts w:ascii="Malgun Gothic" w:cs="Malgun Gothic" w:eastAsia="Malgun Gothic" w:hAnsi="Malgun Gothic"/>
                <w:b/>
                <w:bCs/>
                <w:color w:val="FFFFFF"/>
                <w:sz w:val="18"/>
                <w:szCs w:val="18"/>
              </w:rPr>
              <w:t xml:space="preserve">참석비중</w:t>
            </w:r>
          </w:p>
        </w:tc>
      </w:tr>
      <w:tr>
        <w:tc>
          <w:tcPr>
            <w:tcW w:type="dxa" w:w="2400"/>
            <w:shd w:fill="EEF1F5" w:color="auto" w:val="clear"/>
            <w:tcMar>
              <w:top w:type="dxa" w:w="50"/>
              <w:left w:type="dxa" w:w="100"/>
              <w:bottom w:type="dxa" w:w="50"/>
              <w:right w:type="dxa" w:w="100"/>
            </w:tcMar>
          </w:tcPr>
          <w:p>
            <w:pPr>
              <w:jc w:val="left"/>
            </w:pPr>
            <w:r>
              <w:rPr>
                <w:rFonts w:ascii="Malgun Gothic" w:cs="Malgun Gothic" w:eastAsia="Malgun Gothic" w:hAnsi="Malgun Gothic"/>
                <w:b/>
                <w:bCs/>
                <w:sz w:val="18"/>
                <w:szCs w:val="18"/>
              </w:rPr>
              <w:t xml:space="preserve">정례법회</w:t>
            </w:r>
          </w:p>
        </w:tc>
        <w:tc>
          <w:tcPr>
            <w:tcW w:type="dxa" w:w="16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32,270</w:t>
            </w:r>
          </w:p>
        </w:tc>
        <w:tc>
          <w:tcPr>
            <w:tcW w:type="dxa" w:w="18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818,664</w:t>
            </w:r>
          </w:p>
        </w:tc>
        <w:tc>
          <w:tcPr>
            <w:tcW w:type="dxa" w:w="16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25.37</w:t>
            </w:r>
          </w:p>
        </w:tc>
        <w:tc>
          <w:tcPr>
            <w:tcW w:type="dxa" w:w="15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81.7%</w:t>
            </w:r>
          </w:p>
        </w:tc>
      </w:tr>
      <w:tr>
        <w:tc>
          <w:tcPr>
            <w:tcW w:type="dxa" w:w="2400"/>
            <w:shd w:fill="FFFFFF" w:color="auto" w:val="clear"/>
            <w:tcMar>
              <w:top w:type="dxa" w:w="50"/>
              <w:left w:type="dxa" w:w="100"/>
              <w:bottom w:type="dxa" w:w="50"/>
              <w:right w:type="dxa" w:w="100"/>
            </w:tcMar>
          </w:tcPr>
          <w:p>
            <w:pPr>
              <w:jc w:val="left"/>
            </w:pPr>
            <w:r>
              <w:rPr>
                <w:rFonts w:ascii="Malgun Gothic" w:cs="Malgun Gothic" w:eastAsia="Malgun Gothic" w:hAnsi="Malgun Gothic"/>
                <w:b/>
                <w:bCs/>
                <w:sz w:val="18"/>
                <w:szCs w:val="18"/>
              </w:rPr>
              <w:t xml:space="preserve">4축2재</w:t>
            </w:r>
          </w:p>
        </w:tc>
        <w:tc>
          <w:tcPr>
            <w:tcW w:type="dxa" w:w="16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1,946</w:t>
            </w:r>
          </w:p>
        </w:tc>
        <w:tc>
          <w:tcPr>
            <w:tcW w:type="dxa" w:w="18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76,026</w:t>
            </w:r>
          </w:p>
        </w:tc>
        <w:tc>
          <w:tcPr>
            <w:tcW w:type="dxa" w:w="16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39.07</w:t>
            </w:r>
          </w:p>
        </w:tc>
        <w:tc>
          <w:tcPr>
            <w:tcW w:type="dxa" w:w="15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7.6%</w:t>
            </w:r>
          </w:p>
        </w:tc>
      </w:tr>
      <w:tr>
        <w:tc>
          <w:tcPr>
            <w:tcW w:type="dxa" w:w="2400"/>
            <w:shd w:fill="EEF1F5" w:color="auto" w:val="clear"/>
            <w:tcMar>
              <w:top w:type="dxa" w:w="50"/>
              <w:left w:type="dxa" w:w="100"/>
              <w:bottom w:type="dxa" w:w="50"/>
              <w:right w:type="dxa" w:w="100"/>
            </w:tcMar>
          </w:tcPr>
          <w:p>
            <w:pPr>
              <w:jc w:val="left"/>
            </w:pPr>
            <w:r>
              <w:rPr>
                <w:rFonts w:ascii="Malgun Gothic" w:cs="Malgun Gothic" w:eastAsia="Malgun Gothic" w:hAnsi="Malgun Gothic"/>
                <w:b/>
                <w:bCs/>
                <w:sz w:val="18"/>
                <w:szCs w:val="18"/>
              </w:rPr>
              <w:t xml:space="preserve">수시법회</w:t>
            </w:r>
          </w:p>
        </w:tc>
        <w:tc>
          <w:tcPr>
            <w:tcW w:type="dxa" w:w="16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8,446</w:t>
            </w:r>
          </w:p>
        </w:tc>
        <w:tc>
          <w:tcPr>
            <w:tcW w:type="dxa" w:w="18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95,165</w:t>
            </w:r>
          </w:p>
        </w:tc>
        <w:tc>
          <w:tcPr>
            <w:tcW w:type="dxa" w:w="16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11.27</w:t>
            </w:r>
          </w:p>
        </w:tc>
        <w:tc>
          <w:tcPr>
            <w:tcW w:type="dxa" w:w="15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9.5%</w:t>
            </w:r>
          </w:p>
        </w:tc>
      </w:tr>
      <w:tr>
        <w:tc>
          <w:tcPr>
            <w:tcW w:type="dxa" w:w="2400"/>
            <w:shd w:fill="FFFFFF" w:color="auto" w:val="clear"/>
            <w:tcMar>
              <w:top w:type="dxa" w:w="50"/>
              <w:left w:type="dxa" w:w="100"/>
              <w:bottom w:type="dxa" w:w="50"/>
              <w:right w:type="dxa" w:w="100"/>
            </w:tcMar>
          </w:tcPr>
          <w:p>
            <w:pPr>
              <w:jc w:val="left"/>
            </w:pPr>
            <w:r>
              <w:rPr>
                <w:rFonts w:ascii="Malgun Gothic" w:cs="Malgun Gothic" w:eastAsia="Malgun Gothic" w:hAnsi="Malgun Gothic"/>
                <w:b/>
                <w:bCs/>
                <w:sz w:val="18"/>
                <w:szCs w:val="18"/>
              </w:rPr>
              <w:t xml:space="preserve">특별법회</w:t>
            </w:r>
          </w:p>
        </w:tc>
        <w:tc>
          <w:tcPr>
            <w:tcW w:type="dxa" w:w="16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351</w:t>
            </w:r>
          </w:p>
        </w:tc>
        <w:tc>
          <w:tcPr>
            <w:tcW w:type="dxa" w:w="18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11,748</w:t>
            </w:r>
          </w:p>
        </w:tc>
        <w:tc>
          <w:tcPr>
            <w:tcW w:type="dxa" w:w="165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33.47</w:t>
            </w:r>
          </w:p>
        </w:tc>
        <w:tc>
          <w:tcPr>
            <w:tcW w:type="dxa" w:w="15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1.2%</w:t>
            </w:r>
          </w:p>
        </w:tc>
      </w:tr>
      <w:tr>
        <w:tc>
          <w:tcPr>
            <w:tcW w:type="dxa" w:w="2400"/>
            <w:shd w:fill="EEF1F5" w:color="auto" w:val="clear"/>
            <w:tcMar>
              <w:top w:type="dxa" w:w="50"/>
              <w:left w:type="dxa" w:w="100"/>
              <w:bottom w:type="dxa" w:w="50"/>
              <w:right w:type="dxa" w:w="100"/>
            </w:tcMar>
          </w:tcPr>
          <w:p>
            <w:pPr>
              <w:jc w:val="left"/>
            </w:pPr>
            <w:r>
              <w:rPr>
                <w:rFonts w:ascii="Malgun Gothic" w:cs="Malgun Gothic" w:eastAsia="Malgun Gothic" w:hAnsi="Malgun Gothic"/>
                <w:b/>
                <w:bCs/>
                <w:sz w:val="18"/>
                <w:szCs w:val="18"/>
              </w:rPr>
              <w:t xml:space="preserve">청소년활동</w:t>
            </w:r>
          </w:p>
        </w:tc>
        <w:tc>
          <w:tcPr>
            <w:tcW w:type="dxa" w:w="16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25</w:t>
            </w:r>
          </w:p>
        </w:tc>
        <w:tc>
          <w:tcPr>
            <w:tcW w:type="dxa" w:w="18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353</w:t>
            </w:r>
          </w:p>
        </w:tc>
        <w:tc>
          <w:tcPr>
            <w:tcW w:type="dxa" w:w="165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14.12</w:t>
            </w:r>
          </w:p>
        </w:tc>
        <w:tc>
          <w:tcPr>
            <w:tcW w:type="dxa" w:w="15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0.0%</w:t>
            </w:r>
          </w:p>
        </w:tc>
      </w:tr>
    </w:tbl>
    <w:p>
      <w:pPr>
        <w:spacing w:after="120" w:line="300"/>
      </w:pPr>
      <w:r>
        <w:rPr>
          <w:rFonts w:ascii="Malgun Gothic" w:cs="Malgun Gothic" w:eastAsia="Malgun Gothic" w:hAnsi="Malgun Gothic"/>
          <w:sz w:val="20"/>
          <w:szCs w:val="20"/>
        </w:rPr>
        <w:t xml:space="preserve">정례법회는 건수·참석 모두 압도적 비중(참석의 81.7%)으로 교화 활동의 중심축이다. 반면 4축2재(대각개교절·석존성탄절·법인절 등)는 건수는 적지만 건당 39.1명으로 집객력이 가장 높아, 신도·비신자와의 접점을 넓히는 기회 행사로 활용 가치가 크다. 수시법회는 건당 11.3명으로 소규모·비정례 성격이 뚜렷하며, 청소년활동은 기록 자체가 극히 적어(25건) 별도의 청소년 교화 전략 점검이 필요하다.</w:t>
      </w:r>
    </w:p>
    <w:p>
      <w:pPr>
        <w:pStyle w:val="Heading1"/>
        <w:spacing w:after="140" w:before="280"/>
      </w:pPr>
      <w:r>
        <w:rPr>
          <w:rFonts w:ascii="Malgun Gothic" w:cs="Malgun Gothic" w:eastAsia="Malgun Gothic" w:hAnsi="Malgun Gothic"/>
          <w:b/>
          <w:bCs/>
          <w:color w:val="1F3A5F"/>
          <w:sz w:val="28"/>
          <w:szCs w:val="28"/>
        </w:rPr>
        <w:t xml:space="preserve">6. 교당별 분석</w:t>
      </w:r>
    </w:p>
    <w:p>
      <w:pPr>
        <w:spacing w:after="120" w:before="80"/>
        <w:jc w:val="center"/>
      </w:pPr>
      <w:r>
        <w:drawing>
          <wp:inline distT="0" distB="0" distL="0" distR="0">
            <wp:extent cx="4953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305175"/>
                    </a:xfrm>
                    <a:prstGeom prst="rect">
                      <a:avLst/>
                    </a:prstGeom>
                  </pic:spPr>
                </pic:pic>
              </a:graphicData>
            </a:graphic>
          </wp:inline>
        </w:drawing>
      </w:r>
    </w:p>
    <w:p>
      <w:pPr>
        <w:spacing w:after="120" w:line="300"/>
      </w:pPr>
      <w:r>
        <w:rPr>
          <w:rFonts w:ascii="Malgun Gothic" w:cs="Malgun Gothic" w:eastAsia="Malgun Gothic" w:hAnsi="Malgun Gothic"/>
          <w:sz w:val="20"/>
          <w:szCs w:val="20"/>
        </w:rPr>
        <w:t xml:space="preserve">교당 간 참석 규모의 양극화가 뚜렷하다. 상위 교당인 분당(122,022명)·수원(96,771명)·인천(76,347명)이 전체를 견인하는 반면, 하위권 교당은 11년 누적 참석이 수천 명에 그친다. 건당 평균에서도 분당(46.0명)·약대(41.6명)·수원(40.1명)과 하위 교당(1~9명대)의 격차가 크다.</w:t>
      </w:r>
    </w:p>
    <w:p>
      <w:pPr>
        <w:pStyle w:val="Heading2"/>
        <w:spacing w:after="100" w:before="200"/>
      </w:pPr>
      <w:r>
        <w:rPr>
          <w:rFonts w:ascii="Malgun Gothic" w:cs="Malgun Gothic" w:eastAsia="Malgun Gothic" w:hAnsi="Malgun Gothic"/>
          <w:b/>
          <w:bCs/>
          <w:color w:val="333333"/>
          <w:sz w:val="24"/>
          <w:szCs w:val="24"/>
        </w:rPr>
        <w:t xml:space="preserve">6-1. 누적 참석 상위 10개 교당</w:t>
      </w:r>
    </w:p>
    <w:tbl>
      <w:tblPr>
        <w:tblW w:type="dxa" w:w="9000"/>
        <w:tblBorders>
          <w:top w:val="single" w:color="AAB2BD" w:sz="2"/>
          <w:left w:val="single" w:color="AAB2BD" w:sz="2"/>
          <w:bottom w:val="single" w:color="AAB2BD" w:sz="2"/>
          <w:right w:val="single" w:color="AAB2BD" w:sz="2"/>
          <w:insideH w:val="single" w:color="D5DAE0" w:sz="1"/>
          <w:insideV w:val="single" w:color="D5DAE0" w:sz="1"/>
        </w:tblBorders>
      </w:tblPr>
      <w:tblGrid>
        <w:gridCol w:w="1000"/>
        <w:gridCol w:w="2600"/>
        <w:gridCol w:w="1800"/>
        <w:gridCol w:w="1900"/>
        <w:gridCol w:w="1700"/>
      </w:tblGrid>
      <w:tr>
        <w:trPr>
          <w:tblHeader/>
        </w:trPr>
        <w:tc>
          <w:tcPr>
            <w:tcW w:type="dxa" w:w="1000"/>
            <w:shd w:fill="1F3A5F" w:color="auto" w:val="clear"/>
            <w:tcMar>
              <w:top w:type="dxa" w:w="60"/>
              <w:left w:type="dxa" w:w="100"/>
              <w:bottom w:type="dxa" w:w="60"/>
              <w:right w:type="dxa" w:w="100"/>
            </w:tcMar>
          </w:tcPr>
          <w:p>
            <w:pPr>
              <w:jc w:val="center"/>
            </w:pPr>
            <w:r>
              <w:rPr>
                <w:rFonts w:ascii="Malgun Gothic" w:cs="Malgun Gothic" w:eastAsia="Malgun Gothic" w:hAnsi="Malgun Gothic"/>
                <w:b/>
                <w:bCs/>
                <w:color w:val="FFFFFF"/>
                <w:sz w:val="18"/>
                <w:szCs w:val="18"/>
              </w:rPr>
              <w:t xml:space="preserve">순위</w:t>
            </w:r>
          </w:p>
        </w:tc>
        <w:tc>
          <w:tcPr>
            <w:tcW w:type="dxa" w:w="2600"/>
            <w:shd w:fill="1F3A5F" w:color="auto" w:val="clear"/>
            <w:tcMar>
              <w:top w:type="dxa" w:w="60"/>
              <w:left w:type="dxa" w:w="100"/>
              <w:bottom w:type="dxa" w:w="60"/>
              <w:right w:type="dxa" w:w="100"/>
            </w:tcMar>
          </w:tcPr>
          <w:p>
            <w:pPr>
              <w:jc w:val="left"/>
            </w:pPr>
            <w:r>
              <w:rPr>
                <w:rFonts w:ascii="Malgun Gothic" w:cs="Malgun Gothic" w:eastAsia="Malgun Gothic" w:hAnsi="Malgun Gothic"/>
                <w:b/>
                <w:bCs/>
                <w:color w:val="FFFFFF"/>
                <w:sz w:val="18"/>
                <w:szCs w:val="18"/>
              </w:rPr>
              <w:t xml:space="preserve">교당명</w:t>
            </w:r>
          </w:p>
        </w:tc>
        <w:tc>
          <w:tcPr>
            <w:tcW w:type="dxa" w:w="1800"/>
            <w:shd w:fill="1F3A5F" w:color="auto" w:val="clear"/>
            <w:tcMar>
              <w:top w:type="dxa" w:w="60"/>
              <w:left w:type="dxa" w:w="100"/>
              <w:bottom w:type="dxa" w:w="60"/>
              <w:right w:type="dxa" w:w="100"/>
            </w:tcMar>
          </w:tcPr>
          <w:p>
            <w:pPr>
              <w:jc w:val="right"/>
            </w:pPr>
            <w:r>
              <w:rPr>
                <w:rFonts w:ascii="Malgun Gothic" w:cs="Malgun Gothic" w:eastAsia="Malgun Gothic" w:hAnsi="Malgun Gothic"/>
                <w:b/>
                <w:bCs/>
                <w:color w:val="FFFFFF"/>
                <w:sz w:val="18"/>
                <w:szCs w:val="18"/>
              </w:rPr>
              <w:t xml:space="preserve">법회건수</w:t>
            </w:r>
          </w:p>
        </w:tc>
        <w:tc>
          <w:tcPr>
            <w:tcW w:type="dxa" w:w="1900"/>
            <w:shd w:fill="1F3A5F" w:color="auto" w:val="clear"/>
            <w:tcMar>
              <w:top w:type="dxa" w:w="60"/>
              <w:left w:type="dxa" w:w="100"/>
              <w:bottom w:type="dxa" w:w="60"/>
              <w:right w:type="dxa" w:w="100"/>
            </w:tcMar>
          </w:tcPr>
          <w:p>
            <w:pPr>
              <w:jc w:val="right"/>
            </w:pPr>
            <w:r>
              <w:rPr>
                <w:rFonts w:ascii="Malgun Gothic" w:cs="Malgun Gothic" w:eastAsia="Malgun Gothic" w:hAnsi="Malgun Gothic"/>
                <w:b/>
                <w:bCs/>
                <w:color w:val="FFFFFF"/>
                <w:sz w:val="18"/>
                <w:szCs w:val="18"/>
              </w:rPr>
              <w:t xml:space="preserve">총참석</w:t>
            </w:r>
          </w:p>
        </w:tc>
        <w:tc>
          <w:tcPr>
            <w:tcW w:type="dxa" w:w="1700"/>
            <w:shd w:fill="1F3A5F" w:color="auto" w:val="clear"/>
            <w:tcMar>
              <w:top w:type="dxa" w:w="60"/>
              <w:left w:type="dxa" w:w="100"/>
              <w:bottom w:type="dxa" w:w="60"/>
              <w:right w:type="dxa" w:w="100"/>
            </w:tcMar>
          </w:tcPr>
          <w:p>
            <w:pPr>
              <w:jc w:val="right"/>
            </w:pPr>
            <w:r>
              <w:rPr>
                <w:rFonts w:ascii="Malgun Gothic" w:cs="Malgun Gothic" w:eastAsia="Malgun Gothic" w:hAnsi="Malgun Gothic"/>
                <w:b/>
                <w:bCs/>
                <w:color w:val="FFFFFF"/>
                <w:sz w:val="18"/>
                <w:szCs w:val="18"/>
              </w:rPr>
              <w:t xml:space="preserve">건당평균</w:t>
            </w:r>
          </w:p>
        </w:tc>
      </w:tr>
      <w:tr>
        <w:tc>
          <w:tcPr>
            <w:tcW w:type="dxa" w:w="1000"/>
            <w:shd w:fill="EEF1F5"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1</w:t>
            </w:r>
          </w:p>
        </w:tc>
        <w:tc>
          <w:tcPr>
            <w:tcW w:type="dxa" w:w="2600"/>
            <w:shd w:fill="EEF1F5" w:color="auto" w:val="clear"/>
            <w:tcMar>
              <w:top w:type="dxa" w:w="50"/>
              <w:left w:type="dxa" w:w="100"/>
              <w:bottom w:type="dxa" w:w="50"/>
              <w:right w:type="dxa" w:w="100"/>
            </w:tcMar>
          </w:tcPr>
          <w:p>
            <w:pPr>
              <w:jc w:val="left"/>
            </w:pPr>
            <w:r>
              <w:rPr>
                <w:rFonts w:ascii="Malgun Gothic" w:cs="Malgun Gothic" w:eastAsia="Malgun Gothic" w:hAnsi="Malgun Gothic"/>
                <w:b w:val="false"/>
                <w:bCs w:val="false"/>
                <w:sz w:val="18"/>
                <w:szCs w:val="18"/>
              </w:rPr>
              <w:t xml:space="preserve">분당교당</w:t>
            </w:r>
          </w:p>
        </w:tc>
        <w:tc>
          <w:tcPr>
            <w:tcW w:type="dxa" w:w="18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2,650</w:t>
            </w:r>
          </w:p>
        </w:tc>
        <w:tc>
          <w:tcPr>
            <w:tcW w:type="dxa" w:w="19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122,022</w:t>
            </w:r>
          </w:p>
        </w:tc>
        <w:tc>
          <w:tcPr>
            <w:tcW w:type="dxa" w:w="17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46.05</w:t>
            </w:r>
          </w:p>
        </w:tc>
      </w:tr>
      <w:tr>
        <w:tc>
          <w:tcPr>
            <w:tcW w:type="dxa" w:w="1000"/>
            <w:shd w:fill="FFFFFF"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2</w:t>
            </w:r>
          </w:p>
        </w:tc>
        <w:tc>
          <w:tcPr>
            <w:tcW w:type="dxa" w:w="2600"/>
            <w:shd w:fill="FFFFFF" w:color="auto" w:val="clear"/>
            <w:tcMar>
              <w:top w:type="dxa" w:w="50"/>
              <w:left w:type="dxa" w:w="100"/>
              <w:bottom w:type="dxa" w:w="50"/>
              <w:right w:type="dxa" w:w="100"/>
            </w:tcMar>
          </w:tcPr>
          <w:p>
            <w:pPr>
              <w:jc w:val="left"/>
            </w:pPr>
            <w:r>
              <w:rPr>
                <w:rFonts w:ascii="Malgun Gothic" w:cs="Malgun Gothic" w:eastAsia="Malgun Gothic" w:hAnsi="Malgun Gothic"/>
                <w:b w:val="false"/>
                <w:bCs w:val="false"/>
                <w:sz w:val="18"/>
                <w:szCs w:val="18"/>
              </w:rPr>
              <w:t xml:space="preserve">수원교당</w:t>
            </w:r>
          </w:p>
        </w:tc>
        <w:tc>
          <w:tcPr>
            <w:tcW w:type="dxa" w:w="18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2,411</w:t>
            </w:r>
          </w:p>
        </w:tc>
        <w:tc>
          <w:tcPr>
            <w:tcW w:type="dxa" w:w="19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96,771</w:t>
            </w:r>
          </w:p>
        </w:tc>
        <w:tc>
          <w:tcPr>
            <w:tcW w:type="dxa" w:w="17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40.14</w:t>
            </w:r>
          </w:p>
        </w:tc>
      </w:tr>
      <w:tr>
        <w:tc>
          <w:tcPr>
            <w:tcW w:type="dxa" w:w="1000"/>
            <w:shd w:fill="EEF1F5"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3</w:t>
            </w:r>
          </w:p>
        </w:tc>
        <w:tc>
          <w:tcPr>
            <w:tcW w:type="dxa" w:w="2600"/>
            <w:shd w:fill="EEF1F5" w:color="auto" w:val="clear"/>
            <w:tcMar>
              <w:top w:type="dxa" w:w="50"/>
              <w:left w:type="dxa" w:w="100"/>
              <w:bottom w:type="dxa" w:w="50"/>
              <w:right w:type="dxa" w:w="100"/>
            </w:tcMar>
          </w:tcPr>
          <w:p>
            <w:pPr>
              <w:jc w:val="left"/>
            </w:pPr>
            <w:r>
              <w:rPr>
                <w:rFonts w:ascii="Malgun Gothic" w:cs="Malgun Gothic" w:eastAsia="Malgun Gothic" w:hAnsi="Malgun Gothic"/>
                <w:b w:val="false"/>
                <w:bCs w:val="false"/>
                <w:sz w:val="18"/>
                <w:szCs w:val="18"/>
              </w:rPr>
              <w:t xml:space="preserve">인천교당</w:t>
            </w:r>
          </w:p>
        </w:tc>
        <w:tc>
          <w:tcPr>
            <w:tcW w:type="dxa" w:w="18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3,163</w:t>
            </w:r>
          </w:p>
        </w:tc>
        <w:tc>
          <w:tcPr>
            <w:tcW w:type="dxa" w:w="19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76,347</w:t>
            </w:r>
          </w:p>
        </w:tc>
        <w:tc>
          <w:tcPr>
            <w:tcW w:type="dxa" w:w="17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24.14</w:t>
            </w:r>
          </w:p>
        </w:tc>
      </w:tr>
      <w:tr>
        <w:tc>
          <w:tcPr>
            <w:tcW w:type="dxa" w:w="1000"/>
            <w:shd w:fill="FFFFFF"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4</w:t>
            </w:r>
          </w:p>
        </w:tc>
        <w:tc>
          <w:tcPr>
            <w:tcW w:type="dxa" w:w="2600"/>
            <w:shd w:fill="FFFFFF" w:color="auto" w:val="clear"/>
            <w:tcMar>
              <w:top w:type="dxa" w:w="50"/>
              <w:left w:type="dxa" w:w="100"/>
              <w:bottom w:type="dxa" w:w="50"/>
              <w:right w:type="dxa" w:w="100"/>
            </w:tcMar>
          </w:tcPr>
          <w:p>
            <w:pPr>
              <w:jc w:val="left"/>
            </w:pPr>
            <w:r>
              <w:rPr>
                <w:rFonts w:ascii="Malgun Gothic" w:cs="Malgun Gothic" w:eastAsia="Malgun Gothic" w:hAnsi="Malgun Gothic"/>
                <w:b w:val="false"/>
                <w:bCs w:val="false"/>
                <w:sz w:val="18"/>
                <w:szCs w:val="18"/>
              </w:rPr>
              <w:t xml:space="preserve">군포교당</w:t>
            </w:r>
          </w:p>
        </w:tc>
        <w:tc>
          <w:tcPr>
            <w:tcW w:type="dxa" w:w="18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1,498</w:t>
            </w:r>
          </w:p>
        </w:tc>
        <w:tc>
          <w:tcPr>
            <w:tcW w:type="dxa" w:w="19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41,399</w:t>
            </w:r>
          </w:p>
        </w:tc>
        <w:tc>
          <w:tcPr>
            <w:tcW w:type="dxa" w:w="17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27.64</w:t>
            </w:r>
          </w:p>
        </w:tc>
      </w:tr>
      <w:tr>
        <w:tc>
          <w:tcPr>
            <w:tcW w:type="dxa" w:w="1000"/>
            <w:shd w:fill="EEF1F5"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5</w:t>
            </w:r>
          </w:p>
        </w:tc>
        <w:tc>
          <w:tcPr>
            <w:tcW w:type="dxa" w:w="2600"/>
            <w:shd w:fill="EEF1F5" w:color="auto" w:val="clear"/>
            <w:tcMar>
              <w:top w:type="dxa" w:w="50"/>
              <w:left w:type="dxa" w:w="100"/>
              <w:bottom w:type="dxa" w:w="50"/>
              <w:right w:type="dxa" w:w="100"/>
            </w:tcMar>
          </w:tcPr>
          <w:p>
            <w:pPr>
              <w:jc w:val="left"/>
            </w:pPr>
            <w:r>
              <w:rPr>
                <w:rFonts w:ascii="Malgun Gothic" w:cs="Malgun Gothic" w:eastAsia="Malgun Gothic" w:hAnsi="Malgun Gothic"/>
                <w:b w:val="false"/>
                <w:bCs w:val="false"/>
                <w:sz w:val="18"/>
                <w:szCs w:val="18"/>
              </w:rPr>
              <w:t xml:space="preserve">안산교당</w:t>
            </w:r>
          </w:p>
        </w:tc>
        <w:tc>
          <w:tcPr>
            <w:tcW w:type="dxa" w:w="18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1,315</w:t>
            </w:r>
          </w:p>
        </w:tc>
        <w:tc>
          <w:tcPr>
            <w:tcW w:type="dxa" w:w="19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36,601</w:t>
            </w:r>
          </w:p>
        </w:tc>
        <w:tc>
          <w:tcPr>
            <w:tcW w:type="dxa" w:w="17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27.83</w:t>
            </w:r>
          </w:p>
        </w:tc>
      </w:tr>
      <w:tr>
        <w:tc>
          <w:tcPr>
            <w:tcW w:type="dxa" w:w="1000"/>
            <w:shd w:fill="FFFFFF"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6</w:t>
            </w:r>
          </w:p>
        </w:tc>
        <w:tc>
          <w:tcPr>
            <w:tcW w:type="dxa" w:w="2600"/>
            <w:shd w:fill="FFFFFF" w:color="auto" w:val="clear"/>
            <w:tcMar>
              <w:top w:type="dxa" w:w="50"/>
              <w:left w:type="dxa" w:w="100"/>
              <w:bottom w:type="dxa" w:w="50"/>
              <w:right w:type="dxa" w:w="100"/>
            </w:tcMar>
          </w:tcPr>
          <w:p>
            <w:pPr>
              <w:jc w:val="left"/>
            </w:pPr>
            <w:r>
              <w:rPr>
                <w:rFonts w:ascii="Malgun Gothic" w:cs="Malgun Gothic" w:eastAsia="Malgun Gothic" w:hAnsi="Malgun Gothic"/>
                <w:b w:val="false"/>
                <w:bCs w:val="false"/>
                <w:sz w:val="18"/>
                <w:szCs w:val="18"/>
              </w:rPr>
              <w:t xml:space="preserve">부천교당</w:t>
            </w:r>
          </w:p>
        </w:tc>
        <w:tc>
          <w:tcPr>
            <w:tcW w:type="dxa" w:w="18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1,043</w:t>
            </w:r>
          </w:p>
        </w:tc>
        <w:tc>
          <w:tcPr>
            <w:tcW w:type="dxa" w:w="19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32,043</w:t>
            </w:r>
          </w:p>
        </w:tc>
        <w:tc>
          <w:tcPr>
            <w:tcW w:type="dxa" w:w="17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30.72</w:t>
            </w:r>
          </w:p>
        </w:tc>
      </w:tr>
      <w:tr>
        <w:tc>
          <w:tcPr>
            <w:tcW w:type="dxa" w:w="1000"/>
            <w:shd w:fill="EEF1F5"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7</w:t>
            </w:r>
          </w:p>
        </w:tc>
        <w:tc>
          <w:tcPr>
            <w:tcW w:type="dxa" w:w="2600"/>
            <w:shd w:fill="EEF1F5" w:color="auto" w:val="clear"/>
            <w:tcMar>
              <w:top w:type="dxa" w:w="50"/>
              <w:left w:type="dxa" w:w="100"/>
              <w:bottom w:type="dxa" w:w="50"/>
              <w:right w:type="dxa" w:w="100"/>
            </w:tcMar>
          </w:tcPr>
          <w:p>
            <w:pPr>
              <w:jc w:val="left"/>
            </w:pPr>
            <w:r>
              <w:rPr>
                <w:rFonts w:ascii="Malgun Gothic" w:cs="Malgun Gothic" w:eastAsia="Malgun Gothic" w:hAnsi="Malgun Gothic"/>
                <w:b w:val="false"/>
                <w:bCs w:val="false"/>
                <w:sz w:val="18"/>
                <w:szCs w:val="18"/>
              </w:rPr>
              <w:t xml:space="preserve">동안양교당</w:t>
            </w:r>
          </w:p>
        </w:tc>
        <w:tc>
          <w:tcPr>
            <w:tcW w:type="dxa" w:w="18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1,159</w:t>
            </w:r>
          </w:p>
        </w:tc>
        <w:tc>
          <w:tcPr>
            <w:tcW w:type="dxa" w:w="19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31,249</w:t>
            </w:r>
          </w:p>
        </w:tc>
        <w:tc>
          <w:tcPr>
            <w:tcW w:type="dxa" w:w="17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26.96</w:t>
            </w:r>
          </w:p>
        </w:tc>
      </w:tr>
      <w:tr>
        <w:tc>
          <w:tcPr>
            <w:tcW w:type="dxa" w:w="1000"/>
            <w:shd w:fill="FFFFFF"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8</w:t>
            </w:r>
          </w:p>
        </w:tc>
        <w:tc>
          <w:tcPr>
            <w:tcW w:type="dxa" w:w="2600"/>
            <w:shd w:fill="FFFFFF" w:color="auto" w:val="clear"/>
            <w:tcMar>
              <w:top w:type="dxa" w:w="50"/>
              <w:left w:type="dxa" w:w="100"/>
              <w:bottom w:type="dxa" w:w="50"/>
              <w:right w:type="dxa" w:w="100"/>
            </w:tcMar>
          </w:tcPr>
          <w:p>
            <w:pPr>
              <w:jc w:val="left"/>
            </w:pPr>
            <w:r>
              <w:rPr>
                <w:rFonts w:ascii="Malgun Gothic" w:cs="Malgun Gothic" w:eastAsia="Malgun Gothic" w:hAnsi="Malgun Gothic"/>
                <w:b w:val="false"/>
                <w:bCs w:val="false"/>
                <w:sz w:val="18"/>
                <w:szCs w:val="18"/>
              </w:rPr>
              <w:t xml:space="preserve">번개교당</w:t>
            </w:r>
          </w:p>
        </w:tc>
        <w:tc>
          <w:tcPr>
            <w:tcW w:type="dxa" w:w="18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847</w:t>
            </w:r>
          </w:p>
        </w:tc>
        <w:tc>
          <w:tcPr>
            <w:tcW w:type="dxa" w:w="19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28,929</w:t>
            </w:r>
          </w:p>
        </w:tc>
        <w:tc>
          <w:tcPr>
            <w:tcW w:type="dxa" w:w="17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34.15</w:t>
            </w:r>
          </w:p>
        </w:tc>
      </w:tr>
      <w:tr>
        <w:tc>
          <w:tcPr>
            <w:tcW w:type="dxa" w:w="1000"/>
            <w:shd w:fill="EEF1F5"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9</w:t>
            </w:r>
          </w:p>
        </w:tc>
        <w:tc>
          <w:tcPr>
            <w:tcW w:type="dxa" w:w="2600"/>
            <w:shd w:fill="EEF1F5" w:color="auto" w:val="clear"/>
            <w:tcMar>
              <w:top w:type="dxa" w:w="50"/>
              <w:left w:type="dxa" w:w="100"/>
              <w:bottom w:type="dxa" w:w="50"/>
              <w:right w:type="dxa" w:w="100"/>
            </w:tcMar>
          </w:tcPr>
          <w:p>
            <w:pPr>
              <w:jc w:val="left"/>
            </w:pPr>
            <w:r>
              <w:rPr>
                <w:rFonts w:ascii="Malgun Gothic" w:cs="Malgun Gothic" w:eastAsia="Malgun Gothic" w:hAnsi="Malgun Gothic"/>
                <w:b w:val="false"/>
                <w:bCs w:val="false"/>
                <w:sz w:val="18"/>
                <w:szCs w:val="18"/>
              </w:rPr>
              <w:t xml:space="preserve">북인천교당</w:t>
            </w:r>
          </w:p>
        </w:tc>
        <w:tc>
          <w:tcPr>
            <w:tcW w:type="dxa" w:w="18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1,158</w:t>
            </w:r>
          </w:p>
        </w:tc>
        <w:tc>
          <w:tcPr>
            <w:tcW w:type="dxa" w:w="19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28,171</w:t>
            </w:r>
          </w:p>
        </w:tc>
        <w:tc>
          <w:tcPr>
            <w:tcW w:type="dxa" w:w="17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24.33</w:t>
            </w:r>
          </w:p>
        </w:tc>
      </w:tr>
      <w:tr>
        <w:tc>
          <w:tcPr>
            <w:tcW w:type="dxa" w:w="1000"/>
            <w:shd w:fill="FFFFFF" w:color="auto" w:val="clear"/>
            <w:tcMar>
              <w:top w:type="dxa" w:w="50"/>
              <w:left w:type="dxa" w:w="100"/>
              <w:bottom w:type="dxa" w:w="50"/>
              <w:right w:type="dxa" w:w="100"/>
            </w:tcMar>
          </w:tcPr>
          <w:p>
            <w:pPr>
              <w:jc w:val="center"/>
            </w:pPr>
            <w:r>
              <w:rPr>
                <w:rFonts w:ascii="Malgun Gothic" w:cs="Malgun Gothic" w:eastAsia="Malgun Gothic" w:hAnsi="Malgun Gothic"/>
                <w:b/>
                <w:bCs/>
                <w:sz w:val="18"/>
                <w:szCs w:val="18"/>
              </w:rPr>
              <w:t xml:space="preserve">10</w:t>
            </w:r>
          </w:p>
        </w:tc>
        <w:tc>
          <w:tcPr>
            <w:tcW w:type="dxa" w:w="2600"/>
            <w:shd w:fill="FFFFFF" w:color="auto" w:val="clear"/>
            <w:tcMar>
              <w:top w:type="dxa" w:w="50"/>
              <w:left w:type="dxa" w:w="100"/>
              <w:bottom w:type="dxa" w:w="50"/>
              <w:right w:type="dxa" w:w="100"/>
            </w:tcMar>
          </w:tcPr>
          <w:p>
            <w:pPr>
              <w:jc w:val="left"/>
            </w:pPr>
            <w:r>
              <w:rPr>
                <w:rFonts w:ascii="Malgun Gothic" w:cs="Malgun Gothic" w:eastAsia="Malgun Gothic" w:hAnsi="Malgun Gothic"/>
                <w:b w:val="false"/>
                <w:bCs w:val="false"/>
                <w:sz w:val="18"/>
                <w:szCs w:val="18"/>
              </w:rPr>
              <w:t xml:space="preserve">부평교당</w:t>
            </w:r>
          </w:p>
        </w:tc>
        <w:tc>
          <w:tcPr>
            <w:tcW w:type="dxa" w:w="18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850</w:t>
            </w:r>
          </w:p>
        </w:tc>
        <w:tc>
          <w:tcPr>
            <w:tcW w:type="dxa" w:w="19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27,663</w:t>
            </w:r>
          </w:p>
        </w:tc>
        <w:tc>
          <w:tcPr>
            <w:tcW w:type="dxa" w:w="17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32.54</w:t>
            </w:r>
          </w:p>
        </w:tc>
      </w:tr>
    </w:tbl>
    <w:p>
      <w:pPr>
        <w:pStyle w:val="Heading2"/>
        <w:spacing w:after="100" w:before="200"/>
      </w:pPr>
      <w:r>
        <w:rPr>
          <w:rFonts w:ascii="Malgun Gothic" w:cs="Malgun Gothic" w:eastAsia="Malgun Gothic" w:hAnsi="Malgun Gothic"/>
          <w:b/>
          <w:bCs/>
          <w:color w:val="333333"/>
          <w:sz w:val="24"/>
          <w:szCs w:val="24"/>
        </w:rPr>
        <w:t xml:space="preserve">6-2. 누적 참석 하위권 교당 (일부)</w:t>
      </w:r>
    </w:p>
    <w:tbl>
      <w:tblPr>
        <w:tblW w:type="dxa" w:w="9000"/>
        <w:tblBorders>
          <w:top w:val="single" w:color="AAB2BD" w:sz="2"/>
          <w:left w:val="single" w:color="AAB2BD" w:sz="2"/>
          <w:bottom w:val="single" w:color="AAB2BD" w:sz="2"/>
          <w:right w:val="single" w:color="AAB2BD" w:sz="2"/>
          <w:insideH w:val="single" w:color="D5DAE0" w:sz="1"/>
          <w:insideV w:val="single" w:color="D5DAE0" w:sz="1"/>
        </w:tblBorders>
      </w:tblPr>
      <w:tblGrid>
        <w:gridCol w:w="2700"/>
        <w:gridCol w:w="2100"/>
        <w:gridCol w:w="2100"/>
        <w:gridCol w:w="2100"/>
      </w:tblGrid>
      <w:tr>
        <w:trPr>
          <w:tblHeader/>
        </w:trPr>
        <w:tc>
          <w:tcPr>
            <w:tcW w:type="dxa" w:w="2700"/>
            <w:shd w:fill="1F3A5F" w:color="auto" w:val="clear"/>
            <w:tcMar>
              <w:top w:type="dxa" w:w="60"/>
              <w:left w:type="dxa" w:w="100"/>
              <w:bottom w:type="dxa" w:w="60"/>
              <w:right w:type="dxa" w:w="100"/>
            </w:tcMar>
          </w:tcPr>
          <w:p>
            <w:pPr>
              <w:jc w:val="left"/>
            </w:pPr>
            <w:r>
              <w:rPr>
                <w:rFonts w:ascii="Malgun Gothic" w:cs="Malgun Gothic" w:eastAsia="Malgun Gothic" w:hAnsi="Malgun Gothic"/>
                <w:b/>
                <w:bCs/>
                <w:color w:val="FFFFFF"/>
                <w:sz w:val="18"/>
                <w:szCs w:val="18"/>
              </w:rPr>
              <w:t xml:space="preserve">교당명</w:t>
            </w:r>
          </w:p>
        </w:tc>
        <w:tc>
          <w:tcPr>
            <w:tcW w:type="dxa" w:w="2100"/>
            <w:shd w:fill="1F3A5F" w:color="auto" w:val="clear"/>
            <w:tcMar>
              <w:top w:type="dxa" w:w="60"/>
              <w:left w:type="dxa" w:w="100"/>
              <w:bottom w:type="dxa" w:w="60"/>
              <w:right w:type="dxa" w:w="100"/>
            </w:tcMar>
          </w:tcPr>
          <w:p>
            <w:pPr>
              <w:jc w:val="right"/>
            </w:pPr>
            <w:r>
              <w:rPr>
                <w:rFonts w:ascii="Malgun Gothic" w:cs="Malgun Gothic" w:eastAsia="Malgun Gothic" w:hAnsi="Malgun Gothic"/>
                <w:b/>
                <w:bCs/>
                <w:color w:val="FFFFFF"/>
                <w:sz w:val="18"/>
                <w:szCs w:val="18"/>
              </w:rPr>
              <w:t xml:space="preserve">법회건수</w:t>
            </w:r>
          </w:p>
        </w:tc>
        <w:tc>
          <w:tcPr>
            <w:tcW w:type="dxa" w:w="2100"/>
            <w:shd w:fill="1F3A5F" w:color="auto" w:val="clear"/>
            <w:tcMar>
              <w:top w:type="dxa" w:w="60"/>
              <w:left w:type="dxa" w:w="100"/>
              <w:bottom w:type="dxa" w:w="60"/>
              <w:right w:type="dxa" w:w="100"/>
            </w:tcMar>
          </w:tcPr>
          <w:p>
            <w:pPr>
              <w:jc w:val="right"/>
            </w:pPr>
            <w:r>
              <w:rPr>
                <w:rFonts w:ascii="Malgun Gothic" w:cs="Malgun Gothic" w:eastAsia="Malgun Gothic" w:hAnsi="Malgun Gothic"/>
                <w:b/>
                <w:bCs/>
                <w:color w:val="FFFFFF"/>
                <w:sz w:val="18"/>
                <w:szCs w:val="18"/>
              </w:rPr>
              <w:t xml:space="preserve">총참석</w:t>
            </w:r>
          </w:p>
        </w:tc>
        <w:tc>
          <w:tcPr>
            <w:tcW w:type="dxa" w:w="2100"/>
            <w:shd w:fill="1F3A5F" w:color="auto" w:val="clear"/>
            <w:tcMar>
              <w:top w:type="dxa" w:w="60"/>
              <w:left w:type="dxa" w:w="100"/>
              <w:bottom w:type="dxa" w:w="60"/>
              <w:right w:type="dxa" w:w="100"/>
            </w:tcMar>
          </w:tcPr>
          <w:p>
            <w:pPr>
              <w:jc w:val="right"/>
            </w:pPr>
            <w:r>
              <w:rPr>
                <w:rFonts w:ascii="Malgun Gothic" w:cs="Malgun Gothic" w:eastAsia="Malgun Gothic" w:hAnsi="Malgun Gothic"/>
                <w:b/>
                <w:bCs/>
                <w:color w:val="FFFFFF"/>
                <w:sz w:val="18"/>
                <w:szCs w:val="18"/>
              </w:rPr>
              <w:t xml:space="preserve">건당평균</w:t>
            </w:r>
          </w:p>
        </w:tc>
      </w:tr>
      <w:tr>
        <w:tc>
          <w:tcPr>
            <w:tcW w:type="dxa" w:w="2700"/>
            <w:shd w:fill="EEF1F5" w:color="auto" w:val="clear"/>
            <w:tcMar>
              <w:top w:type="dxa" w:w="50"/>
              <w:left w:type="dxa" w:w="100"/>
              <w:bottom w:type="dxa" w:w="50"/>
              <w:right w:type="dxa" w:w="100"/>
            </w:tcMar>
          </w:tcPr>
          <w:p>
            <w:pPr>
              <w:jc w:val="left"/>
            </w:pPr>
            <w:r>
              <w:rPr>
                <w:rFonts w:ascii="Malgun Gothic" w:cs="Malgun Gothic" w:eastAsia="Malgun Gothic" w:hAnsi="Malgun Gothic"/>
                <w:b/>
                <w:bCs/>
                <w:sz w:val="18"/>
                <w:szCs w:val="18"/>
              </w:rPr>
              <w:t xml:space="preserve">병점교당</w:t>
            </w:r>
          </w:p>
        </w:tc>
        <w:tc>
          <w:tcPr>
            <w:tcW w:type="dxa" w:w="2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125</w:t>
            </w:r>
          </w:p>
        </w:tc>
        <w:tc>
          <w:tcPr>
            <w:tcW w:type="dxa" w:w="2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175</w:t>
            </w:r>
          </w:p>
        </w:tc>
        <w:tc>
          <w:tcPr>
            <w:tcW w:type="dxa" w:w="2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1.40</w:t>
            </w:r>
          </w:p>
        </w:tc>
      </w:tr>
      <w:tr>
        <w:tc>
          <w:tcPr>
            <w:tcW w:type="dxa" w:w="2700"/>
            <w:shd w:fill="FFFFFF" w:color="auto" w:val="clear"/>
            <w:tcMar>
              <w:top w:type="dxa" w:w="50"/>
              <w:left w:type="dxa" w:w="100"/>
              <w:bottom w:type="dxa" w:w="50"/>
              <w:right w:type="dxa" w:w="100"/>
            </w:tcMar>
          </w:tcPr>
          <w:p>
            <w:pPr>
              <w:jc w:val="left"/>
            </w:pPr>
            <w:r>
              <w:rPr>
                <w:rFonts w:ascii="Malgun Gothic" w:cs="Malgun Gothic" w:eastAsia="Malgun Gothic" w:hAnsi="Malgun Gothic"/>
                <w:b/>
                <w:bCs/>
                <w:sz w:val="18"/>
                <w:szCs w:val="18"/>
              </w:rPr>
              <w:t xml:space="preserve">부개교당</w:t>
            </w:r>
          </w:p>
        </w:tc>
        <w:tc>
          <w:tcPr>
            <w:tcW w:type="dxa" w:w="21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195</w:t>
            </w:r>
          </w:p>
        </w:tc>
        <w:tc>
          <w:tcPr>
            <w:tcW w:type="dxa" w:w="21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1,759</w:t>
            </w:r>
          </w:p>
        </w:tc>
        <w:tc>
          <w:tcPr>
            <w:tcW w:type="dxa" w:w="21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9.02</w:t>
            </w:r>
          </w:p>
        </w:tc>
      </w:tr>
      <w:tr>
        <w:tc>
          <w:tcPr>
            <w:tcW w:type="dxa" w:w="2700"/>
            <w:shd w:fill="EEF1F5" w:color="auto" w:val="clear"/>
            <w:tcMar>
              <w:top w:type="dxa" w:w="50"/>
              <w:left w:type="dxa" w:w="100"/>
              <w:bottom w:type="dxa" w:w="50"/>
              <w:right w:type="dxa" w:w="100"/>
            </w:tcMar>
          </w:tcPr>
          <w:p>
            <w:pPr>
              <w:jc w:val="left"/>
            </w:pPr>
            <w:r>
              <w:rPr>
                <w:rFonts w:ascii="Malgun Gothic" w:cs="Malgun Gothic" w:eastAsia="Malgun Gothic" w:hAnsi="Malgun Gothic"/>
                <w:b/>
                <w:bCs/>
                <w:sz w:val="18"/>
                <w:szCs w:val="18"/>
              </w:rPr>
              <w:t xml:space="preserve">가평교당</w:t>
            </w:r>
          </w:p>
        </w:tc>
        <w:tc>
          <w:tcPr>
            <w:tcW w:type="dxa" w:w="2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441</w:t>
            </w:r>
          </w:p>
        </w:tc>
        <w:tc>
          <w:tcPr>
            <w:tcW w:type="dxa" w:w="2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2,610</w:t>
            </w:r>
          </w:p>
        </w:tc>
        <w:tc>
          <w:tcPr>
            <w:tcW w:type="dxa" w:w="2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5.92</w:t>
            </w:r>
          </w:p>
        </w:tc>
      </w:tr>
      <w:tr>
        <w:tc>
          <w:tcPr>
            <w:tcW w:type="dxa" w:w="2700"/>
            <w:shd w:fill="FFFFFF" w:color="auto" w:val="clear"/>
            <w:tcMar>
              <w:top w:type="dxa" w:w="50"/>
              <w:left w:type="dxa" w:w="100"/>
              <w:bottom w:type="dxa" w:w="50"/>
              <w:right w:type="dxa" w:w="100"/>
            </w:tcMar>
          </w:tcPr>
          <w:p>
            <w:pPr>
              <w:jc w:val="left"/>
            </w:pPr>
            <w:r>
              <w:rPr>
                <w:rFonts w:ascii="Malgun Gothic" w:cs="Malgun Gothic" w:eastAsia="Malgun Gothic" w:hAnsi="Malgun Gothic"/>
                <w:b/>
                <w:bCs/>
                <w:sz w:val="18"/>
                <w:szCs w:val="18"/>
              </w:rPr>
              <w:t xml:space="preserve">양평교당</w:t>
            </w:r>
          </w:p>
        </w:tc>
        <w:tc>
          <w:tcPr>
            <w:tcW w:type="dxa" w:w="21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467</w:t>
            </w:r>
          </w:p>
        </w:tc>
        <w:tc>
          <w:tcPr>
            <w:tcW w:type="dxa" w:w="21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4,477</w:t>
            </w:r>
          </w:p>
        </w:tc>
        <w:tc>
          <w:tcPr>
            <w:tcW w:type="dxa" w:w="21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9.59</w:t>
            </w:r>
          </w:p>
        </w:tc>
      </w:tr>
      <w:tr>
        <w:tc>
          <w:tcPr>
            <w:tcW w:type="dxa" w:w="2700"/>
            <w:shd w:fill="EEF1F5" w:color="auto" w:val="clear"/>
            <w:tcMar>
              <w:top w:type="dxa" w:w="50"/>
              <w:left w:type="dxa" w:w="100"/>
              <w:bottom w:type="dxa" w:w="50"/>
              <w:right w:type="dxa" w:w="100"/>
            </w:tcMar>
          </w:tcPr>
          <w:p>
            <w:pPr>
              <w:jc w:val="left"/>
            </w:pPr>
            <w:r>
              <w:rPr>
                <w:rFonts w:ascii="Malgun Gothic" w:cs="Malgun Gothic" w:eastAsia="Malgun Gothic" w:hAnsi="Malgun Gothic"/>
                <w:b/>
                <w:bCs/>
                <w:sz w:val="18"/>
                <w:szCs w:val="18"/>
              </w:rPr>
              <w:t xml:space="preserve">하남교당</w:t>
            </w:r>
          </w:p>
        </w:tc>
        <w:tc>
          <w:tcPr>
            <w:tcW w:type="dxa" w:w="2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570</w:t>
            </w:r>
          </w:p>
        </w:tc>
        <w:tc>
          <w:tcPr>
            <w:tcW w:type="dxa" w:w="2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4,748</w:t>
            </w:r>
          </w:p>
        </w:tc>
        <w:tc>
          <w:tcPr>
            <w:tcW w:type="dxa" w:w="2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8.33</w:t>
            </w:r>
          </w:p>
        </w:tc>
      </w:tr>
      <w:tr>
        <w:tc>
          <w:tcPr>
            <w:tcW w:type="dxa" w:w="2700"/>
            <w:shd w:fill="FFFFFF" w:color="auto" w:val="clear"/>
            <w:tcMar>
              <w:top w:type="dxa" w:w="50"/>
              <w:left w:type="dxa" w:w="100"/>
              <w:bottom w:type="dxa" w:w="50"/>
              <w:right w:type="dxa" w:w="100"/>
            </w:tcMar>
          </w:tcPr>
          <w:p>
            <w:pPr>
              <w:jc w:val="left"/>
            </w:pPr>
            <w:r>
              <w:rPr>
                <w:rFonts w:ascii="Malgun Gothic" w:cs="Malgun Gothic" w:eastAsia="Malgun Gothic" w:hAnsi="Malgun Gothic"/>
                <w:b/>
                <w:bCs/>
                <w:sz w:val="18"/>
                <w:szCs w:val="18"/>
              </w:rPr>
              <w:t xml:space="preserve">오정교당</w:t>
            </w:r>
          </w:p>
        </w:tc>
        <w:tc>
          <w:tcPr>
            <w:tcW w:type="dxa" w:w="21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495</w:t>
            </w:r>
          </w:p>
        </w:tc>
        <w:tc>
          <w:tcPr>
            <w:tcW w:type="dxa" w:w="21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6,013</w:t>
            </w:r>
          </w:p>
        </w:tc>
        <w:tc>
          <w:tcPr>
            <w:tcW w:type="dxa" w:w="21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12.15</w:t>
            </w:r>
          </w:p>
        </w:tc>
      </w:tr>
      <w:tr>
        <w:tc>
          <w:tcPr>
            <w:tcW w:type="dxa" w:w="2700"/>
            <w:shd w:fill="EEF1F5" w:color="auto" w:val="clear"/>
            <w:tcMar>
              <w:top w:type="dxa" w:w="50"/>
              <w:left w:type="dxa" w:w="100"/>
              <w:bottom w:type="dxa" w:w="50"/>
              <w:right w:type="dxa" w:w="100"/>
            </w:tcMar>
          </w:tcPr>
          <w:p>
            <w:pPr>
              <w:jc w:val="left"/>
            </w:pPr>
            <w:r>
              <w:rPr>
                <w:rFonts w:ascii="Malgun Gothic" w:cs="Malgun Gothic" w:eastAsia="Malgun Gothic" w:hAnsi="Malgun Gothic"/>
                <w:b/>
                <w:bCs/>
                <w:sz w:val="18"/>
                <w:szCs w:val="18"/>
              </w:rPr>
              <w:t xml:space="preserve">수정교당</w:t>
            </w:r>
          </w:p>
        </w:tc>
        <w:tc>
          <w:tcPr>
            <w:tcW w:type="dxa" w:w="2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756</w:t>
            </w:r>
          </w:p>
        </w:tc>
        <w:tc>
          <w:tcPr>
            <w:tcW w:type="dxa" w:w="2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6,443</w:t>
            </w:r>
          </w:p>
        </w:tc>
        <w:tc>
          <w:tcPr>
            <w:tcW w:type="dxa" w:w="2100"/>
            <w:shd w:fill="EEF1F5"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8.52</w:t>
            </w:r>
          </w:p>
        </w:tc>
      </w:tr>
      <w:tr>
        <w:tc>
          <w:tcPr>
            <w:tcW w:type="dxa" w:w="2700"/>
            <w:shd w:fill="FFFFFF" w:color="auto" w:val="clear"/>
            <w:tcMar>
              <w:top w:type="dxa" w:w="50"/>
              <w:left w:type="dxa" w:w="100"/>
              <w:bottom w:type="dxa" w:w="50"/>
              <w:right w:type="dxa" w:w="100"/>
            </w:tcMar>
          </w:tcPr>
          <w:p>
            <w:pPr>
              <w:jc w:val="left"/>
            </w:pPr>
            <w:r>
              <w:rPr>
                <w:rFonts w:ascii="Malgun Gothic" w:cs="Malgun Gothic" w:eastAsia="Malgun Gothic" w:hAnsi="Malgun Gothic"/>
                <w:b/>
                <w:bCs/>
                <w:sz w:val="18"/>
                <w:szCs w:val="18"/>
              </w:rPr>
              <w:t xml:space="preserve">청라교당</w:t>
            </w:r>
          </w:p>
        </w:tc>
        <w:tc>
          <w:tcPr>
            <w:tcW w:type="dxa" w:w="21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787</w:t>
            </w:r>
          </w:p>
        </w:tc>
        <w:tc>
          <w:tcPr>
            <w:tcW w:type="dxa" w:w="21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7,172</w:t>
            </w:r>
          </w:p>
        </w:tc>
        <w:tc>
          <w:tcPr>
            <w:tcW w:type="dxa" w:w="2100"/>
            <w:shd w:fill="FFFFFF" w:color="auto" w:val="clear"/>
            <w:tcMar>
              <w:top w:type="dxa" w:w="50"/>
              <w:left w:type="dxa" w:w="100"/>
              <w:bottom w:type="dxa" w:w="50"/>
              <w:right w:type="dxa" w:w="100"/>
            </w:tcMar>
          </w:tcPr>
          <w:p>
            <w:pPr>
              <w:jc w:val="right"/>
            </w:pPr>
            <w:r>
              <w:rPr>
                <w:rFonts w:ascii="Malgun Gothic" w:cs="Malgun Gothic" w:eastAsia="Malgun Gothic" w:hAnsi="Malgun Gothic"/>
                <w:b w:val="false"/>
                <w:bCs w:val="false"/>
                <w:sz w:val="18"/>
                <w:szCs w:val="18"/>
              </w:rPr>
              <w:t xml:space="preserve">9.11</w:t>
            </w:r>
          </w:p>
        </w:tc>
      </w:tr>
    </w:tbl>
    <w:p>
      <w:pPr>
        <w:spacing w:after="120" w:line="300"/>
      </w:pPr>
      <w:r>
        <w:rPr>
          <w:rFonts w:ascii="Malgun Gothic" w:cs="Malgun Gothic" w:eastAsia="Malgun Gothic" w:hAnsi="Malgun Gothic"/>
          <w:sz w:val="20"/>
          <w:szCs w:val="20"/>
        </w:rPr>
        <w:t xml:space="preserve">병점·부개·가평 등 소규모 교당은 개최 건수와 참석이 모두 낮아, 인접 교당과의 연합 법회, 순회 교화, 온라인 병행 등 소규모 교당 맞춤형 지원 방안을 검토할 필요가 있다.</w:t>
      </w:r>
    </w:p>
    <w:p>
      <w:r>
        <w:br w:type="page"/>
      </w:r>
    </w:p>
    <w:p>
      <w:pPr>
        <w:pStyle w:val="Heading1"/>
        <w:spacing w:after="140" w:before="280"/>
      </w:pPr>
      <w:r>
        <w:rPr>
          <w:rFonts w:ascii="Malgun Gothic" w:cs="Malgun Gothic" w:eastAsia="Malgun Gothic" w:hAnsi="Malgun Gothic"/>
          <w:b/>
          <w:bCs/>
          <w:color w:val="1F3A5F"/>
          <w:sz w:val="28"/>
          <w:szCs w:val="28"/>
        </w:rPr>
        <w:t xml:space="preserve">7. 참석자 구성 (교도·신도·전무출신 / 성별)</w:t>
      </w:r>
    </w:p>
    <w:p>
      <w:pPr>
        <w:spacing w:after="120" w:before="80"/>
        <w:jc w:val="center"/>
      </w:pPr>
      <w:r>
        <w:drawing>
          <wp:inline distT="0" distB="0" distL="0" distR="0">
            <wp:extent cx="4953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352675"/>
                    </a:xfrm>
                    <a:prstGeom prst="rect">
                      <a:avLst/>
                    </a:prstGeom>
                  </pic:spPr>
                </pic:pic>
              </a:graphicData>
            </a:graphic>
          </wp:inline>
        </w:drawing>
      </w:r>
    </w:p>
    <w:p>
      <w:pPr>
        <w:spacing w:after="120" w:line="300"/>
      </w:pPr>
      <w:r>
        <w:rPr>
          <w:rFonts w:ascii="Malgun Gothic" w:cs="Malgun Gothic" w:eastAsia="Malgun Gothic" w:hAnsi="Malgun Gothic"/>
          <w:sz w:val="20"/>
          <w:szCs w:val="20"/>
        </w:rPr>
        <w:t xml:space="preserve">11년 누적 기준 참석자의 89.1%가 교도로, 법회는 사실상 재적 신자 중심으로 운영된다. 신도(8.4%)는 외부 접점을 보여주는 지표인데 코로나 이후 크게 위축되었다가 회복 중이며, 전무출신은 2.5% 수준으로 안정적이다. 성별로는 모든 연도에서 여성 비중이 60~66%로 일관되게 높아, 여성 중심의 신앙 공동체 특성이 확인된다.</w:t>
      </w:r>
    </w:p>
    <w:p>
      <w:pPr>
        <w:pStyle w:val="Heading1"/>
        <w:spacing w:after="140" w:before="280"/>
      </w:pPr>
      <w:r>
        <w:rPr>
          <w:rFonts w:ascii="Malgun Gothic" w:cs="Malgun Gothic" w:eastAsia="Malgun Gothic" w:hAnsi="Malgun Gothic"/>
          <w:b/>
          <w:bCs/>
          <w:color w:val="1F3A5F"/>
          <w:sz w:val="28"/>
          <w:szCs w:val="28"/>
        </w:rPr>
        <w:t xml:space="preserve">8. 주요 발견 및 시사점</w:t>
      </w:r>
    </w:p>
    <w:p>
      <w:pPr>
        <w:pStyle w:val="ListParagraph"/>
        <w:numPr>
          <w:ilvl w:val="0"/>
          <w:numId w:val="1"/>
        </w:numPr>
        <w:spacing w:after="80" w:line="290"/>
      </w:pPr>
      <w:r>
        <w:rPr>
          <w:rFonts w:ascii="Malgun Gothic" w:cs="Malgun Gothic" w:eastAsia="Malgun Gothic" w:hAnsi="Malgun Gothic"/>
          <w:sz w:val="20"/>
          <w:szCs w:val="20"/>
        </w:rPr>
        <w:t xml:space="preserve">인원은 회복 중이나 ‘개최 빈도’와 ‘신도 접점’은 구조적으로 위축 — 참석 연인원은 2019년 대비 93%까지 돌아왔지만, 교당당 정례법회 개최수는 코로나 이전 대비 낮은 수준에 머물고 신도 참여 회복이 특히 더디다. 신규 유입 경로 재건이 핵심 과제.</w:t>
      </w:r>
    </w:p>
    <w:p>
      <w:pPr>
        <w:pStyle w:val="ListParagraph"/>
        <w:numPr>
          <w:ilvl w:val="0"/>
          <w:numId w:val="1"/>
        </w:numPr>
        <w:spacing w:after="80" w:line="290"/>
      </w:pPr>
      <w:r>
        <w:rPr>
          <w:rFonts w:ascii="Malgun Gothic" w:cs="Malgun Gothic" w:eastAsia="Malgun Gothic" w:hAnsi="Malgun Gothic"/>
          <w:sz w:val="20"/>
          <w:szCs w:val="20"/>
        </w:rPr>
        <w:t xml:space="preserve">교당 간 양극화 완화 필요 — 상위 소수 교당에 참석이 집중. 소규모 교당은 연합·순회·온라인 병행 등 맞춤 지원 검토.</w:t>
      </w:r>
    </w:p>
    <w:p>
      <w:pPr>
        <w:pStyle w:val="ListParagraph"/>
        <w:numPr>
          <w:ilvl w:val="0"/>
          <w:numId w:val="1"/>
        </w:numPr>
        <w:spacing w:after="80" w:line="290"/>
      </w:pPr>
      <w:r>
        <w:rPr>
          <w:rFonts w:ascii="Malgun Gothic" w:cs="Malgun Gothic" w:eastAsia="Malgun Gothic" w:hAnsi="Malgun Gothic"/>
          <w:sz w:val="20"/>
          <w:szCs w:val="20"/>
        </w:rPr>
        <w:t xml:space="preserve">대형 재일(4축2재)의 높은 집객력 활용 — 건당 참석이 가장 높은 4축2재를 외부인 초청·신규 접점 확대의 전략 행사로 기획.</w:t>
      </w:r>
    </w:p>
    <w:p>
      <w:pPr>
        <w:pStyle w:val="ListParagraph"/>
        <w:numPr>
          <w:ilvl w:val="0"/>
          <w:numId w:val="1"/>
        </w:numPr>
        <w:spacing w:after="80" w:line="290"/>
      </w:pPr>
      <w:r>
        <w:rPr>
          <w:rFonts w:ascii="Malgun Gothic" w:cs="Malgun Gothic" w:eastAsia="Malgun Gothic" w:hAnsi="Malgun Gothic"/>
          <w:sz w:val="20"/>
          <w:szCs w:val="20"/>
        </w:rPr>
        <w:t xml:space="preserve">청소년·차세대 교화 점검 — 청소년활동 기록이 사실상 부재에 가까워, 별도의 데이터 관리와 프로그램 강화가 요구됨.</w:t>
      </w:r>
    </w:p>
    <w:p>
      <w:pPr>
        <w:pStyle w:val="ListParagraph"/>
        <w:numPr>
          <w:ilvl w:val="0"/>
          <w:numId w:val="1"/>
        </w:numPr>
        <w:spacing w:after="80" w:line="290"/>
      </w:pPr>
      <w:r>
        <w:rPr>
          <w:rFonts w:ascii="Malgun Gothic" w:cs="Malgun Gothic" w:eastAsia="Malgun Gothic" w:hAnsi="Malgun Gothic"/>
          <w:sz w:val="20"/>
          <w:szCs w:val="20"/>
        </w:rPr>
        <w:t xml:space="preserve">여성 중심 구조에 대한 이해 — 지속적 여성 우위(약 1.7:1)를 고려한 프로그램·리더십 구성이 유효.</w:t>
      </w:r>
    </w:p>
    <w:p>
      <w:pPr>
        <w:pStyle w:val="Heading1"/>
        <w:spacing w:after="140" w:before="280"/>
      </w:pPr>
      <w:r>
        <w:rPr>
          <w:rFonts w:ascii="Malgun Gothic" w:cs="Malgun Gothic" w:eastAsia="Malgun Gothic" w:hAnsi="Malgun Gothic"/>
          <w:b/>
          <w:bCs/>
          <w:color w:val="1F3A5F"/>
          <w:sz w:val="28"/>
          <w:szCs w:val="28"/>
        </w:rPr>
        <w:t xml:space="preserve">9. 데이터의 한계</w:t>
      </w:r>
    </w:p>
    <w:p>
      <w:pPr>
        <w:pStyle w:val="ListParagraph"/>
        <w:numPr>
          <w:ilvl w:val="0"/>
          <w:numId w:val="1"/>
        </w:numPr>
        <w:spacing w:after="80" w:line="290"/>
      </w:pPr>
      <w:r>
        <w:rPr>
          <w:rFonts w:ascii="Malgun Gothic" w:cs="Malgun Gothic" w:eastAsia="Malgun Gothic" w:hAnsi="Malgun Gothic"/>
          <w:sz w:val="20"/>
          <w:szCs w:val="20"/>
        </w:rPr>
        <w:t xml:space="preserve">‘교당(대면)’ 법회만 수집 — 코로나기 화상·영상 법회 미포함으로 2020~2021년 감소가 실제보다 크게 나타날 수 있음.</w:t>
      </w:r>
    </w:p>
    <w:p>
      <w:pPr>
        <w:pStyle w:val="ListParagraph"/>
        <w:numPr>
          <w:ilvl w:val="0"/>
          <w:numId w:val="1"/>
        </w:numPr>
        <w:spacing w:after="80" w:line="290"/>
      </w:pPr>
      <w:r>
        <w:rPr>
          <w:rFonts w:ascii="Malgun Gothic" w:cs="Malgun Gothic" w:eastAsia="Malgun Gothic" w:hAnsi="Malgun Gothic"/>
          <w:sz w:val="20"/>
          <w:szCs w:val="20"/>
        </w:rPr>
        <w:t xml:space="preserve">참석 수치는 연인원(중복 포함)으로, 실제 순참여자 수와는 다름.</w:t>
      </w:r>
    </w:p>
    <w:p>
      <w:pPr>
        <w:pStyle w:val="ListParagraph"/>
        <w:numPr>
          <w:ilvl w:val="0"/>
          <w:numId w:val="1"/>
        </w:numPr>
        <w:spacing w:after="80" w:line="290"/>
      </w:pPr>
      <w:r>
        <w:rPr>
          <w:rFonts w:ascii="Malgun Gothic" w:cs="Malgun Gothic" w:eastAsia="Malgun Gothic" w:hAnsi="Malgun Gothic"/>
          <w:sz w:val="20"/>
          <w:szCs w:val="20"/>
        </w:rPr>
        <w:t xml:space="preserve">원자료의 합계·머리글·‘목록 없음’ 행은 분석에서 제외(유효 43,038건).</w:t>
      </w:r>
    </w:p>
    <w:p>
      <w:pPr>
        <w:pStyle w:val="ListParagraph"/>
        <w:numPr>
          <w:ilvl w:val="0"/>
          <w:numId w:val="1"/>
        </w:numPr>
        <w:spacing w:after="80" w:line="290"/>
      </w:pPr>
      <w:r>
        <w:rPr>
          <w:rFonts w:ascii="Malgun Gothic" w:cs="Malgun Gothic" w:eastAsia="Malgun Gothic" w:hAnsi="Malgun Gothic"/>
          <w:sz w:val="20"/>
          <w:szCs w:val="20"/>
        </w:rPr>
        <w:t xml:space="preserve">데이터가 존재하는 교당은 47개로, 일부 선교소·신설 단위 등 4개는 법회 기록이 없어 분석에서 자연 제외됨.</w:t>
      </w:r>
    </w:p>
    <w:p>
      <w:pPr>
        <w:pBdr>
          <w:top w:val="single" w:color="CCCCCC" w:sz="4" w:space="8"/>
        </w:pBdr>
        <w:spacing w:before="240"/>
      </w:pPr>
      <w:r>
        <w:rPr>
          <w:rFonts w:ascii="Malgun Gothic" w:cs="Malgun Gothic" w:eastAsia="Malgun Gothic" w:hAnsi="Malgun Gothic"/>
          <w:i/>
          <w:iCs/>
          <w:color w:val="888888"/>
          <w:sz w:val="16"/>
          <w:szCs w:val="16"/>
        </w:rPr>
        <w:t xml:space="preserve">본 보고서는 교역자광장에서 수집·정제한 법회목록 데이터에 근거하며, 수치는 정제 기준에 따라 달라질 수 있습니다.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c01dc010e80aecc61254154241eedc0196106a0.png"/><Relationship Id="rId8" Type="http://schemas.openxmlformats.org/officeDocument/2006/relationships/image" Target="media/fa56050a5aed50bdc37f6109f9d085be308230e5.png"/><Relationship Id="rId9" Type="http://schemas.openxmlformats.org/officeDocument/2006/relationships/image" Target="media/7248ce0be384df261f1d29985189ca7538658902.png"/><Relationship Id="rId10" Type="http://schemas.openxmlformats.org/officeDocument/2006/relationships/image" Target="media/a4f2fc85aef7a9f50275f149e288e43690125b1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2026-07-09T08:02:45.005Z</dcterms:created>
  <dcterms:modified xsi:type="dcterms:W3CDTF">2026-07-09T08:02:45.005Z</dcterms:modified>
</cp:coreProperties>
</file>

<file path=docProps/custom.xml><?xml version="1.0" encoding="utf-8"?>
<Properties xmlns="http://schemas.openxmlformats.org/officeDocument/2006/custom-properties" xmlns:vt="http://schemas.openxmlformats.org/officeDocument/2006/docPropsVTypes"/>
</file>