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>PART B – MORTGAGE MARKET ANALYSIS (Recursion Analyzer Queries)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>Question 1: Active Mortgage Lenders/Sellers to GSEs (2025)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1a. </w:t>
      </w:r>
      <w:proofErr w:type="gramStart"/>
      <w:r w:rsidR="00B21EE4" w:rsidRPr="00B21EE4">
        <w:rPr>
          <w:rFonts w:ascii="Times New Roman" w:eastAsiaTheme="majorEastAsia" w:hAnsi="Times New Roman" w:cs="Times New Roman"/>
          <w:b/>
          <w:bCs/>
          <w:sz w:val="24"/>
          <w:szCs w:val="24"/>
        </w:rPr>
        <w:t>For</w:t>
      </w:r>
      <w:proofErr w:type="gramEnd"/>
      <w:r w:rsidR="00B21EE4" w:rsidRPr="00B21EE4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each seller to GSEs, find the total mortgage loan count and issuance balance to each of the GSEs</w:t>
      </w: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Query Approach in Recursion Analyzer: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Filter: Settlement Year = 2025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Group By: Seller Name, GSE (Fannie Mae / Freddie Mac)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Aggregations: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COUNT(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Loan ID) as "Loan Count"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SUM(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Original Loan Balance) as "Total Issuance Balance"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1b. </w:t>
      </w:r>
      <w:r w:rsidR="007B1447">
        <w:rPr>
          <w:rFonts w:ascii="Times New Roman" w:eastAsiaTheme="majorEastAsia" w:hAnsi="Times New Roman" w:cs="Times New Roman"/>
          <w:b/>
          <w:bCs/>
          <w:sz w:val="24"/>
          <w:szCs w:val="24"/>
        </w:rPr>
        <w:t>How many active</w:t>
      </w:r>
      <w:r w:rsidR="007B1447" w:rsidRPr="007B1447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</w:t>
      </w:r>
      <w:r w:rsidR="008156EB">
        <w:rPr>
          <w:rFonts w:ascii="Times New Roman" w:eastAsiaTheme="majorEastAsia" w:hAnsi="Times New Roman" w:cs="Times New Roman"/>
          <w:b/>
          <w:bCs/>
          <w:sz w:val="24"/>
          <w:szCs w:val="24"/>
        </w:rPr>
        <w:t>el</w:t>
      </w:r>
      <w:r w:rsidR="007B1447">
        <w:rPr>
          <w:rFonts w:ascii="Times New Roman" w:eastAsiaTheme="majorEastAsia" w:hAnsi="Times New Roman" w:cs="Times New Roman"/>
          <w:b/>
          <w:bCs/>
          <w:sz w:val="24"/>
          <w:szCs w:val="24"/>
        </w:rPr>
        <w:t>lers</w:t>
      </w:r>
      <w:r w:rsidR="008156EB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(lenders) to each of the two</w:t>
      </w:r>
      <w:r w:rsidR="00454051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GSEs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Fannie Mae: We use a filter on GSE = Fannie Mae, Year = 2025, then count distinct Seller Names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Freddie Mac: We use a filter on GSE = Freddie Mac, Year = 2025, then count distinct Seller Names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_Expected Result_: We expect 1,000+ active sellers to each GSE, with Fannie Mae having slightly more than Freddie Mac because of larger market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share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.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1c. How many </w:t>
      </w:r>
      <w:r w:rsidR="00454051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active sellers (lenders) that sold mortgage loans to </w:t>
      </w:r>
      <w:r w:rsidR="00E65A75">
        <w:rPr>
          <w:rFonts w:ascii="Times New Roman" w:eastAsiaTheme="majorEastAsia" w:hAnsi="Times New Roman" w:cs="Times New Roman"/>
          <w:b/>
          <w:bCs/>
          <w:sz w:val="24"/>
          <w:szCs w:val="24"/>
        </w:rPr>
        <w:t>both</w:t>
      </w:r>
      <w:r w:rsidR="005E05F0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the</w:t>
      </w:r>
      <w:r w:rsidR="00061B16">
        <w:rPr>
          <w:rFonts w:ascii="Times New Roman" w:eastAsiaTheme="majorEastAsia" w:hAnsi="Times New Roman" w:cs="Times New Roman"/>
          <w:b/>
          <w:bCs/>
          <w:sz w:val="24"/>
          <w:szCs w:val="24"/>
        </w:rPr>
        <w:t xml:space="preserve"> GSEs in 2025?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Query Approach: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Step 1: Get a list of sellers to Fannie Mae in 2025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Step 2: Get a list of sellers to Freddie Mac in 2025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Step 3: Find INTERSECTION of both lists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_Expected Result_: Most large lenders, such as Wells Fargo, JPMorgan, Quicken/Rocket, etc., sell to both GSEs. We expect 60-70% of sellers to serve both.</w:t>
      </w:r>
    </w:p>
    <w:p w:rsidR="007B1447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 xml:space="preserve">1d. </w:t>
      </w:r>
      <w:r w:rsidR="007B1447" w:rsidRPr="007B1447">
        <w:rPr>
          <w:rFonts w:ascii="Times New Roman" w:eastAsiaTheme="majorEastAsia" w:hAnsi="Times New Roman" w:cs="Times New Roman"/>
          <w:b/>
          <w:bCs/>
          <w:sz w:val="24"/>
          <w:szCs w:val="24"/>
        </w:rPr>
        <w:t>How many actively sellers (lenders) that sold mortgage loans to ONLY one of the GSEs in 2025?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Query Approach: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Total Unique Sellers - Sellers to Both GSEs = Sellers to Only One GSE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Also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can be calculated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as: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(Fannie Mae only sellers) + (Freddie Mac only sellers)</w:t>
      </w:r>
    </w:p>
    <w:p w:rsidR="00EF0669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_Expected Result_: Small lenders and credit unions have exclusive relationships. 30-40% of them sell to only one GSE.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>Question 2: Private Mortgage Insurance (PMI) Analysis - Fannie Mae MBS 2025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sz w:val="24"/>
          <w:szCs w:val="24"/>
        </w:rPr>
        <w:t>2a. Using PMI Indicator ("Mortgage Insurance Y/N")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Query: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Filter: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GSE = Fannie Mae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Settlement Year = 2025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Mortgage Insurance = Yes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Aggregations: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COUNT(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Loan ID) as "Loan Count"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SUM(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Original Loan Balance) as "Total Balance"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Group By: PMI Company Name (if available)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</w:p>
    <w:p w:rsidR="00EF0669" w:rsidRPr="00F96138" w:rsidRDefault="00EF0669" w:rsidP="00EF0669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96138">
        <w:rPr>
          <w:rFonts w:ascii="Times New Roman" w:eastAsiaTheme="majorEastAsia" w:hAnsi="Times New Roman" w:cs="Times New Roman"/>
          <w:b/>
          <w:bCs/>
          <w:sz w:val="24"/>
          <w:szCs w:val="24"/>
        </w:rPr>
        <w:t>2b. Using LTV &gt; 80%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Query: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Filter: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GSE = Fannie Mae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Settlement Year = 2025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lastRenderedPageBreak/>
        <w:t xml:space="preserve">  - Original LTV &gt; 80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Aggregations: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COUNT(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Loan ID) as "Loan Count"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 xml:space="preserve">  - </w:t>
      </w:r>
      <w:proofErr w:type="gramStart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SUM(</w:t>
      </w:r>
      <w:proofErr w:type="gramEnd"/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Original Loan Balance) as "Total Balance"</w:t>
      </w:r>
    </w:p>
    <w:p w:rsidR="00EF0669" w:rsidRPr="00F81DCA" w:rsidRDefault="00EF0669" w:rsidP="00EF0669">
      <w:pPr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Group By: PMI Company Name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sz w:val="24"/>
          <w:szCs w:val="24"/>
        </w:rPr>
        <w:t>Key PMI Companies to Look For: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PMI Company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Ticker</w:t>
            </w:r>
          </w:p>
        </w:tc>
      </w:tr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MGIC Investment Corp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MTG</w:t>
            </w:r>
          </w:p>
        </w:tc>
      </w:tr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Radian Group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RDN</w:t>
            </w:r>
          </w:p>
        </w:tc>
      </w:tr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Essent</w:t>
            </w:r>
            <w:proofErr w:type="spellEnd"/>
            <w:r w:rsidRPr="00F81DCA">
              <w:rPr>
                <w:rFonts w:ascii="Times New Roman" w:hAnsi="Times New Roman" w:cs="Times New Roman"/>
                <w:sz w:val="24"/>
                <w:szCs w:val="24"/>
              </w:rPr>
              <w:t xml:space="preserve"> Group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ESNT</w:t>
            </w:r>
          </w:p>
        </w:tc>
      </w:tr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Arch Capital (Arch MI)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ACGL</w:t>
            </w:r>
          </w:p>
        </w:tc>
      </w:tr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National MI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NMIH</w:t>
            </w:r>
          </w:p>
        </w:tc>
      </w:tr>
      <w:tr w:rsidR="00EF0669" w:rsidRPr="00F81DCA" w:rsidTr="00D61A6E"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Enact Holdings</w:t>
            </w:r>
          </w:p>
        </w:tc>
        <w:tc>
          <w:tcPr>
            <w:tcW w:w="432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</w:tr>
    </w:tbl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Note</w:t>
      </w:r>
      <w:r w:rsidRPr="00F81DCA">
        <w:rPr>
          <w:rFonts w:ascii="Times New Roman" w:hAnsi="Times New Roman" w:cs="Times New Roman"/>
          <w:sz w:val="24"/>
          <w:szCs w:val="24"/>
        </w:rPr>
        <w:t>: Both approaches should yield similar results, but: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Method (a) captures all loans flagged with MI regardless of LTV</w:t>
      </w:r>
    </w:p>
    <w:p w:rsidR="00EF0669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Method (b) assumes all high-LTV loans require PMI (some exceptions exist for VA loans, piggyback loans)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</w:p>
    <w:p w:rsidR="00EF0669" w:rsidRPr="00F81DCA" w:rsidRDefault="00EF0669" w:rsidP="00EF066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D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Question 3: </w:t>
      </w:r>
      <w:proofErr w:type="spellStart"/>
      <w:r w:rsidRPr="00F81DCA">
        <w:rPr>
          <w:rFonts w:ascii="Times New Roman" w:hAnsi="Times New Roman" w:cs="Times New Roman"/>
          <w:color w:val="000000" w:themeColor="text1"/>
          <w:sz w:val="24"/>
          <w:szCs w:val="24"/>
        </w:rPr>
        <w:t>Ginnie</w:t>
      </w:r>
      <w:proofErr w:type="spellEnd"/>
      <w:r w:rsidRPr="00F81D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Mae MBS 2025 - Distribution Analysis</w:t>
      </w:r>
    </w:p>
    <w:p w:rsidR="00EF0669" w:rsidRPr="00F81DCA" w:rsidRDefault="00EF0669" w:rsidP="00EF066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DCA">
        <w:rPr>
          <w:rFonts w:ascii="Times New Roman" w:hAnsi="Times New Roman" w:cs="Times New Roman"/>
          <w:color w:val="000000" w:themeColor="text1"/>
          <w:sz w:val="24"/>
          <w:szCs w:val="24"/>
        </w:rPr>
        <w:t>3a. Distribution by Original Loan Balance (every $100k increment)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EF0669" w:rsidRPr="00F81DCA" w:rsidRDefault="00EF0669" w:rsidP="00EF0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 xml:space="preserve">Filter: GSE = </w:t>
      </w:r>
      <w:proofErr w:type="spellStart"/>
      <w:r w:rsidRPr="00F81DCA">
        <w:rPr>
          <w:rFonts w:ascii="Times New Roman" w:hAnsi="Times New Roman" w:cs="Times New Roman"/>
          <w:sz w:val="24"/>
          <w:szCs w:val="24"/>
        </w:rPr>
        <w:t>Ginnie</w:t>
      </w:r>
      <w:proofErr w:type="spellEnd"/>
      <w:r w:rsidRPr="00F81DCA">
        <w:rPr>
          <w:rFonts w:ascii="Times New Roman" w:hAnsi="Times New Roman" w:cs="Times New Roman"/>
          <w:sz w:val="24"/>
          <w:szCs w:val="24"/>
        </w:rPr>
        <w:t xml:space="preserve"> Mae, Year = 2025</w:t>
      </w:r>
      <w:r w:rsidRPr="00F81DCA">
        <w:rPr>
          <w:rFonts w:ascii="Times New Roman" w:hAnsi="Times New Roman" w:cs="Times New Roman"/>
          <w:sz w:val="24"/>
          <w:szCs w:val="24"/>
        </w:rPr>
        <w:br/>
        <w:t>Bucket By: Original Loan Balance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$0 - $100,000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$100,001 - $200,000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$200,001 - $300,000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$300,001 - $400,000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$400,001 - $500,000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$500,001 - $600,000</w:t>
      </w:r>
      <w:r w:rsidRPr="00F81DCA">
        <w:rPr>
          <w:rFonts w:ascii="Times New Roman" w:hAnsi="Times New Roman" w:cs="Times New Roman"/>
          <w:sz w:val="24"/>
          <w:szCs w:val="24"/>
        </w:rPr>
        <w:br/>
      </w:r>
      <w:r w:rsidRPr="00F81DCA">
        <w:rPr>
          <w:rFonts w:ascii="Times New Roman" w:hAnsi="Times New Roman" w:cs="Times New Roman"/>
          <w:sz w:val="24"/>
          <w:szCs w:val="24"/>
        </w:rPr>
        <w:lastRenderedPageBreak/>
        <w:t xml:space="preserve">  - $600,001+ (Jumbo - rare for </w:t>
      </w:r>
      <w:proofErr w:type="spellStart"/>
      <w:r w:rsidRPr="00F81DCA">
        <w:rPr>
          <w:rFonts w:ascii="Times New Roman" w:hAnsi="Times New Roman" w:cs="Times New Roman"/>
          <w:sz w:val="24"/>
          <w:szCs w:val="24"/>
        </w:rPr>
        <w:t>Ginnie</w:t>
      </w:r>
      <w:proofErr w:type="spellEnd"/>
      <w:r w:rsidRPr="00F81DCA">
        <w:rPr>
          <w:rFonts w:ascii="Times New Roman" w:hAnsi="Times New Roman" w:cs="Times New Roman"/>
          <w:sz w:val="24"/>
          <w:szCs w:val="24"/>
        </w:rPr>
        <w:t xml:space="preserve"> Mae)</w:t>
      </w:r>
      <w:r w:rsidRPr="00F81DCA">
        <w:rPr>
          <w:rFonts w:ascii="Times New Roman" w:hAnsi="Times New Roman" w:cs="Times New Roman"/>
          <w:sz w:val="24"/>
          <w:szCs w:val="24"/>
        </w:rPr>
        <w:br/>
        <w:t>Aggregations: Loan Count, Total Balance</w:t>
      </w:r>
      <w:r w:rsidRPr="00F81DCA">
        <w:rPr>
          <w:rFonts w:ascii="Times New Roman" w:hAnsi="Times New Roman" w:cs="Times New Roman"/>
          <w:sz w:val="24"/>
          <w:szCs w:val="24"/>
        </w:rPr>
        <w:br/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Notable Observations: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81DCA">
        <w:rPr>
          <w:rFonts w:ascii="Times New Roman" w:hAnsi="Times New Roman" w:cs="Times New Roman"/>
          <w:sz w:val="24"/>
          <w:szCs w:val="24"/>
        </w:rPr>
        <w:t>Ginnie</w:t>
      </w:r>
      <w:proofErr w:type="spellEnd"/>
      <w:r w:rsidRPr="00F81DCA">
        <w:rPr>
          <w:rFonts w:ascii="Times New Roman" w:hAnsi="Times New Roman" w:cs="Times New Roman"/>
          <w:sz w:val="24"/>
          <w:szCs w:val="24"/>
        </w:rPr>
        <w:t xml:space="preserve"> Mae (FHA/VA/USDA loans) typically has lower average balances than conventional GSE loans.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FHA loan limits vary by county but are generally lower than conforming limits.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 xml:space="preserve">Most </w:t>
      </w:r>
      <w:proofErr w:type="spellStart"/>
      <w:r w:rsidRPr="00F81DCA">
        <w:rPr>
          <w:rFonts w:ascii="Times New Roman" w:hAnsi="Times New Roman" w:cs="Times New Roman"/>
          <w:sz w:val="24"/>
          <w:szCs w:val="24"/>
        </w:rPr>
        <w:t>Ginnie</w:t>
      </w:r>
      <w:proofErr w:type="spellEnd"/>
      <w:r w:rsidRPr="00F81DCA">
        <w:rPr>
          <w:rFonts w:ascii="Times New Roman" w:hAnsi="Times New Roman" w:cs="Times New Roman"/>
          <w:sz w:val="24"/>
          <w:szCs w:val="24"/>
        </w:rPr>
        <w:t xml:space="preserve"> Mae loans cluster in </w:t>
      </w:r>
      <w:r w:rsidRPr="00F81DCA">
        <w:rPr>
          <w:rFonts w:ascii="Times New Roman" w:hAnsi="Times New Roman" w:cs="Times New Roman"/>
          <w:i/>
          <w:sz w:val="24"/>
          <w:szCs w:val="24"/>
        </w:rPr>
        <w:t xml:space="preserve">150,000 - </w:t>
      </w:r>
      <w:r w:rsidRPr="00F81DCA">
        <w:rPr>
          <w:rFonts w:ascii="Times New Roman" w:hAnsi="Times New Roman" w:cs="Times New Roman"/>
          <w:sz w:val="24"/>
          <w:szCs w:val="24"/>
        </w:rPr>
        <w:t>350,000 range.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VA loans may have higher averages due to no down payment requirement.</w:t>
      </w:r>
    </w:p>
    <w:p w:rsidR="00EF0669" w:rsidRPr="00F81DCA" w:rsidRDefault="00EF0669" w:rsidP="00EF0669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DCA">
        <w:rPr>
          <w:rFonts w:ascii="Times New Roman" w:hAnsi="Times New Roman" w:cs="Times New Roman"/>
          <w:color w:val="000000" w:themeColor="text1"/>
          <w:sz w:val="24"/>
          <w:szCs w:val="24"/>
        </w:rPr>
        <w:t>3b. Distribution by Mortgage Rate (every 0.50% increment)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Query:</w:t>
      </w:r>
    </w:p>
    <w:p w:rsidR="00EF0669" w:rsidRPr="00F81DCA" w:rsidRDefault="00EF0669" w:rsidP="00EF066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Bucket By: Note Rate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≤5.00%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- 5.01% - 5.50%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- 5.51% - 6.00%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- 6.01% - 6.50%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- 6.51% - 7.00%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- 7.01% - 7.50%</w:t>
      </w:r>
      <w:r w:rsidRPr="00F81DCA">
        <w:rPr>
          <w:rFonts w:ascii="Times New Roman" w:hAnsi="Times New Roman" w:cs="Times New Roman"/>
          <w:sz w:val="24"/>
          <w:szCs w:val="24"/>
        </w:rPr>
        <w:br/>
        <w:t xml:space="preserve">  - &gt;7.50%</w:t>
      </w:r>
      <w:r w:rsidRPr="00F81DCA">
        <w:rPr>
          <w:rFonts w:ascii="Times New Roman" w:hAnsi="Times New Roman" w:cs="Times New Roman"/>
          <w:sz w:val="24"/>
          <w:szCs w:val="24"/>
        </w:rPr>
        <w:br/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Notable Observations (2025):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Rates in 2025 depend heavily on Fed policy trajectory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FHA/VA loans often carry slightly higher rates than conventional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Distribution will show the impact of rate environment on issuance volume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Refinance activity spikes in lower rate buckets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3d. Distribution by Original LTV (each 20% increment)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Query: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Bucket By: Original LTV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- 0% - 20% (high equity)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- 21% - 40%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- 41% - 60%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- 61% - 80%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- 81% - 100% (low/no equity)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&gt;100% (underwater - rare for new originations)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Notable Observations: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FHA loans permit up to 96.5% LTV (3.5% down payment)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VA loans permit 100% LTV (zero down payment)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Ginnie</w:t>
      </w:r>
      <w:proofErr w:type="spellEnd"/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Mae will report much higher percentage in 80%+ LTV than conventional GSE pools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lastRenderedPageBreak/>
        <w:t>This is a major differentiator of government-insured mortgage programs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3e. Distribution by Original FICO Score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</w:pP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Query: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Bucket By: Credit Score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≤580 (Sub-prime threshold)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- 581 - 680 (Near-prime)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- 681 - 720 (Prime)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 - &gt;720 (Super-prime)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</w:p>
    <w:p w:rsidR="00EF0669" w:rsidRPr="00F81DCA" w:rsidRDefault="00EF0669" w:rsidP="00EF0669">
      <w:pPr>
        <w:pStyle w:val="ListBullet"/>
        <w:numPr>
          <w:ilvl w:val="0"/>
          <w:numId w:val="0"/>
        </w:num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Notable Observations: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FHA is intended for borrowers with lower credit scores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FHA minimum FICO of 500 (with 10% down payment) or 580 (with 3.5% down payment)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VA has no minimum FICO, but 620+ is required by lenders</w:t>
      </w:r>
    </w:p>
    <w:p w:rsidR="00EF0669" w:rsidRPr="00F81DCA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Ginnie</w:t>
      </w:r>
      <w:proofErr w:type="spellEnd"/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Mae pools will report wider FICO distribution than conventional GSE pools</w:t>
      </w:r>
    </w:p>
    <w:p w:rsidR="00EF0669" w:rsidRPr="00657006" w:rsidRDefault="00EF0669" w:rsidP="00EF066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DC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Underwriting standards have been much tighter since 2008; very few loans &lt;620</w:t>
      </w:r>
    </w:p>
    <w:p w:rsidR="00EF0669" w:rsidRPr="00F81DCA" w:rsidRDefault="00EF0669" w:rsidP="00EF066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F81DCA">
        <w:rPr>
          <w:rFonts w:ascii="Times New Roman" w:hAnsi="Times New Roman" w:cs="Times New Roman"/>
          <w:color w:val="auto"/>
          <w:sz w:val="24"/>
          <w:szCs w:val="24"/>
        </w:rPr>
        <w:t>PART B - Question 4: Day Count/Compounding Analysis</w:t>
      </w:r>
    </w:p>
    <w:p w:rsidR="00EF0669" w:rsidRPr="00F81DCA" w:rsidRDefault="00EF0669" w:rsidP="00EF066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F81DCA">
        <w:rPr>
          <w:rFonts w:ascii="Times New Roman" w:hAnsi="Times New Roman" w:cs="Times New Roman"/>
          <w:color w:val="auto"/>
          <w:sz w:val="24"/>
          <w:szCs w:val="24"/>
        </w:rPr>
        <w:t>The Two Investments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Investment I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Investment II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Principal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$10,000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$10,000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Coupon Rate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6.00%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6.10%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Payment Frequency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Semi-annually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Annually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Day Count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30/360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Actual/365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Purchase Price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100 (par)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100 (par)</w:t>
            </w:r>
          </w:p>
        </w:tc>
      </w:tr>
    </w:tbl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Calculate Effective Annual Yield</w:t>
      </w: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Investment I: 6.00% Semi-Annual with 30/360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Step 1: Calculate Semi-Annual Coupon Payment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Semi-Annual Coupon = $10,000 * (6.00%/2) = $300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lastRenderedPageBreak/>
        <w:t>Step 2: Calculate Effective Annual Yield (considering compounding effect)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Semi-annual compounding means you get $300 after 6 months and can reinvest it.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EAY = (1 + (0.06/2)</w:t>
      </w:r>
      <w:proofErr w:type="gramStart"/>
      <w:r w:rsidRPr="00F81DCA">
        <w:rPr>
          <w:rFonts w:ascii="Times New Roman" w:hAnsi="Times New Roman" w:cs="Times New Roman"/>
          <w:sz w:val="24"/>
          <w:szCs w:val="24"/>
        </w:rPr>
        <w:t>)²</w:t>
      </w:r>
      <w:proofErr w:type="gramEnd"/>
      <w:r w:rsidRPr="00F81DCA">
        <w:rPr>
          <w:rFonts w:ascii="Times New Roman" w:hAnsi="Times New Roman" w:cs="Times New Roman"/>
          <w:sz w:val="24"/>
          <w:szCs w:val="24"/>
        </w:rPr>
        <w:t xml:space="preserve"> - 1 = (1.03)² - 1 = 1.0609 - 1 = 6.09%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Step 3: Total Year-End Value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First Coupon after 6 months: $300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Second Coupon after 12 months: $300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Reinvestment Income (assuming same rate): $300 * 0.03 = $9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Total Return = $300 + $300 + $9 = $609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Effective Yield = 6.09%</w:t>
      </w: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Investment II: 6.10% Annual with Actual/365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Step 1: Calculate Annual Coupon Payment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Actual/365 means the actual number of days in a year matters for calculating the coupon payment.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Coupon Payment in a regular year = $10,000 * 6.10% * (365/365) = $610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Step 2: Effective Annual Yield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The payment is annual and not semi-annual. There is no compounding effect in this case.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EAY = 6.10%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Total Return = $610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Effective Yield = 6.10%</w:t>
      </w:r>
    </w:p>
    <w:p w:rsidR="00EF0669" w:rsidRPr="00F81DCA" w:rsidRDefault="00EF0669" w:rsidP="00EF0669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81DCA">
        <w:rPr>
          <w:rFonts w:ascii="Times New Roman" w:hAnsi="Times New Roman" w:cs="Times New Roman"/>
          <w:color w:val="000000" w:themeColor="text1"/>
          <w:sz w:val="24"/>
          <w:szCs w:val="24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Investment I (6.00% SA)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Investment II (6.10% Ann)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Nominal Rate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6.00%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6.10%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Effective Annual Yield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6.09%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6.10%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Total Cash Received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$600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$610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Reinvestment Income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~$9 (at 6% rate)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$0</w:t>
            </w:r>
          </w:p>
        </w:tc>
      </w:tr>
      <w:tr w:rsidR="00EF0669" w:rsidRPr="00F81DCA" w:rsidTr="00D61A6E"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Total Return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~$609</w:t>
            </w:r>
          </w:p>
        </w:tc>
        <w:tc>
          <w:tcPr>
            <w:tcW w:w="2880" w:type="dxa"/>
          </w:tcPr>
          <w:p w:rsidR="00EF0669" w:rsidRPr="00F81DCA" w:rsidRDefault="00EF0669" w:rsidP="00D61A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1DCA">
              <w:rPr>
                <w:rFonts w:ascii="Times New Roman" w:hAnsi="Times New Roman" w:cs="Times New Roman"/>
                <w:sz w:val="24"/>
                <w:szCs w:val="24"/>
              </w:rPr>
              <w:t>$610</w:t>
            </w:r>
          </w:p>
        </w:tc>
      </w:tr>
    </w:tbl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Which Investment Do I Prefer?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Investment II is slightly more favorable because it provides an extra 1/10,000th of the amount invested.</w:t>
      </w: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Effective Yield Comparison: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Investment I: 6.09% effective yield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Investment II: 6.10% effective yield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 xml:space="preserve">Difference: </w:t>
      </w:r>
      <w:proofErr w:type="gramStart"/>
      <w:r w:rsidRPr="00F81DCA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F81DCA">
        <w:rPr>
          <w:rFonts w:ascii="Times New Roman" w:hAnsi="Times New Roman" w:cs="Times New Roman"/>
          <w:sz w:val="24"/>
          <w:szCs w:val="24"/>
        </w:rPr>
        <w:t xml:space="preserve"> basis point more for Investment II</w:t>
      </w: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Reinvestment Risk Consideration: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Investment I: Requires reinvestment of the 300 dollars at the end of the year.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If you cannot earn at least 6% by reinvesting, the effective yield is less.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Investment II: No reinvestment risk.</w:t>
      </w:r>
    </w:p>
    <w:p w:rsidR="00EF0669" w:rsidRPr="00F81DCA" w:rsidRDefault="00EF0669" w:rsidP="00EF0669">
      <w:pPr>
        <w:rPr>
          <w:rFonts w:ascii="Times New Roman" w:hAnsi="Times New Roman" w:cs="Times New Roman"/>
          <w:b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Practical Considerations: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If reinvestment rates are HIGHER than 6%, then Investment I is more favorable.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If reinvestment rates are LOWER than 6%, then Investment I is less favorable.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The current rate environment is the factor that will determine the more favorable investment.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b/>
          <w:sz w:val="24"/>
          <w:szCs w:val="24"/>
        </w:rPr>
        <w:t>Difference in Day Count: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81DCA">
        <w:rPr>
          <w:rFonts w:ascii="Times New Roman" w:hAnsi="Times New Roman" w:cs="Times New Roman"/>
          <w:sz w:val="24"/>
          <w:szCs w:val="24"/>
        </w:rPr>
        <w:t>30/360</w:t>
      </w:r>
      <w:proofErr w:type="gramEnd"/>
      <w:r w:rsidRPr="00F81DCA">
        <w:rPr>
          <w:rFonts w:ascii="Times New Roman" w:hAnsi="Times New Roman" w:cs="Times New Roman"/>
          <w:sz w:val="24"/>
          <w:szCs w:val="24"/>
        </w:rPr>
        <w:t>: Assumes 30 days in a month and 360 days in a year.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Actual/365: Uses actual days.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If it is a leap year, then: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10,000 * 6.10% * (366/365) = 611.67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 prefer Investment II because: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It has a slightly higher effective yield.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t>It eliminates reinvestment risk.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  <w:r w:rsidRPr="00F81DCA">
        <w:rPr>
          <w:rFonts w:ascii="Times New Roman" w:hAnsi="Times New Roman" w:cs="Times New Roman"/>
          <w:sz w:val="24"/>
          <w:szCs w:val="24"/>
        </w:rPr>
        <w:lastRenderedPageBreak/>
        <w:t>The 10 basis points more than compensate for the loss of co</w:t>
      </w:r>
      <w:bookmarkStart w:id="0" w:name="_GoBack"/>
      <w:bookmarkEnd w:id="0"/>
      <w:r w:rsidRPr="00F81DCA">
        <w:rPr>
          <w:rFonts w:ascii="Times New Roman" w:hAnsi="Times New Roman" w:cs="Times New Roman"/>
          <w:sz w:val="24"/>
          <w:szCs w:val="24"/>
        </w:rPr>
        <w:t>mpounding benefits.</w:t>
      </w:r>
    </w:p>
    <w:p w:rsidR="00EF0669" w:rsidRPr="00F81DCA" w:rsidRDefault="00EF0669" w:rsidP="00EF0669">
      <w:pPr>
        <w:rPr>
          <w:rFonts w:ascii="Times New Roman" w:hAnsi="Times New Roman" w:cs="Times New Roman"/>
          <w:sz w:val="24"/>
          <w:szCs w:val="24"/>
        </w:rPr>
      </w:pPr>
    </w:p>
    <w:p w:rsidR="00AC41C2" w:rsidRDefault="00AC41C2"/>
    <w:sectPr w:rsidR="00AC41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DE4F5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669"/>
    <w:rsid w:val="00061B16"/>
    <w:rsid w:val="00327024"/>
    <w:rsid w:val="00454051"/>
    <w:rsid w:val="005E05F0"/>
    <w:rsid w:val="007B1447"/>
    <w:rsid w:val="008156EB"/>
    <w:rsid w:val="00AC41C2"/>
    <w:rsid w:val="00B21EE4"/>
    <w:rsid w:val="00E65A75"/>
    <w:rsid w:val="00EF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258E"/>
  <w15:chartTrackingRefBased/>
  <w15:docId w15:val="{20F87731-B52C-49B2-BBAE-2C617C15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669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6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6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6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6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F066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0669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NoSpacing">
    <w:name w:val="No Spacing"/>
    <w:uiPriority w:val="1"/>
    <w:qFormat/>
    <w:rsid w:val="00EF0669"/>
    <w:pPr>
      <w:spacing w:after="0" w:line="240" w:lineRule="auto"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EF0669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EF066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mburu kiganya</dc:creator>
  <cp:keywords/>
  <dc:description/>
  <cp:lastModifiedBy>mburu kiganya</cp:lastModifiedBy>
  <cp:revision>2</cp:revision>
  <dcterms:created xsi:type="dcterms:W3CDTF">2026-02-03T10:50:00Z</dcterms:created>
  <dcterms:modified xsi:type="dcterms:W3CDTF">2026-02-03T11:03:00Z</dcterms:modified>
</cp:coreProperties>
</file>