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Homework #</w:t>
      </w:r>
      <w:r>
        <w:t>5</w:t>
      </w:r>
      <w:r>
        <w:t xml:space="preserve">  </w:t>
      </w:r>
    </w:p>
    <w:p>
      <w:pPr>
        <w:pStyle w:val="style0"/>
        <w:rPr/>
      </w:pPr>
      <w:r>
        <w:rPr>
          <w:highlight w:val="cyan"/>
          <w:lang w:val="en-US"/>
        </w:rPr>
        <w:t>Section A :</w:t>
      </w:r>
      <w:r>
        <w:rPr>
          <w:lang w:val="en-US"/>
        </w:rPr>
        <w:t xml:space="preserve"> refer to the excels </w:t>
      </w:r>
    </w:p>
    <w:p>
      <w:pPr>
        <w:pStyle w:val="style0"/>
        <w:rPr/>
      </w:pPr>
      <w:r>
        <w:t xml:space="preserve">MBS </w:t>
      </w:r>
      <w:r>
        <w:t xml:space="preserve">pool, </w:t>
      </w:r>
      <w:r>
        <w:t>cashflow, risk and return measurement.</w:t>
      </w:r>
      <w:r>
        <w:t xml:space="preserve"> (total </w:t>
      </w:r>
      <w:r>
        <w:rPr>
          <w:rFonts w:hint="eastAsia"/>
        </w:rPr>
        <w:t>2</w:t>
      </w:r>
      <w:r>
        <w:t xml:space="preserve"> points)</w:t>
      </w:r>
    </w:p>
    <w:p>
      <w:pPr>
        <w:pStyle w:val="style0"/>
        <w:rPr/>
      </w:pPr>
    </w:p>
    <w:p>
      <w:pPr>
        <w:pStyle w:val="style0"/>
        <w:rPr/>
      </w:pPr>
    </w:p>
    <w:p>
      <w:pPr>
        <w:pStyle w:val="style179"/>
        <w:numPr>
          <w:ilvl w:val="0"/>
          <w:numId w:val="1"/>
        </w:numPr>
        <w:rPr>
          <w:b/>
        </w:rPr>
      </w:pPr>
      <w:r>
        <w:rPr>
          <w:b/>
        </w:rPr>
        <w:t xml:space="preserve">Sample Agency MBS Pool Study using Fannie Mae’s </w:t>
      </w:r>
      <w:r>
        <w:rPr>
          <w:b/>
        </w:rPr>
        <w:t>PoolTalk</w:t>
      </w:r>
      <w:r>
        <w:rPr>
          <w:b/>
        </w:rPr>
        <w:t xml:space="preserve"> tool (total 0.5 points)</w:t>
      </w:r>
    </w:p>
    <w:p>
      <w:pPr>
        <w:pStyle w:val="style0"/>
        <w:rPr>
          <w:b/>
        </w:rPr>
      </w:pPr>
    </w:p>
    <w:p>
      <w:pPr>
        <w:pStyle w:val="style179"/>
        <w:rPr>
          <w:color w:val="ff0000"/>
        </w:rPr>
      </w:pPr>
      <w:r>
        <w:rPr>
          <w:color w:val="ff0000"/>
        </w:rPr>
        <w:t>Acess</w:t>
      </w:r>
      <w:r>
        <w:rPr>
          <w:color w:val="ff0000"/>
        </w:rPr>
        <w:t xml:space="preserve"> </w:t>
      </w:r>
      <w:r>
        <w:rPr/>
        <w:fldChar w:fldCharType="begin"/>
      </w:r>
      <w:r>
        <w:instrText xml:space="preserve"> HYPERLINK </w:instrText>
      </w:r>
      <w:r>
        <w:rPr/>
        <w:fldChar w:fldCharType="separate"/>
      </w:r>
      <w:r>
        <w:rPr>
          <w:rStyle w:val="style85"/>
        </w:rPr>
        <w:t>Pooltalk:</w:t>
      </w:r>
      <w:r>
        <w:rPr/>
        <w:fldChar w:fldCharType="end"/>
      </w:r>
      <w:r>
        <w:rPr>
          <w:color w:val="ff0000"/>
        </w:rPr>
        <w:t xml:space="preserve">  </w:t>
      </w:r>
      <w:r>
        <w:rPr/>
        <w:fldChar w:fldCharType="begin"/>
      </w:r>
      <w:r>
        <w:instrText xml:space="preserve"> HYPERLINK "https://fanniemae.mbs-securities.com/fannie" </w:instrText>
      </w:r>
      <w:r>
        <w:rPr/>
        <w:fldChar w:fldCharType="separate"/>
      </w:r>
      <w:r>
        <w:rPr>
          <w:rStyle w:val="style85"/>
        </w:rPr>
        <w:t>https://fanniemae.mbs-securities.com/fannie</w:t>
      </w:r>
      <w:r>
        <w:rPr/>
        <w:fldChar w:fldCharType="end"/>
      </w:r>
    </w:p>
    <w:p>
      <w:pPr>
        <w:pStyle w:val="style179"/>
        <w:rPr>
          <w:color w:val="00b0f0"/>
        </w:rPr>
      </w:pPr>
    </w:p>
    <w:p>
      <w:pPr>
        <w:pStyle w:val="style179"/>
        <w:rPr>
          <w:color w:val="00b0f0"/>
        </w:rPr>
      </w:pPr>
      <w:r>
        <w:rPr>
          <w:color w:val="000000"/>
        </w:rPr>
        <w:t xml:space="preserve">Sample Fannie Mae UMBS with prefix CL issued in September 2023: </w:t>
      </w:r>
      <w:r>
        <w:rPr/>
        <w:fldChar w:fldCharType="begin"/>
      </w:r>
      <w:r>
        <w:instrText xml:space="preserve"> HYPERLINK "https://fanniemae.mbs-securities.com/fannie/details/3140HB2Z0" </w:instrText>
      </w:r>
      <w:r>
        <w:rPr/>
        <w:fldChar w:fldCharType="separate"/>
      </w:r>
      <w:r>
        <w:rPr>
          <w:rStyle w:val="style85"/>
          <w:color w:val="ff0000"/>
        </w:rPr>
        <w:t>3140HB2Z0</w:t>
      </w:r>
      <w:r>
        <w:rPr/>
        <w:fldChar w:fldCharType="end"/>
      </w:r>
    </w:p>
    <w:p>
      <w:pPr>
        <w:pStyle w:val="style179"/>
        <w:rPr>
          <w:color w:val="000000"/>
        </w:rPr>
      </w:pPr>
    </w:p>
    <w:p>
      <w:pPr>
        <w:pStyle w:val="style179"/>
        <w:numPr>
          <w:ilvl w:val="1"/>
          <w:numId w:val="7"/>
        </w:numPr>
        <w:rPr>
          <w:color w:val="000000"/>
        </w:rPr>
      </w:pPr>
      <w:r>
        <w:rPr>
          <w:color w:val="000000"/>
        </w:rPr>
        <w:t>Go over top panel</w:t>
      </w:r>
    </w:p>
    <w:p>
      <w:pPr>
        <w:pStyle w:val="style179"/>
        <w:numPr>
          <w:ilvl w:val="1"/>
          <w:numId w:val="7"/>
        </w:numPr>
        <w:rPr>
          <w:color w:val="000000"/>
        </w:rPr>
      </w:pPr>
      <w:r>
        <w:rPr>
          <w:color w:val="000000"/>
        </w:rPr>
        <w:t>Walk through each tab</w:t>
      </w:r>
    </w:p>
    <w:p>
      <w:pPr>
        <w:pStyle w:val="style179"/>
        <w:numPr>
          <w:ilvl w:val="2"/>
          <w:numId w:val="7"/>
        </w:numPr>
        <w:rPr>
          <w:color w:val="000000"/>
        </w:rPr>
      </w:pPr>
      <w:r>
        <w:rPr>
          <w:color w:val="000000"/>
        </w:rPr>
        <w:t>Details</w:t>
      </w:r>
    </w:p>
    <w:p>
      <w:pPr>
        <w:pStyle w:val="style179"/>
        <w:numPr>
          <w:ilvl w:val="2"/>
          <w:numId w:val="7"/>
        </w:numPr>
        <w:rPr>
          <w:color w:val="000000"/>
        </w:rPr>
      </w:pPr>
      <w:r>
        <w:rPr>
          <w:color w:val="000000"/>
        </w:rPr>
        <w:t>Allocation</w:t>
      </w:r>
    </w:p>
    <w:p>
      <w:pPr>
        <w:pStyle w:val="style179"/>
        <w:numPr>
          <w:ilvl w:val="2"/>
          <w:numId w:val="7"/>
        </w:numPr>
        <w:rPr>
          <w:color w:val="000000"/>
        </w:rPr>
      </w:pPr>
      <w:r>
        <w:rPr>
          <w:color w:val="000000"/>
        </w:rPr>
        <w:t>Collateral</w:t>
      </w:r>
    </w:p>
    <w:p>
      <w:pPr>
        <w:pStyle w:val="style179"/>
        <w:numPr>
          <w:ilvl w:val="2"/>
          <w:numId w:val="7"/>
        </w:numPr>
        <w:rPr>
          <w:color w:val="000000"/>
        </w:rPr>
      </w:pPr>
      <w:r>
        <w:rPr>
          <w:color w:val="000000"/>
        </w:rPr>
        <w:t>Statistics</w:t>
      </w:r>
    </w:p>
    <w:p>
      <w:pPr>
        <w:pStyle w:val="style179"/>
        <w:numPr>
          <w:ilvl w:val="3"/>
          <w:numId w:val="8"/>
        </w:numPr>
        <w:rPr>
          <w:color w:val="000000"/>
        </w:rPr>
      </w:pPr>
      <w:r>
        <w:rPr>
          <w:color w:val="000000"/>
        </w:rPr>
        <w:t>Issuance</w:t>
      </w:r>
    </w:p>
    <w:p>
      <w:pPr>
        <w:pStyle w:val="style179"/>
        <w:numPr>
          <w:ilvl w:val="3"/>
          <w:numId w:val="8"/>
        </w:numPr>
        <w:rPr>
          <w:color w:val="000000"/>
        </w:rPr>
      </w:pPr>
      <w:r>
        <w:rPr>
          <w:color w:val="000000"/>
        </w:rPr>
        <w:t>Month (YYYY-MM)</w:t>
      </w:r>
    </w:p>
    <w:p>
      <w:pPr>
        <w:pStyle w:val="style179"/>
        <w:numPr>
          <w:ilvl w:val="3"/>
          <w:numId w:val="8"/>
        </w:numPr>
        <w:rPr>
          <w:color w:val="000000"/>
        </w:rPr>
      </w:pPr>
      <w:r>
        <w:rPr>
          <w:color w:val="000000"/>
        </w:rPr>
        <w:t>Current</w:t>
      </w:r>
    </w:p>
    <w:p>
      <w:pPr>
        <w:pStyle w:val="style179"/>
        <w:numPr>
          <w:ilvl w:val="2"/>
          <w:numId w:val="7"/>
        </w:numPr>
        <w:rPr>
          <w:color w:val="000000"/>
        </w:rPr>
      </w:pPr>
      <w:r>
        <w:rPr>
          <w:color w:val="000000"/>
        </w:rPr>
        <w:t>Tax Factors</w:t>
      </w:r>
    </w:p>
    <w:p>
      <w:pPr>
        <w:pStyle w:val="style179"/>
        <w:numPr>
          <w:ilvl w:val="2"/>
          <w:numId w:val="7"/>
        </w:numPr>
        <w:rPr>
          <w:color w:val="000000"/>
        </w:rPr>
      </w:pPr>
      <w:r>
        <w:rPr>
          <w:color w:val="000000"/>
        </w:rPr>
        <w:t>Documents</w:t>
      </w:r>
    </w:p>
    <w:p>
      <w:pPr>
        <w:pStyle w:val="style0"/>
        <w:ind w:left="1080"/>
        <w:rPr>
          <w:b/>
        </w:rPr>
      </w:pPr>
    </w:p>
    <w:p>
      <w:pPr>
        <w:pStyle w:val="style179"/>
        <w:numPr>
          <w:ilvl w:val="0"/>
          <w:numId w:val="9"/>
        </w:numPr>
        <w:rPr>
          <w:bCs/>
        </w:rPr>
      </w:pPr>
      <w:r>
        <w:rPr>
          <w:bCs/>
        </w:rPr>
        <w:t>How many loans in the MBS pool at issuance time?</w:t>
      </w:r>
    </w:p>
    <w:p>
      <w:pPr>
        <w:pStyle w:val="style179"/>
        <w:numPr>
          <w:ilvl w:val="0"/>
          <w:numId w:val="9"/>
        </w:numPr>
        <w:rPr>
          <w:bCs/>
        </w:rPr>
      </w:pPr>
      <w:r>
        <w:rPr>
          <w:bCs/>
        </w:rPr>
        <w:t xml:space="preserve">What is the weighted average and range of mortgage rates </w:t>
      </w:r>
      <w:r>
        <w:rPr>
          <w:bCs/>
        </w:rPr>
        <w:t>at issuance time</w:t>
      </w:r>
      <w:r>
        <w:rPr>
          <w:bCs/>
        </w:rPr>
        <w:t>?</w:t>
      </w:r>
    </w:p>
    <w:p>
      <w:pPr>
        <w:pStyle w:val="style179"/>
        <w:numPr>
          <w:ilvl w:val="0"/>
          <w:numId w:val="9"/>
        </w:numPr>
        <w:rPr>
          <w:bCs/>
        </w:rPr>
      </w:pPr>
      <w:r>
        <w:rPr>
          <w:bCs/>
        </w:rPr>
        <w:t>What is the coupon rate that investors will receive?</w:t>
      </w:r>
    </w:p>
    <w:p>
      <w:pPr>
        <w:pStyle w:val="style179"/>
        <w:numPr>
          <w:ilvl w:val="0"/>
          <w:numId w:val="9"/>
        </w:numPr>
        <w:rPr>
          <w:bCs/>
        </w:rPr>
      </w:pPr>
      <w:r>
        <w:rPr>
          <w:bCs/>
        </w:rPr>
        <w:t>Who are the mortgage loan sellers?</w:t>
      </w:r>
    </w:p>
    <w:p>
      <w:pPr>
        <w:pStyle w:val="style179"/>
        <w:numPr>
          <w:ilvl w:val="0"/>
          <w:numId w:val="9"/>
        </w:numPr>
        <w:rPr>
          <w:bCs/>
        </w:rPr>
      </w:pPr>
      <w:r>
        <w:rPr>
          <w:bCs/>
        </w:rPr>
        <w:t>What are the roles of Fannie Mae for this MBS Pool?</w:t>
      </w:r>
    </w:p>
    <w:p>
      <w:pPr>
        <w:pStyle w:val="style0"/>
        <w:rPr/>
      </w:pPr>
    </w:p>
    <w:p>
      <w:pPr>
        <w:pStyle w:val="style0"/>
        <w:rPr/>
      </w:pPr>
    </w:p>
    <w:p>
      <w:pPr>
        <w:pStyle w:val="style0"/>
        <w:rPr/>
      </w:pPr>
    </w:p>
    <w:p>
      <w:pPr>
        <w:pStyle w:val="style179"/>
        <w:numPr>
          <w:ilvl w:val="0"/>
          <w:numId w:val="1"/>
        </w:numPr>
        <w:rPr/>
      </w:pPr>
      <w:r>
        <w:t>(</w:t>
      </w:r>
      <w:r>
        <w:t>0.5</w:t>
      </w:r>
      <w:r>
        <w:t xml:space="preserve"> point</w:t>
      </w:r>
      <w:r>
        <w:t>s</w:t>
      </w:r>
      <w:r>
        <w:t xml:space="preserve">) </w:t>
      </w:r>
      <w:r>
        <w:t xml:space="preserve">Sample Agency MBS Pool actual cashflow payment history and prepayment performance history (See the attached Excel file </w:t>
      </w:r>
      <w:r>
        <w:t xml:space="preserve">named </w:t>
      </w:r>
      <w:r>
        <w:rPr>
          <w:b/>
          <w:bCs/>
        </w:rPr>
        <w:t>“Sample MBS actual paydown FN_BJ97911_MTGE PDI.xlsx”</w:t>
      </w:r>
      <w:r>
        <w:t xml:space="preserve"> </w:t>
      </w:r>
      <w:r>
        <w:t xml:space="preserve">for details). </w:t>
      </w:r>
      <w:r>
        <w:t>The MBS pool was issued in Sept 2019 with MBS coupon of 4.00% and issuance pool balance of $</w:t>
      </w:r>
      <w:r>
        <w:t xml:space="preserve"> 3</w:t>
      </w:r>
      <w:r>
        <w:t>,</w:t>
      </w:r>
      <w:r>
        <w:t>096</w:t>
      </w:r>
      <w:r>
        <w:t>,</w:t>
      </w:r>
      <w:r>
        <w:t>516</w:t>
      </w:r>
      <w:r>
        <w:t>.00.</w:t>
      </w:r>
      <w:r>
        <w:t xml:space="preserve"> (</w:t>
      </w:r>
      <w:r>
        <w:rPr>
          <w:rFonts w:hint="eastAsia"/>
        </w:rPr>
        <w:t>0.5</w:t>
      </w:r>
      <w:r>
        <w:t xml:space="preserve"> point</w:t>
      </w:r>
      <w:r>
        <w:rPr>
          <w:rFonts w:hint="eastAsia"/>
        </w:rPr>
        <w:t>s</w:t>
      </w:r>
      <w:r>
        <w:t>)</w:t>
      </w:r>
    </w:p>
    <w:p>
      <w:pPr>
        <w:pStyle w:val="style179"/>
        <w:rPr/>
      </w:pPr>
    </w:p>
    <w:p>
      <w:pPr>
        <w:pStyle w:val="style179"/>
        <w:rPr/>
      </w:pPr>
      <w:r>
        <w:t>There are four tabs for this problem.</w:t>
      </w:r>
    </w:p>
    <w:p>
      <w:pPr>
        <w:pStyle w:val="style179"/>
        <w:numPr>
          <w:ilvl w:val="1"/>
          <w:numId w:val="1"/>
        </w:numPr>
        <w:rPr/>
      </w:pPr>
      <w:r>
        <w:t>Tab #1: #1 Summary</w:t>
      </w:r>
    </w:p>
    <w:p>
      <w:pPr>
        <w:pStyle w:val="style179"/>
        <w:numPr>
          <w:ilvl w:val="1"/>
          <w:numId w:val="1"/>
        </w:numPr>
        <w:rPr/>
      </w:pPr>
      <w:r>
        <w:t>Tab #2: #2 MBS Pool PAYDOWN history</w:t>
      </w:r>
    </w:p>
    <w:p>
      <w:pPr>
        <w:pStyle w:val="style179"/>
        <w:numPr>
          <w:ilvl w:val="1"/>
          <w:numId w:val="1"/>
        </w:numPr>
        <w:rPr/>
      </w:pPr>
      <w:r>
        <w:t>Tab #3: #3 Collateral history, and</w:t>
      </w:r>
    </w:p>
    <w:p>
      <w:pPr>
        <w:pStyle w:val="style179"/>
        <w:numPr>
          <w:ilvl w:val="1"/>
          <w:numId w:val="1"/>
        </w:numPr>
        <w:rPr/>
      </w:pPr>
      <w:r>
        <w:t>Tab #4: #4 Performance</w:t>
      </w:r>
    </w:p>
    <w:p>
      <w:pPr>
        <w:pStyle w:val="style0"/>
        <w:rPr/>
      </w:pPr>
    </w:p>
    <w:p>
      <w:pPr>
        <w:pStyle w:val="style0"/>
        <w:ind w:left="720"/>
        <w:rPr/>
      </w:pPr>
      <w:r>
        <w:t xml:space="preserve">Question </w:t>
      </w:r>
      <w:r>
        <w:t>2</w:t>
      </w:r>
      <w:r>
        <w:t>-1: Study and understand each column of all the four tabs. Write down the columns you do not understand, if any.</w:t>
      </w:r>
    </w:p>
    <w:p>
      <w:pPr>
        <w:pStyle w:val="style0"/>
        <w:ind w:left="720"/>
        <w:rPr/>
      </w:pPr>
    </w:p>
    <w:p>
      <w:pPr>
        <w:pStyle w:val="style0"/>
        <w:ind w:left="720"/>
        <w:rPr/>
      </w:pPr>
      <w:r>
        <w:t xml:space="preserve">Question </w:t>
      </w:r>
      <w:r>
        <w:t>2</w:t>
      </w:r>
      <w:r>
        <w:t>-2: Compare the MBS pool balance in Tab #2 Column F “Balance” and MBS collateral balance in Tab #3 Column G “Balance” for the whole history. Are the balances the same for the two tabs?  And why?</w:t>
      </w:r>
    </w:p>
    <w:p>
      <w:pPr>
        <w:pStyle w:val="style0"/>
        <w:rPr/>
      </w:pPr>
    </w:p>
    <w:p>
      <w:pPr>
        <w:pStyle w:val="style179"/>
        <w:rPr/>
      </w:pPr>
    </w:p>
    <w:p>
      <w:pPr>
        <w:pStyle w:val="style179"/>
        <w:rPr/>
      </w:pPr>
    </w:p>
    <w:p>
      <w:pPr>
        <w:pStyle w:val="style179"/>
        <w:numPr>
          <w:ilvl w:val="0"/>
          <w:numId w:val="1"/>
        </w:numPr>
        <w:rPr/>
      </w:pPr>
      <w:r>
        <w:t>(</w:t>
      </w:r>
      <w:r>
        <w:t>0.5</w:t>
      </w:r>
      <w:r>
        <w:t xml:space="preserve"> point</w:t>
      </w:r>
      <w:r>
        <w:t>s</w:t>
      </w:r>
      <w:r>
        <w:t xml:space="preserve">) </w:t>
      </w:r>
      <w:r>
        <w:t xml:space="preserve">Sample Agency MBS Pool projected cashflow payment and prepayment performance by Bloomberg (See the attached Excel file named </w:t>
      </w:r>
      <w:r>
        <w:rPr>
          <w:b/>
          <w:bCs/>
        </w:rPr>
        <w:t xml:space="preserve">“Sample MBS </w:t>
      </w:r>
      <w:r>
        <w:rPr>
          <w:b/>
          <w:bCs/>
        </w:rPr>
        <w:t>Projected Cashflow</w:t>
      </w:r>
      <w:r>
        <w:rPr>
          <w:b/>
          <w:bCs/>
        </w:rPr>
        <w:t>.xlsx”</w:t>
      </w:r>
      <w:r>
        <w:t xml:space="preserve"> for details). The MBS pool </w:t>
      </w:r>
      <w:r>
        <w:t xml:space="preserve">(CUSIP 3140A02B4) </w:t>
      </w:r>
      <w:r>
        <w:t>was issued in Sept 20</w:t>
      </w:r>
      <w:r>
        <w:t>23</w:t>
      </w:r>
      <w:r>
        <w:t xml:space="preserve"> with MBS coupon of </w:t>
      </w:r>
      <w:r>
        <w:t>5.5</w:t>
      </w:r>
      <w:r>
        <w:t>0% and issuance pool balance of $</w:t>
      </w:r>
      <w:r>
        <w:t xml:space="preserve"> </w:t>
      </w:r>
      <w:r>
        <w:t>12,852,744.00</w:t>
      </w:r>
      <w:r>
        <w:t>.</w:t>
      </w:r>
      <w:r>
        <w:t xml:space="preserve"> There are seven tabs for cashflow projections for seven interest rate and prepayment speed scenarios:</w:t>
      </w:r>
    </w:p>
    <w:p>
      <w:pPr>
        <w:pStyle w:val="style179"/>
        <w:numPr>
          <w:ilvl w:val="1"/>
          <w:numId w:val="1"/>
        </w:numPr>
        <w:rPr/>
      </w:pPr>
      <w:r>
        <w:t>-300 MED</w:t>
      </w:r>
    </w:p>
    <w:p>
      <w:pPr>
        <w:pStyle w:val="style179"/>
        <w:numPr>
          <w:ilvl w:val="1"/>
          <w:numId w:val="1"/>
        </w:numPr>
        <w:rPr/>
      </w:pPr>
      <w:r>
        <w:t>-200 MED</w:t>
      </w:r>
    </w:p>
    <w:p>
      <w:pPr>
        <w:pStyle w:val="style179"/>
        <w:numPr>
          <w:ilvl w:val="1"/>
          <w:numId w:val="1"/>
        </w:numPr>
        <w:rPr/>
      </w:pPr>
      <w:r>
        <w:t>-100 MED</w:t>
      </w:r>
    </w:p>
    <w:p>
      <w:pPr>
        <w:pStyle w:val="style179"/>
        <w:numPr>
          <w:ilvl w:val="1"/>
          <w:numId w:val="1"/>
        </w:numPr>
        <w:rPr/>
      </w:pPr>
      <w:r>
        <w:t>0 MED</w:t>
      </w:r>
    </w:p>
    <w:p>
      <w:pPr>
        <w:pStyle w:val="style179"/>
        <w:numPr>
          <w:ilvl w:val="1"/>
          <w:numId w:val="1"/>
        </w:numPr>
        <w:rPr/>
      </w:pPr>
      <w:r>
        <w:t>+100 MED</w:t>
      </w:r>
    </w:p>
    <w:p>
      <w:pPr>
        <w:pStyle w:val="style179"/>
        <w:numPr>
          <w:ilvl w:val="1"/>
          <w:numId w:val="1"/>
        </w:numPr>
        <w:rPr/>
      </w:pPr>
      <w:r>
        <w:t>+200 MED</w:t>
      </w:r>
    </w:p>
    <w:p>
      <w:pPr>
        <w:pStyle w:val="style179"/>
        <w:numPr>
          <w:ilvl w:val="1"/>
          <w:numId w:val="1"/>
        </w:numPr>
        <w:rPr/>
      </w:pPr>
      <w:r>
        <w:t>+300 MED</w:t>
      </w:r>
    </w:p>
    <w:p>
      <w:pPr>
        <w:pStyle w:val="style0"/>
        <w:rPr/>
      </w:pPr>
    </w:p>
    <w:p>
      <w:pPr>
        <w:pStyle w:val="style0"/>
        <w:ind w:left="720"/>
        <w:rPr/>
      </w:pPr>
      <w:r>
        <w:t xml:space="preserve">Question </w:t>
      </w:r>
      <w:r>
        <w:t>3</w:t>
      </w:r>
      <w:r>
        <w:t xml:space="preserve">-1: </w:t>
      </w:r>
      <w:r>
        <w:t>Study and understand each column of all the four tabs. Write down the columns you do not understand, if any.</w:t>
      </w:r>
    </w:p>
    <w:p>
      <w:pPr>
        <w:pStyle w:val="style0"/>
        <w:ind w:left="720"/>
        <w:rPr/>
      </w:pPr>
    </w:p>
    <w:p>
      <w:pPr>
        <w:pStyle w:val="style0"/>
        <w:ind w:left="720"/>
        <w:rPr/>
      </w:pPr>
      <w:r>
        <w:t xml:space="preserve">Question </w:t>
      </w:r>
      <w:r>
        <w:t>3</w:t>
      </w:r>
      <w:r>
        <w:t xml:space="preserve">-2: Calculate weighted Average Life (WAL, or AL) in years for each of the seven </w:t>
      </w:r>
      <w:r>
        <w:t>scenarios and</w:t>
      </w:r>
      <w:r>
        <w:t xml:space="preserve"> identify the patterns in relation with scenarios.</w:t>
      </w:r>
    </w:p>
    <w:p>
      <w:pPr>
        <w:pStyle w:val="style0"/>
        <w:ind w:left="720"/>
        <w:rPr/>
      </w:pPr>
    </w:p>
    <w:p>
      <w:pPr>
        <w:pStyle w:val="style0"/>
        <w:ind w:left="720"/>
        <w:rPr/>
      </w:pPr>
      <w:r>
        <w:t xml:space="preserve">Question </w:t>
      </w:r>
      <w:r>
        <w:t>3</w:t>
      </w:r>
      <w:r>
        <w:t>-3: Draw the projected cashflow time series for each of the seven scenarios in a single Line Chart. Describe the patterns you observe.</w:t>
      </w:r>
    </w:p>
    <w:p>
      <w:pPr>
        <w:pStyle w:val="style0"/>
        <w:rPr/>
      </w:pPr>
    </w:p>
    <w:p>
      <w:pPr>
        <w:pStyle w:val="style0"/>
        <w:rPr/>
      </w:pPr>
    </w:p>
    <w:p>
      <w:pPr>
        <w:pStyle w:val="style179"/>
        <w:numPr>
          <w:ilvl w:val="0"/>
          <w:numId w:val="1"/>
        </w:numPr>
        <w:rPr/>
      </w:pPr>
      <w:r>
        <w:t>(</w:t>
      </w:r>
      <w:r>
        <w:t>0.5</w:t>
      </w:r>
      <w:r>
        <w:t xml:space="preserve"> point</w:t>
      </w:r>
      <w:r>
        <w:t>s</w:t>
      </w:r>
      <w:r>
        <w:t xml:space="preserve">) </w:t>
      </w:r>
      <w:r>
        <w:t>In a sample OAS Analysis for the sample Fannie Mae MBS pool as shown in the following Bloomberg screenshot</w:t>
      </w:r>
    </w:p>
    <w:p>
      <w:pPr>
        <w:pStyle w:val="style0"/>
        <w:ind w:left="360"/>
        <w:rPr/>
      </w:pPr>
      <w:r>
        <w:t xml:space="preserve">Question </w:t>
      </w:r>
      <w:r>
        <w:t>4</w:t>
      </w:r>
      <w:r>
        <w:t xml:space="preserve">-1: </w:t>
      </w:r>
    </w:p>
    <w:p>
      <w:pPr>
        <w:pStyle w:val="style179"/>
        <w:numPr>
          <w:ilvl w:val="0"/>
          <w:numId w:val="4"/>
        </w:numPr>
        <w:rPr/>
      </w:pPr>
      <w:r>
        <w:t>In the Static Analytics part, find the value of “Price”,</w:t>
      </w:r>
    </w:p>
    <w:p>
      <w:pPr>
        <w:pStyle w:val="style179"/>
        <w:numPr>
          <w:ilvl w:val="0"/>
          <w:numId w:val="4"/>
        </w:numPr>
        <w:rPr/>
      </w:pPr>
      <w:r>
        <w:t xml:space="preserve">In the OAS Analytics part, find the values of “+25bp </w:t>
      </w:r>
      <w:r>
        <w:t>Px</w:t>
      </w:r>
      <w:r>
        <w:t xml:space="preserve">” and “-25bp </w:t>
      </w:r>
      <w:r>
        <w:t>Px</w:t>
      </w:r>
      <w:r>
        <w:t>”</w:t>
      </w:r>
    </w:p>
    <w:p>
      <w:pPr>
        <w:pStyle w:val="style0"/>
        <w:rPr/>
      </w:pPr>
    </w:p>
    <w:p>
      <w:pPr>
        <w:pStyle w:val="style0"/>
        <w:rPr/>
      </w:pPr>
      <w:r>
        <w:t xml:space="preserve">       </w:t>
      </w:r>
      <w:r>
        <w:t xml:space="preserve">Questions </w:t>
      </w:r>
      <w:r>
        <w:t>2</w:t>
      </w:r>
      <w:r>
        <w:t>-2</w:t>
      </w:r>
      <w:r>
        <w:t>:</w:t>
      </w:r>
    </w:p>
    <w:p>
      <w:pPr>
        <w:pStyle w:val="style179"/>
        <w:numPr>
          <w:ilvl w:val="0"/>
          <w:numId w:val="5"/>
        </w:numPr>
        <w:rPr/>
      </w:pPr>
      <w:r>
        <w:t xml:space="preserve">Use the Effective Duration formula to estimate the Effective Duration or OA </w:t>
      </w:r>
      <w:r>
        <w:t>Duration;</w:t>
      </w:r>
    </w:p>
    <w:p>
      <w:pPr>
        <w:pStyle w:val="style179"/>
        <w:numPr>
          <w:ilvl w:val="0"/>
          <w:numId w:val="5"/>
        </w:numPr>
        <w:rPr/>
      </w:pPr>
      <w:r>
        <w:t xml:space="preserve">Compare your estimated duration value with the </w:t>
      </w:r>
      <w:r>
        <w:t>“OAD” in the OAS Analytics part. Are they the same or different?</w:t>
      </w:r>
    </w:p>
    <w:p>
      <w:pPr>
        <w:pStyle w:val="style0"/>
        <w:rPr/>
      </w:pPr>
    </w:p>
    <w:p>
      <w:pPr>
        <w:pStyle w:val="style0"/>
        <w:rPr/>
      </w:pPr>
      <w:r>
        <w:rPr>
          <w:noProof/>
        </w:rPr>
        <w:drawing>
          <wp:inline distL="0" distT="0" distB="0" distR="0">
            <wp:extent cx="5943398" cy="3055572"/>
            <wp:effectExtent l="0" t="0" r="635" b="5715"/>
            <wp:docPr id="1026" name="Picture 2" descr="A screenshot of a compute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943398" cy="3055572"/>
                    </a:xfrm>
                    <a:prstGeom prst="rect"/>
                  </pic:spPr>
                </pic:pic>
              </a:graphicData>
            </a:graphic>
          </wp:inline>
        </w:drawing>
      </w:r>
    </w:p>
    <w:p>
      <w:pPr>
        <w:pStyle w:val="style0"/>
        <w:rPr/>
      </w:pPr>
    </w:p>
    <w:p>
      <w:pPr>
        <w:pStyle w:val="style0"/>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highlight w:val="cyan"/>
        </w:rPr>
      </w:pPr>
      <w:r>
        <w:rPr>
          <w:highlight w:val="cyan"/>
          <w:lang w:val="en-US"/>
        </w:rPr>
        <w:t>Section B</w:t>
      </w:r>
    </w:p>
    <w:p>
      <w:pPr>
        <w:pStyle w:val="style0"/>
        <w:rPr/>
      </w:pPr>
    </w:p>
    <w:p>
      <w:pPr>
        <w:pStyle w:val="style0"/>
        <w:rPr/>
      </w:pPr>
      <w:r>
        <w:rPr>
          <w:lang w:val="en-US"/>
        </w:rPr>
        <w:t xml:space="preserve"> External Economies of Scale &amp; International Location of Production</w:t>
      </w:r>
    </w:p>
    <w:p>
      <w:pPr>
        <w:pStyle w:val="style0"/>
        <w:rPr/>
      </w:pPr>
    </w:p>
    <w:p>
      <w:pPr>
        <w:pStyle w:val="style0"/>
        <w:rPr/>
      </w:pPr>
      <w:r>
        <w:rPr>
          <w:lang w:val="en-US"/>
        </w:rPr>
        <w:t xml:space="preserve"> </w:t>
      </w:r>
    </w:p>
    <w:p>
      <w:pPr>
        <w:pStyle w:val="style0"/>
        <w:rPr/>
      </w:pPr>
    </w:p>
    <w:p>
      <w:pPr>
        <w:pStyle w:val="style0"/>
        <w:rPr>
          <w:highlight w:val="yellow"/>
        </w:rPr>
      </w:pPr>
      <w:r>
        <w:rPr>
          <w:highlight w:val="yellow"/>
          <w:lang w:val="en-US"/>
        </w:rPr>
        <w:t>Part I:  Data Analysis</w:t>
      </w:r>
    </w:p>
    <w:p>
      <w:pPr>
        <w:pStyle w:val="style0"/>
        <w:rPr/>
      </w:pPr>
    </w:p>
    <w:p>
      <w:pPr>
        <w:pStyle w:val="style0"/>
        <w:rPr/>
      </w:pPr>
      <w:r>
        <w:rPr>
          <w:lang w:val="en-US"/>
        </w:rPr>
        <w:t xml:space="preserve"> Use FRED (Federal Reserve Bank of St. Louis) data to compare Average Hourly Earnings (AHE) for:</w:t>
      </w:r>
    </w:p>
    <w:p>
      <w:pPr>
        <w:pStyle w:val="style0"/>
        <w:rPr/>
      </w:pPr>
    </w:p>
    <w:p>
      <w:pPr>
        <w:pStyle w:val="style0"/>
        <w:rPr/>
      </w:pPr>
      <w:r>
        <w:rPr>
          <w:lang w:val="en-US"/>
        </w:rPr>
        <w:t>United States</w:t>
      </w:r>
    </w:p>
    <w:p>
      <w:pPr>
        <w:pStyle w:val="style0"/>
        <w:rPr/>
      </w:pPr>
      <w:r>
        <w:rPr>
          <w:lang w:val="en-US"/>
        </w:rPr>
        <w:t>California</w:t>
      </w:r>
    </w:p>
    <w:p>
      <w:pPr>
        <w:pStyle w:val="style0"/>
        <w:rPr/>
      </w:pPr>
      <w:r>
        <w:rPr>
          <w:lang w:val="en-US"/>
        </w:rPr>
        <w:t>Ohio</w:t>
      </w:r>
    </w:p>
    <w:p>
      <w:pPr>
        <w:pStyle w:val="style0"/>
        <w:rPr/>
      </w:pPr>
      <w:r>
        <w:rPr>
          <w:lang w:val="en-US"/>
        </w:rPr>
        <w:t xml:space="preserve">Then quantify and interpret the wage gap (CA − OH) over time.  </w:t>
      </w:r>
    </w:p>
    <w:p>
      <w:pPr>
        <w:pStyle w:val="style0"/>
        <w:rPr/>
      </w:pPr>
    </w:p>
    <w:p>
      <w:pPr>
        <w:pStyle w:val="style0"/>
        <w:rPr/>
      </w:pPr>
    </w:p>
    <w:p>
      <w:pPr>
        <w:pStyle w:val="style0"/>
        <w:rPr/>
      </w:pPr>
    </w:p>
    <w:p>
      <w:pPr>
        <w:pStyle w:val="style0"/>
        <w:rPr/>
      </w:pPr>
      <w:r>
        <w:rPr>
          <w:lang w:val="en-US"/>
        </w:rPr>
        <w:t>Part A — Download the data (2007 to latest)</w:t>
      </w:r>
    </w:p>
    <w:p>
      <w:pPr>
        <w:pStyle w:val="style0"/>
        <w:rPr/>
      </w:pPr>
    </w:p>
    <w:p>
      <w:pPr>
        <w:pStyle w:val="style0"/>
        <w:rPr/>
      </w:pPr>
      <w:r>
        <w:rPr>
          <w:lang w:val="en-US"/>
        </w:rPr>
        <w:t>Data series (FRED tickers)</w:t>
      </w:r>
    </w:p>
    <w:p>
      <w:pPr>
        <w:pStyle w:val="style0"/>
        <w:rPr/>
      </w:pPr>
    </w:p>
    <w:p>
      <w:pPr>
        <w:pStyle w:val="style0"/>
        <w:rPr/>
      </w:pPr>
      <w:r>
        <w:rPr>
          <w:lang w:val="en-US"/>
        </w:rPr>
        <w:t>Use these monthly AHE series:</w:t>
      </w:r>
    </w:p>
    <w:p>
      <w:pPr>
        <w:pStyle w:val="style0"/>
        <w:rPr/>
      </w:pPr>
    </w:p>
    <w:p>
      <w:pPr>
        <w:pStyle w:val="style0"/>
        <w:rPr/>
      </w:pPr>
      <w:r>
        <w:rPr>
          <w:lang w:val="en-US"/>
        </w:rPr>
        <w:t xml:space="preserve">United States (Total Private): CES0500000003 </w:t>
      </w:r>
    </w:p>
    <w:p>
      <w:pPr>
        <w:pStyle w:val="style0"/>
        <w:rPr/>
      </w:pPr>
      <w:r>
        <w:rPr>
          <w:lang w:val="en-US"/>
        </w:rPr>
        <w:t xml:space="preserve">California (Total Private): SMU06000000500000003 </w:t>
      </w:r>
    </w:p>
    <w:p>
      <w:pPr>
        <w:pStyle w:val="style0"/>
        <w:rPr/>
      </w:pPr>
      <w:r>
        <w:rPr>
          <w:lang w:val="en-US"/>
        </w:rPr>
        <w:t xml:space="preserve">Ohio (Total Private): SMU39000000500000003  </w:t>
      </w:r>
    </w:p>
    <w:p>
      <w:pPr>
        <w:pStyle w:val="style0"/>
        <w:rPr/>
      </w:pPr>
      <w:r>
        <w:rPr>
          <w:lang w:val="en-US"/>
        </w:rPr>
        <w:t>Steps</w:t>
      </w:r>
    </w:p>
    <w:p>
      <w:pPr>
        <w:pStyle w:val="style0"/>
        <w:rPr/>
      </w:pPr>
    </w:p>
    <w:p>
      <w:pPr>
        <w:pStyle w:val="style0"/>
        <w:rPr/>
      </w:pPr>
      <w:r>
        <w:rPr>
          <w:lang w:val="en-US"/>
        </w:rPr>
        <w:t>Open each series in FRED.</w:t>
      </w:r>
    </w:p>
    <w:p>
      <w:pPr>
        <w:pStyle w:val="style0"/>
        <w:rPr/>
      </w:pPr>
      <w:r>
        <w:rPr>
          <w:lang w:val="en-US"/>
        </w:rPr>
        <w:t>Set the date range to start at January 2007 (or the earliest available in 2007) through the latest available observation.</w:t>
      </w:r>
    </w:p>
    <w:p>
      <w:pPr>
        <w:pStyle w:val="style0"/>
        <w:rPr/>
      </w:pPr>
      <w:r>
        <w:rPr>
          <w:lang w:val="en-US"/>
        </w:rPr>
        <w:t>Click Download and choose Excel (.xlsx).</w:t>
      </w:r>
    </w:p>
    <w:p>
      <w:pPr>
        <w:pStyle w:val="style0"/>
        <w:rPr/>
      </w:pPr>
      <w:r>
        <w:rPr>
          <w:lang w:val="en-US"/>
        </w:rPr>
        <w:t>Combine the three series into one Excel workbook with columns like:</w:t>
      </w:r>
    </w:p>
    <w:p>
      <w:pPr>
        <w:pStyle w:val="style0"/>
        <w:rPr/>
      </w:pPr>
      <w:r>
        <w:rPr>
          <w:lang w:val="en-US"/>
        </w:rPr>
        <w:t>Date</w:t>
      </w:r>
    </w:p>
    <w:p>
      <w:pPr>
        <w:pStyle w:val="style0"/>
        <w:rPr/>
      </w:pPr>
      <w:r>
        <w:rPr>
          <w:lang w:val="en-US"/>
        </w:rPr>
        <w:t>US_AHE</w:t>
      </w:r>
    </w:p>
    <w:p>
      <w:pPr>
        <w:pStyle w:val="style0"/>
        <w:rPr/>
      </w:pPr>
      <w:r>
        <w:rPr>
          <w:lang w:val="en-US"/>
        </w:rPr>
        <w:t>CA_AHE</w:t>
      </w:r>
    </w:p>
    <w:p>
      <w:pPr>
        <w:pStyle w:val="style0"/>
        <w:rPr/>
      </w:pPr>
      <w:r>
        <w:rPr>
          <w:lang w:val="en-US"/>
        </w:rPr>
        <w:t>OH_AHE</w:t>
      </w:r>
    </w:p>
    <w:p>
      <w:pPr>
        <w:pStyle w:val="style0"/>
        <w:rPr/>
      </w:pPr>
      <w:r>
        <w:rPr>
          <w:lang w:val="en-US"/>
        </w:rPr>
        <w:t>Formatting requirements</w:t>
      </w:r>
    </w:p>
    <w:p>
      <w:pPr>
        <w:pStyle w:val="style0"/>
        <w:rPr/>
      </w:pPr>
    </w:p>
    <w:p>
      <w:pPr>
        <w:pStyle w:val="style0"/>
        <w:rPr/>
      </w:pPr>
      <w:r>
        <w:rPr>
          <w:lang w:val="en-US"/>
        </w:rPr>
        <w:t>Date must be real Excel dates (not text).</w:t>
      </w:r>
    </w:p>
    <w:p>
      <w:pPr>
        <w:pStyle w:val="style0"/>
        <w:rPr/>
      </w:pPr>
      <w:r>
        <w:rPr>
          <w:lang w:val="en-US"/>
        </w:rPr>
        <w:t>Units are dollars per hour (keep 2 decimals).</w:t>
      </w:r>
    </w:p>
    <w:p>
      <w:pPr>
        <w:pStyle w:val="style0"/>
        <w:rPr/>
      </w:pPr>
      <w:r>
        <w:rPr>
          <w:lang w:val="en-US"/>
        </w:rPr>
        <w:t xml:space="preserve">  </w:t>
      </w:r>
    </w:p>
    <w:p>
      <w:pPr>
        <w:pStyle w:val="style0"/>
        <w:rPr/>
      </w:pPr>
    </w:p>
    <w:p>
      <w:pPr>
        <w:pStyle w:val="style0"/>
        <w:rPr/>
      </w:pPr>
    </w:p>
    <w:p>
      <w:pPr>
        <w:pStyle w:val="style0"/>
        <w:rPr/>
      </w:pPr>
    </w:p>
    <w:p>
      <w:pPr>
        <w:pStyle w:val="style0"/>
        <w:rPr/>
      </w:pPr>
      <w:r>
        <w:rPr>
          <w:lang w:val="en-US"/>
        </w:rPr>
        <w:t>Part B — Compute monthly differences and the CA–OH wage gap</w:t>
      </w:r>
    </w:p>
    <w:p>
      <w:pPr>
        <w:pStyle w:val="style0"/>
        <w:rPr/>
      </w:pPr>
    </w:p>
    <w:p>
      <w:pPr>
        <w:pStyle w:val="style0"/>
        <w:rPr/>
      </w:pPr>
      <w:r>
        <w:rPr>
          <w:lang w:val="en-US"/>
        </w:rPr>
        <w:t>1) Month-to-month changes (within each region)</w:t>
      </w:r>
    </w:p>
    <w:p>
      <w:pPr>
        <w:pStyle w:val="style0"/>
        <w:rPr/>
      </w:pPr>
    </w:p>
    <w:p>
      <w:pPr>
        <w:pStyle w:val="style0"/>
        <w:rPr/>
      </w:pPr>
      <w:r>
        <w:rPr>
          <w:lang w:val="en-US"/>
        </w:rPr>
        <w:t>Create three new columns:</w:t>
      </w:r>
    </w:p>
    <w:p>
      <w:pPr>
        <w:pStyle w:val="style0"/>
        <w:rPr/>
      </w:pPr>
    </w:p>
    <w:p>
      <w:pPr>
        <w:pStyle w:val="style0"/>
        <w:rPr/>
      </w:pPr>
      <w:r>
        <w:rPr>
          <w:lang w:val="en-US"/>
        </w:rPr>
        <w:t>ΔUS_AHE = US_AHE(t) − US_AHE(t−1)</w:t>
      </w:r>
    </w:p>
    <w:p>
      <w:pPr>
        <w:pStyle w:val="style0"/>
        <w:rPr/>
      </w:pPr>
      <w:r>
        <w:rPr>
          <w:lang w:val="en-US"/>
        </w:rPr>
        <w:t>ΔCA_AHE = CA_AHE(t) − CA_AHE(t−1)</w:t>
      </w:r>
    </w:p>
    <w:p>
      <w:pPr>
        <w:pStyle w:val="style0"/>
        <w:rPr/>
      </w:pPr>
      <w:r>
        <w:rPr>
          <w:lang w:val="en-US"/>
        </w:rPr>
        <w:t>ΔOH_AHE = OH_AHE(t) − OH_AHE(t−1)</w:t>
      </w:r>
    </w:p>
    <w:p>
      <w:pPr>
        <w:pStyle w:val="style0"/>
        <w:rPr/>
      </w:pPr>
      <w:r>
        <w:rPr>
          <w:lang w:val="en-US"/>
        </w:rPr>
        <w:t>(Leave the first row blank or NA.)</w:t>
      </w:r>
    </w:p>
    <w:p>
      <w:pPr>
        <w:pStyle w:val="style0"/>
        <w:rPr/>
      </w:pPr>
    </w:p>
    <w:p>
      <w:pPr>
        <w:pStyle w:val="style0"/>
        <w:rPr/>
      </w:pPr>
      <w:r>
        <w:rPr>
          <w:lang w:val="en-US"/>
        </w:rPr>
        <w:t>2) Wage gap level (between states)</w:t>
      </w:r>
    </w:p>
    <w:p>
      <w:pPr>
        <w:pStyle w:val="style0"/>
        <w:rPr/>
      </w:pPr>
    </w:p>
    <w:p>
      <w:pPr>
        <w:pStyle w:val="style0"/>
        <w:rPr/>
      </w:pPr>
      <w:r>
        <w:rPr>
          <w:lang w:val="en-US"/>
        </w:rPr>
        <w:t>Create:</w:t>
      </w:r>
    </w:p>
    <w:p>
      <w:pPr>
        <w:pStyle w:val="style0"/>
        <w:rPr/>
      </w:pPr>
    </w:p>
    <w:p>
      <w:pPr>
        <w:pStyle w:val="style0"/>
        <w:rPr/>
      </w:pPr>
      <w:r>
        <w:rPr>
          <w:lang w:val="en-US"/>
        </w:rPr>
        <w:t>Gap_CA_OH = CA_AHE − OH_AHE</w:t>
      </w:r>
    </w:p>
    <w:p>
      <w:pPr>
        <w:pStyle w:val="style0"/>
        <w:rPr/>
      </w:pPr>
      <w:r>
        <w:rPr>
          <w:lang w:val="en-US"/>
        </w:rPr>
        <w:t>Optional (recommended): also compute the % gap</w:t>
      </w:r>
    </w:p>
    <w:p>
      <w:pPr>
        <w:pStyle w:val="style0"/>
        <w:rPr/>
      </w:pPr>
    </w:p>
    <w:p>
      <w:pPr>
        <w:pStyle w:val="style0"/>
        <w:rPr/>
      </w:pPr>
      <w:r>
        <w:rPr>
          <w:lang w:val="en-US"/>
        </w:rPr>
        <w:t>Gap% = (CA_AHE / OH_AHE) − 1</w:t>
      </w:r>
    </w:p>
    <w:p>
      <w:pPr>
        <w:pStyle w:val="style0"/>
        <w:rPr/>
      </w:pPr>
      <w:r>
        <w:rPr>
          <w:lang w:val="en-US"/>
        </w:rPr>
        <w:t xml:space="preserve">  </w:t>
      </w:r>
    </w:p>
    <w:p>
      <w:pPr>
        <w:pStyle w:val="style0"/>
        <w:rPr/>
      </w:pPr>
    </w:p>
    <w:p>
      <w:pPr>
        <w:pStyle w:val="style0"/>
        <w:rPr/>
      </w:pPr>
    </w:p>
    <w:p>
      <w:pPr>
        <w:pStyle w:val="style0"/>
        <w:rPr/>
      </w:pPr>
    </w:p>
    <w:p>
      <w:pPr>
        <w:pStyle w:val="style0"/>
        <w:rPr/>
      </w:pPr>
      <w:r>
        <w:rPr>
          <w:lang w:val="en-US"/>
        </w:rPr>
        <w:t>Part C — Build one chart with all required elements</w:t>
      </w:r>
    </w:p>
    <w:p>
      <w:pPr>
        <w:pStyle w:val="style0"/>
        <w:rPr/>
      </w:pPr>
    </w:p>
    <w:p>
      <w:pPr>
        <w:pStyle w:val="style0"/>
        <w:rPr/>
      </w:pPr>
      <w:r>
        <w:rPr>
          <w:lang w:val="en-US"/>
        </w:rPr>
        <w:t>Create one time-series chart that includes four lines:</w:t>
      </w:r>
    </w:p>
    <w:p>
      <w:pPr>
        <w:pStyle w:val="style0"/>
        <w:rPr/>
      </w:pPr>
    </w:p>
    <w:p>
      <w:pPr>
        <w:pStyle w:val="style0"/>
        <w:rPr/>
      </w:pPr>
      <w:r>
        <w:rPr>
          <w:lang w:val="en-US"/>
        </w:rPr>
        <w:t>US_AHE</w:t>
      </w:r>
    </w:p>
    <w:p>
      <w:pPr>
        <w:pStyle w:val="style0"/>
        <w:rPr/>
      </w:pPr>
      <w:r>
        <w:rPr>
          <w:lang w:val="en-US"/>
        </w:rPr>
        <w:t>CA_AHE</w:t>
      </w:r>
    </w:p>
    <w:p>
      <w:pPr>
        <w:pStyle w:val="style0"/>
        <w:rPr/>
      </w:pPr>
      <w:r>
        <w:rPr>
          <w:lang w:val="en-US"/>
        </w:rPr>
        <w:t>OH_AHE</w:t>
      </w:r>
    </w:p>
    <w:p>
      <w:pPr>
        <w:pStyle w:val="style0"/>
        <w:rPr/>
      </w:pPr>
      <w:r>
        <w:rPr>
          <w:lang w:val="en-US"/>
        </w:rPr>
        <w:t>Gap_CA_OH (CA − OH)</w:t>
      </w:r>
    </w:p>
    <w:p>
      <w:pPr>
        <w:pStyle w:val="style0"/>
        <w:rPr/>
      </w:pPr>
      <w:r>
        <w:rPr>
          <w:lang w:val="en-US"/>
        </w:rPr>
        <w:t>Chart requirements</w:t>
      </w:r>
    </w:p>
    <w:p>
      <w:pPr>
        <w:pStyle w:val="style0"/>
        <w:rPr/>
      </w:pPr>
    </w:p>
    <w:p>
      <w:pPr>
        <w:pStyle w:val="style0"/>
        <w:rPr/>
      </w:pPr>
      <w:r>
        <w:rPr>
          <w:lang w:val="en-US"/>
        </w:rPr>
        <w:t>Title: Average Hourly Earnings (US, CA, OH) and CA–OH Wage Gap (2007–Latest)</w:t>
      </w:r>
    </w:p>
    <w:p>
      <w:pPr>
        <w:pStyle w:val="style0"/>
        <w:rPr/>
      </w:pPr>
      <w:r>
        <w:rPr>
          <w:lang w:val="en-US"/>
        </w:rPr>
        <w:t>X-axis: Date</w:t>
      </w:r>
    </w:p>
    <w:p>
      <w:pPr>
        <w:pStyle w:val="style0"/>
        <w:rPr/>
      </w:pPr>
      <w:r>
        <w:rPr>
          <w:lang w:val="en-US"/>
        </w:rPr>
        <w:t>Y-axis: Dollars per hour</w:t>
      </w:r>
    </w:p>
    <w:p>
      <w:pPr>
        <w:pStyle w:val="style0"/>
        <w:rPr/>
      </w:pPr>
      <w:r>
        <w:rPr>
          <w:lang w:val="en-US"/>
        </w:rPr>
        <w:t>Legend shown</w:t>
      </w:r>
    </w:p>
    <w:p>
      <w:pPr>
        <w:pStyle w:val="style0"/>
        <w:rPr/>
      </w:pPr>
      <w:r>
        <w:rPr>
          <w:lang w:val="en-US"/>
        </w:rPr>
        <w:t>Clean, readable labels</w:t>
      </w:r>
    </w:p>
    <w:p>
      <w:pPr>
        <w:pStyle w:val="style0"/>
        <w:rPr/>
      </w:pPr>
      <w:r>
        <w:rPr>
          <w:lang w:val="en-US"/>
        </w:rPr>
        <w:t>Tip: If the “gap” line looks visually out of scale versus wage levels, you may (a) still keep one chart but use a secondary axis for the gap, or (b) keep one chart but clearly explain the scaling issue in a note under the chart. (Do not omit the gap line.)</w:t>
      </w:r>
    </w:p>
    <w:p>
      <w:pPr>
        <w:pStyle w:val="style0"/>
        <w:rPr/>
      </w:pPr>
    </w:p>
    <w:p>
      <w:pPr>
        <w:pStyle w:val="style0"/>
        <w:rPr/>
      </w:pPr>
    </w:p>
    <w:p>
      <w:pPr>
        <w:pStyle w:val="style0"/>
        <w:rPr/>
      </w:pPr>
    </w:p>
    <w:p>
      <w:pPr>
        <w:pStyle w:val="style0"/>
        <w:rPr/>
      </w:pPr>
      <w:r>
        <w:rPr>
          <w:lang w:val="en-US"/>
        </w:rPr>
        <w:t xml:space="preserve">  </w:t>
      </w:r>
    </w:p>
    <w:p>
      <w:pPr>
        <w:pStyle w:val="style0"/>
        <w:rPr/>
      </w:pPr>
    </w:p>
    <w:p>
      <w:pPr>
        <w:pStyle w:val="style0"/>
        <w:rPr/>
      </w:pPr>
    </w:p>
    <w:p>
      <w:pPr>
        <w:pStyle w:val="style0"/>
        <w:rPr/>
      </w:pPr>
    </w:p>
    <w:p>
      <w:pPr>
        <w:pStyle w:val="style0"/>
        <w:rPr/>
      </w:pPr>
      <w:r>
        <w:rPr>
          <w:lang w:val="en-US"/>
        </w:rPr>
        <w:t>Part D — Written analysis (answer in short paragraphs + bullets)</w:t>
      </w:r>
    </w:p>
    <w:p>
      <w:pPr>
        <w:pStyle w:val="style0"/>
        <w:rPr/>
      </w:pPr>
    </w:p>
    <w:p>
      <w:pPr>
        <w:pStyle w:val="style0"/>
        <w:rPr/>
      </w:pPr>
      <w:r>
        <w:rPr>
          <w:lang w:val="en-US"/>
        </w:rPr>
        <w:t>Answer all of the following:</w:t>
      </w:r>
    </w:p>
    <w:p>
      <w:pPr>
        <w:pStyle w:val="style0"/>
        <w:rPr/>
      </w:pPr>
    </w:p>
    <w:p>
      <w:pPr>
        <w:pStyle w:val="style0"/>
        <w:rPr/>
      </w:pPr>
      <w:r>
        <w:rPr>
          <w:lang w:val="en-US"/>
        </w:rPr>
        <w:t>1) What trends do you observe?</w:t>
      </w:r>
    </w:p>
    <w:p>
      <w:pPr>
        <w:pStyle w:val="style0"/>
        <w:rPr/>
      </w:pPr>
    </w:p>
    <w:p>
      <w:pPr>
        <w:pStyle w:val="style0"/>
        <w:rPr/>
      </w:pPr>
      <w:r>
        <w:rPr>
          <w:lang w:val="en-US"/>
        </w:rPr>
        <w:t>Examples of things to look for:</w:t>
      </w:r>
    </w:p>
    <w:p>
      <w:pPr>
        <w:pStyle w:val="style0"/>
        <w:rPr/>
      </w:pPr>
    </w:p>
    <w:p>
      <w:pPr>
        <w:pStyle w:val="style0"/>
        <w:rPr/>
      </w:pPr>
      <w:r>
        <w:rPr>
          <w:lang w:val="en-US"/>
        </w:rPr>
        <w:t>Long-run trend (upward drift)</w:t>
      </w:r>
    </w:p>
    <w:p>
      <w:pPr>
        <w:pStyle w:val="style0"/>
        <w:rPr/>
      </w:pPr>
      <w:r>
        <w:rPr>
          <w:lang w:val="en-US"/>
        </w:rPr>
        <w:t>Periods where growth accelerates/flatlines</w:t>
      </w:r>
    </w:p>
    <w:p>
      <w:pPr>
        <w:pStyle w:val="style0"/>
        <w:rPr/>
      </w:pPr>
      <w:r>
        <w:rPr>
          <w:lang w:val="en-US"/>
        </w:rPr>
        <w:t>Whether CA and OH move together or diverge</w:t>
      </w:r>
    </w:p>
    <w:p>
      <w:pPr>
        <w:pStyle w:val="style0"/>
        <w:rPr/>
      </w:pPr>
      <w:r>
        <w:rPr>
          <w:lang w:val="en-US"/>
        </w:rPr>
        <w:t>2) Why might AHE differ between CA and OH?</w:t>
      </w:r>
    </w:p>
    <w:p>
      <w:pPr>
        <w:pStyle w:val="style0"/>
        <w:rPr/>
      </w:pPr>
    </w:p>
    <w:p>
      <w:pPr>
        <w:pStyle w:val="style0"/>
        <w:rPr/>
      </w:pPr>
      <w:r>
        <w:rPr>
          <w:lang w:val="en-US"/>
        </w:rPr>
        <w:t>Discuss at least 3 plausible drivers, such as:</w:t>
      </w:r>
    </w:p>
    <w:p>
      <w:pPr>
        <w:pStyle w:val="style0"/>
        <w:rPr/>
      </w:pPr>
    </w:p>
    <w:p>
      <w:pPr>
        <w:pStyle w:val="style0"/>
        <w:rPr/>
      </w:pPr>
      <w:r>
        <w:rPr>
          <w:lang w:val="en-US"/>
        </w:rPr>
        <w:t>Industry mix differences (tech/entertainment vs manufacturing/logistics, etc.)</w:t>
      </w:r>
    </w:p>
    <w:p>
      <w:pPr>
        <w:pStyle w:val="style0"/>
        <w:rPr/>
      </w:pPr>
      <w:r>
        <w:rPr>
          <w:lang w:val="en-US"/>
        </w:rPr>
        <w:t>Cost of living and local labor market tightness</w:t>
      </w:r>
    </w:p>
    <w:p>
      <w:pPr>
        <w:pStyle w:val="style0"/>
        <w:rPr/>
      </w:pPr>
      <w:r>
        <w:rPr>
          <w:lang w:val="en-US"/>
        </w:rPr>
        <w:t>Unionization, minimum wage policy, labor regulations</w:t>
      </w:r>
    </w:p>
    <w:p>
      <w:pPr>
        <w:pStyle w:val="style0"/>
        <w:rPr/>
      </w:pPr>
      <w:r>
        <w:rPr>
          <w:lang w:val="en-US"/>
        </w:rPr>
        <w:t>Differences in worker composition (education/skills/occupations)</w:t>
      </w:r>
    </w:p>
    <w:p>
      <w:pPr>
        <w:pStyle w:val="style0"/>
        <w:rPr/>
      </w:pPr>
      <w:r>
        <w:rPr>
          <w:lang w:val="en-US"/>
        </w:rPr>
        <w:t>3) Will the CA–OH gap expand or shrink in the next few years?</w:t>
      </w:r>
    </w:p>
    <w:p>
      <w:pPr>
        <w:pStyle w:val="style0"/>
        <w:rPr/>
      </w:pPr>
    </w:p>
    <w:p>
      <w:pPr>
        <w:pStyle w:val="style0"/>
        <w:rPr/>
      </w:pPr>
      <w:r>
        <w:rPr>
          <w:lang w:val="en-US"/>
        </w:rPr>
        <w:t>Make a defensible argument. Your answer must include:</w:t>
      </w:r>
    </w:p>
    <w:p>
      <w:pPr>
        <w:pStyle w:val="style0"/>
        <w:rPr/>
      </w:pPr>
    </w:p>
    <w:p>
      <w:pPr>
        <w:pStyle w:val="style0"/>
        <w:rPr/>
      </w:pPr>
      <w:r>
        <w:rPr>
          <w:lang w:val="en-US"/>
        </w:rPr>
        <w:t>A clear prediction (expand/shrink/mixed)</w:t>
      </w:r>
    </w:p>
    <w:p>
      <w:pPr>
        <w:pStyle w:val="style0"/>
        <w:rPr/>
      </w:pPr>
      <w:r>
        <w:rPr>
          <w:lang w:val="en-US"/>
        </w:rPr>
        <w:t>2–3 reasons supporting it</w:t>
      </w:r>
    </w:p>
    <w:p>
      <w:pPr>
        <w:pStyle w:val="style0"/>
        <w:rPr/>
      </w:pPr>
      <w:r>
        <w:rPr>
          <w:lang w:val="en-US"/>
        </w:rPr>
        <w:t>One “what could prove me wrong?” risk</w:t>
      </w:r>
    </w:p>
    <w:p>
      <w:pPr>
        <w:pStyle w:val="style0"/>
        <w:rPr/>
      </w:pPr>
      <w:r>
        <w:rPr>
          <w:lang w:val="en-US"/>
        </w:rPr>
        <w:t>4) Why don’t workers in lower-wage states simply move to higher-wage states?</w:t>
      </w:r>
    </w:p>
    <w:p>
      <w:pPr>
        <w:pStyle w:val="style0"/>
        <w:rPr/>
      </w:pPr>
    </w:p>
    <w:p>
      <w:pPr>
        <w:pStyle w:val="style0"/>
        <w:rPr/>
      </w:pPr>
      <w:r>
        <w:rPr>
          <w:lang w:val="en-US"/>
        </w:rPr>
        <w:t>Explain using economic reasoning (at least 3 factors), e.g.:</w:t>
      </w:r>
    </w:p>
    <w:p>
      <w:pPr>
        <w:pStyle w:val="style0"/>
        <w:rPr/>
      </w:pPr>
    </w:p>
    <w:p>
      <w:pPr>
        <w:pStyle w:val="style0"/>
        <w:rPr/>
      </w:pPr>
      <w:r>
        <w:rPr>
          <w:lang w:val="en-US"/>
        </w:rPr>
        <w:t>Housing costs and real wages (nominal vs purchasing power)</w:t>
      </w:r>
    </w:p>
    <w:p>
      <w:pPr>
        <w:pStyle w:val="style0"/>
        <w:rPr/>
      </w:pPr>
      <w:r>
        <w:rPr>
          <w:lang w:val="en-US"/>
        </w:rPr>
        <w:t>Moving costs, family constraints, job search frictions</w:t>
      </w:r>
    </w:p>
    <w:p>
      <w:pPr>
        <w:pStyle w:val="style0"/>
        <w:rPr/>
      </w:pPr>
      <w:r>
        <w:rPr>
          <w:lang w:val="en-US"/>
        </w:rPr>
        <w:t>Licensing barriers, networks, local amenities/preferences</w:t>
      </w:r>
    </w:p>
    <w:p>
      <w:pPr>
        <w:pStyle w:val="style0"/>
        <w:rPr/>
      </w:pPr>
      <w:r>
        <w:rPr>
          <w:lang w:val="en-US"/>
        </w:rPr>
        <w:t>5) What are potential flaws/limitations of this BLS-based AHE data?</w:t>
      </w:r>
    </w:p>
    <w:p>
      <w:pPr>
        <w:pStyle w:val="style0"/>
        <w:rPr/>
      </w:pPr>
    </w:p>
    <w:p>
      <w:pPr>
        <w:pStyle w:val="style0"/>
        <w:rPr/>
      </w:pPr>
      <w:r>
        <w:rPr>
          <w:lang w:val="en-US"/>
        </w:rPr>
        <w:t>Identify at least 4 limitations. You may include:</w:t>
      </w:r>
    </w:p>
    <w:p>
      <w:pPr>
        <w:pStyle w:val="style0"/>
        <w:rPr/>
      </w:pPr>
    </w:p>
    <w:p>
      <w:pPr>
        <w:pStyle w:val="style0"/>
        <w:rPr/>
      </w:pPr>
      <w:r>
        <w:rPr>
          <w:lang w:val="en-US"/>
        </w:rPr>
        <w:t>AHE is an average (composition effects can distort trends)</w:t>
      </w:r>
    </w:p>
    <w:p>
      <w:pPr>
        <w:pStyle w:val="style0"/>
        <w:rPr/>
      </w:pPr>
      <w:r>
        <w:rPr>
          <w:lang w:val="en-US"/>
        </w:rPr>
        <w:t>Excludes benefits (healthcare, retirement)</w:t>
      </w:r>
    </w:p>
    <w:p>
      <w:pPr>
        <w:pStyle w:val="style0"/>
        <w:rPr/>
      </w:pPr>
      <w:r>
        <w:rPr>
          <w:lang w:val="en-US"/>
        </w:rPr>
        <w:t>Not a measure of real wages (inflation not adjusted)</w:t>
      </w:r>
    </w:p>
    <w:p>
      <w:pPr>
        <w:pStyle w:val="style0"/>
        <w:rPr/>
      </w:pPr>
      <w:r>
        <w:rPr>
          <w:lang w:val="en-US"/>
        </w:rPr>
        <w:t>Sampling/measurement error; revisions</w:t>
      </w:r>
    </w:p>
    <w:p>
      <w:pPr>
        <w:pStyle w:val="style0"/>
        <w:rPr/>
      </w:pPr>
      <w:r>
        <w:rPr>
          <w:lang w:val="en-US"/>
        </w:rPr>
        <w:t>State series being NSA (seasonality can affect month-to-month changes) FRED</w:t>
      </w:r>
    </w:p>
    <w:p>
      <w:pPr>
        <w:pStyle w:val="style0"/>
        <w:rPr/>
      </w:pPr>
      <w:r>
        <w:rPr>
          <w:lang w:val="en-US"/>
        </w:rPr>
        <w:t>“Average” can rise even if typical worker pay doesn’t (mix shift toward higher-paid jobs)</w:t>
      </w:r>
    </w:p>
    <w:p>
      <w:pPr>
        <w:pStyle w:val="style0"/>
        <w:rPr/>
      </w:pPr>
      <w:r>
        <w:rPr>
          <w:lang w:val="en-US"/>
        </w:rPr>
        <w:t xml:space="preserve"> </w:t>
      </w:r>
    </w:p>
    <w:p>
      <w:pPr>
        <w:pStyle w:val="style0"/>
        <w:rPr/>
      </w:pPr>
    </w:p>
    <w:p>
      <w:pPr>
        <w:pStyle w:val="style0"/>
        <w:rPr>
          <w:color w:val="auto"/>
          <w:highlight w:val="yellow"/>
        </w:rPr>
      </w:pPr>
      <w:r>
        <w:rPr>
          <w:color w:val="auto"/>
          <w:highlight w:val="yellow"/>
          <w:lang w:val="en-US"/>
        </w:rPr>
        <w:t>Part II Conceptual Questions</w:t>
      </w:r>
    </w:p>
    <w:p>
      <w:pPr>
        <w:pStyle w:val="style0"/>
        <w:rPr/>
      </w:pPr>
    </w:p>
    <w:p>
      <w:pPr>
        <w:pStyle w:val="style0"/>
        <w:rPr/>
      </w:pPr>
      <w:r>
        <w:rPr>
          <w:lang w:val="en-US"/>
        </w:rPr>
        <w:t xml:space="preserve">Question 1: Agglomeration and the Wine Industry Paradox </w:t>
      </w:r>
    </w:p>
    <w:p>
      <w:pPr>
        <w:pStyle w:val="style0"/>
        <w:rPr/>
      </w:pPr>
    </w:p>
    <w:p>
      <w:pPr>
        <w:pStyle w:val="style0"/>
        <w:rPr/>
      </w:pPr>
      <w:r>
        <w:rPr>
          <w:lang w:val="en-US"/>
        </w:rPr>
        <w:t>The Napa Valley in California and the Bordeaux region in France are both world-renowned wine production clusters, despite higher land costs, wages, and regulatory burdens compared to other potential wine-growing regions with similar climates (such as parts of South America or Eastern Europe).</w:t>
      </w:r>
    </w:p>
    <w:p>
      <w:pPr>
        <w:pStyle w:val="style0"/>
        <w:rPr/>
      </w:pPr>
    </w:p>
    <w:p>
      <w:pPr>
        <w:pStyle w:val="style0"/>
        <w:rPr/>
      </w:pPr>
      <w:r>
        <w:rPr>
          <w:lang w:val="en-US"/>
        </w:rPr>
        <w:t>Part A: Explain how external economies of scale contribute to the persistence of these high-cost clusters. In your answer, distinguish between at least three different types of external economies and how each specifically benefits wine producers in these regions.</w:t>
      </w:r>
    </w:p>
    <w:p>
      <w:pPr>
        <w:pStyle w:val="style0"/>
        <w:rPr/>
      </w:pPr>
    </w:p>
    <w:p>
      <w:pPr>
        <w:pStyle w:val="style0"/>
        <w:rPr/>
      </w:pPr>
      <w:r>
        <w:rPr>
          <w:lang w:val="en-US"/>
        </w:rPr>
        <w:t>Part B :A group of investors is considering establishing a new wine production cluster in a developing country with ideal climate conditions and significantly lower production costs. Using your understanding of external economies of scale, critically evaluate the challenges they would face in competing with established clusters. What specific strategies might overcome the "first-mover advantage" of existing wine regions? Would you recommend this investment? Justify your position.</w:t>
      </w:r>
    </w:p>
    <w:p>
      <w:pPr>
        <w:pStyle w:val="style0"/>
        <w:rPr/>
      </w:pPr>
    </w:p>
    <w:p>
      <w:pPr>
        <w:pStyle w:val="style0"/>
        <w:rPr/>
      </w:pPr>
      <w:r>
        <w:rPr>
          <w:lang w:val="en-US"/>
        </w:rPr>
        <w:t xml:space="preserve"> </w:t>
      </w:r>
    </w:p>
    <w:p>
      <w:pPr>
        <w:pStyle w:val="style0"/>
        <w:rPr/>
      </w:pPr>
    </w:p>
    <w:p>
      <w:pPr>
        <w:pStyle w:val="style0"/>
        <w:rPr/>
      </w:pPr>
      <w:r>
        <w:rPr>
          <w:lang w:val="en-US"/>
        </w:rPr>
        <w:t xml:space="preserve">Question 2: The Shifting Geography of Semiconductor Manufacturing </w:t>
      </w:r>
    </w:p>
    <w:p>
      <w:pPr>
        <w:pStyle w:val="style0"/>
        <w:rPr/>
      </w:pPr>
    </w:p>
    <w:p>
      <w:pPr>
        <w:pStyle w:val="style0"/>
        <w:rPr/>
      </w:pPr>
      <w:r>
        <w:rPr>
          <w:lang w:val="en-US"/>
        </w:rPr>
        <w:t>Semiconductor manufacturing has historically clustered in specific locations: Silicon Valley (design), Taiwan (advanced manufacturing), and South Korea (memory chips). Recently, the U.S. CHIPS Act (2022) and European Chips Act (2023) have allocated billions in subsidies to reshore semiconductor production, while China has invested heavily in building domestic capacity.</w:t>
      </w:r>
    </w:p>
    <w:p>
      <w:pPr>
        <w:pStyle w:val="style0"/>
        <w:rPr/>
      </w:pPr>
    </w:p>
    <w:p>
      <w:pPr>
        <w:pStyle w:val="style0"/>
        <w:rPr/>
      </w:pPr>
      <w:r>
        <w:rPr>
          <w:lang w:val="en-US"/>
        </w:rPr>
        <w:t>Part A :Using the framework of external economies of scale, explain why semiconductor production became so geographically concentrated despite the global nature of the industry. Why didn't production disperse to lowest-cost locations?</w:t>
      </w:r>
    </w:p>
    <w:p>
      <w:pPr>
        <w:pStyle w:val="style0"/>
        <w:rPr/>
      </w:pPr>
    </w:p>
    <w:p>
      <w:pPr>
        <w:pStyle w:val="style0"/>
        <w:rPr/>
      </w:pPr>
      <w:r>
        <w:rPr>
          <w:lang w:val="en-US"/>
        </w:rPr>
        <w:t>Part B: Critically assess whether government subsidies alone can successfully recreate the external economies of scale that exist in established semiconductor clusters. What economic conditions or complementary policies would be necessary for these reshoring efforts to succeed? Consider both the supply-side factors (production capabilities) and demand-side factors (market access) in your answer.</w:t>
      </w:r>
    </w:p>
    <w:p>
      <w:pPr>
        <w:pStyle w:val="style0"/>
        <w:rPr/>
      </w:pPr>
    </w:p>
    <w:p>
      <w:pPr>
        <w:pStyle w:val="style0"/>
        <w:rPr/>
      </w:pPr>
      <w:r>
        <w:rPr>
          <w:lang w:val="en-US"/>
        </w:rPr>
        <w:t xml:space="preserve"> </w:t>
      </w:r>
    </w:p>
    <w:p>
      <w:pPr>
        <w:pStyle w:val="style0"/>
        <w:rPr/>
      </w:pPr>
    </w:p>
    <w:p>
      <w:pPr>
        <w:pStyle w:val="style0"/>
        <w:rPr/>
      </w:pPr>
      <w:r>
        <w:rPr>
          <w:lang w:val="en-US"/>
        </w:rPr>
        <w:t>Question 3: Platform Workers and the New Geography of Services (</w:t>
      </w:r>
    </w:p>
    <w:p>
      <w:pPr>
        <w:pStyle w:val="style0"/>
        <w:rPr/>
      </w:pPr>
    </w:p>
    <w:p>
      <w:pPr>
        <w:pStyle w:val="style0"/>
        <w:rPr/>
      </w:pPr>
      <w:r>
        <w:rPr>
          <w:lang w:val="en-US"/>
        </w:rPr>
        <w:t>Digital platforms like Upwork, Fiverr, and Toptal allow software developers, designers, and other professionals to work remotely for clients worldwide. This has led some economists to predict the "death of distance" and the dispersal of high-skilled service work to lower-wage countries.</w:t>
      </w:r>
    </w:p>
    <w:p>
      <w:pPr>
        <w:pStyle w:val="style0"/>
        <w:rPr/>
      </w:pPr>
    </w:p>
    <w:p>
      <w:pPr>
        <w:pStyle w:val="style0"/>
        <w:rPr/>
      </w:pPr>
      <w:r>
        <w:rPr>
          <w:lang w:val="en-US"/>
        </w:rPr>
        <w:t>Part A: Despite these predictions, tech hubs like San Francisco, London, and Bangalore continue to grow and command wage premiums. Using the concept of external economies of scale, explain why geographic clustering persists even when technology enables remote work. How do external economies manifest differently for services compared to manufacturing?</w:t>
      </w:r>
    </w:p>
    <w:p>
      <w:pPr>
        <w:pStyle w:val="style0"/>
        <w:rPr/>
      </w:pPr>
    </w:p>
    <w:p>
      <w:pPr>
        <w:pStyle w:val="style0"/>
        <w:rPr/>
      </w:pPr>
      <w:r>
        <w:rPr>
          <w:lang w:val="en-US"/>
        </w:rPr>
        <w:t>Part B : A developing country government approaches you as a consultant. They want to build a competitive tech services cluster to attract platform workers and eventually entire companies. Based on your understanding of external economies of scale and international location decisions:</w:t>
      </w:r>
    </w:p>
    <w:p>
      <w:pPr>
        <w:pStyle w:val="style0"/>
        <w:rPr/>
      </w:pPr>
    </w:p>
    <w:p>
      <w:pPr>
        <w:pStyle w:val="style0"/>
        <w:rPr/>
      </w:pPr>
      <w:r>
        <w:rPr>
          <w:lang w:val="en-US"/>
        </w:rPr>
        <w:t>Identify the three most critical elements they should invest in first</w:t>
      </w:r>
    </w:p>
    <w:p>
      <w:pPr>
        <w:pStyle w:val="style0"/>
        <w:rPr/>
      </w:pPr>
      <w:r>
        <w:rPr>
          <w:lang w:val="en-US"/>
        </w:rPr>
        <w:t>Explain which types of external economies would be easiest versus hardest to develop artificially</w:t>
      </w:r>
    </w:p>
    <w:p>
      <w:pPr>
        <w:pStyle w:val="style0"/>
        <w:rPr/>
      </w:pPr>
      <w:r>
        <w:rPr>
          <w:lang w:val="en-US"/>
        </w:rPr>
        <w:t>Assess whether focusing on a niche specialization (e.g., fintech, gaming, AI) versus broad-based tech services would be more likely to generate sustainable external economies.</w:t>
      </w:r>
    </w:p>
    <w:p>
      <w:pPr>
        <w:pStyle w:val="style0"/>
        <w:rPr/>
      </w:pPr>
      <w:r>
        <w:rPr>
          <w:lang w:val="en-US"/>
        </w:rPr>
        <w:t>Provide a clear recommendation with economic justification.</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Symbol">
    <w:altName w:val="Symbol"/>
    <w:panose1 w:val="05050102010007020507"/>
    <w:charset w:val="02"/>
    <w:family w:val="decorative"/>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DengXian">
    <w:altName w:val="等线"/>
    <w:panose1 w:val="02010600030001010101"/>
    <w:charset w:val="86"/>
    <w:family w:val="auto"/>
    <w:pitch w:val="variable"/>
    <w:sig w:usb0="A00002BF" w:usb1="38CF7CFA" w:usb2="00000016" w:usb3="00000000" w:csb0="0004000F" w:csb1="00000000"/>
  </w:font>
  <w:font w:name="DengXian Light">
    <w:altName w:val="等线 Light"/>
    <w:panose1 w:val="02010600030001010101"/>
    <w:charset w:val="86"/>
    <w:family w:val="auto"/>
    <w:pitch w:val="variable"/>
    <w:sig w:usb0="A00002BF" w:usb1="38CF7CFA" w:usb2="00000016" w:usb3="00000000" w:csb0="0004000F" w:csb1="00000000"/>
  </w:font>
  <w:font w:name="Calibri Light">
    <w:altName w:val="Calibri Light"/>
    <w:panose1 w:val="020f0302020002030204"/>
    <w:charset w:val="00"/>
    <w:family w:val="swiss"/>
    <w:pitch w:val="variable"/>
    <w:sig w:usb0="E4002EFF" w:usb1="C200247B" w:usb2="00000009" w:usb3="00000000" w:csb0="000001FF" w:csb1="00000000"/>
  </w:font>
  <w:font w:name="等线">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CE86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61A450C0"/>
    <w:lvl w:ilvl="0" w:tplc="6C2C52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A0729EF2"/>
    <w:lvl w:ilvl="0" w:tplc="1FD6C20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19645C8A"/>
    <w:lvl w:ilvl="0" w:tplc="04090003">
      <w:start w:val="1"/>
      <w:numFmt w:val="bullet"/>
      <w:lvlText w:val="o"/>
      <w:lvlJc w:val="left"/>
      <w:pPr>
        <w:ind w:left="1080" w:hanging="360"/>
      </w:pPr>
      <w:rPr>
        <w:rFonts w:ascii="Courier New" w:cs="Courier New" w:hAnsi="Courier New"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0000004"/>
    <w:multiLevelType w:val="hybridMultilevel"/>
    <w:tmpl w:val="024A1BE2"/>
    <w:lvl w:ilvl="0" w:tplc="B6209D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21B0B680"/>
    <w:lvl w:ilvl="0" w:tplc="04090003">
      <w:start w:val="1"/>
      <w:numFmt w:val="bullet"/>
      <w:lvlText w:val="o"/>
      <w:lvlJc w:val="left"/>
      <w:pPr>
        <w:ind w:left="720" w:hanging="360"/>
      </w:pPr>
      <w:rPr>
        <w:rFonts w:ascii="Courier New" w:cs="Courier New" w:hAnsi="Courier New"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EF58BF96"/>
    <w:lvl w:ilvl="0" w:tplc="04090003">
      <w:start w:val="1"/>
      <w:numFmt w:val="bullet"/>
      <w:lvlText w:val="o"/>
      <w:lvlJc w:val="left"/>
      <w:pPr>
        <w:ind w:left="1080" w:hanging="360"/>
      </w:pPr>
      <w:rPr>
        <w:rFonts w:ascii="Courier New" w:cs="Courier New" w:hAnsi="Courier New"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0000007"/>
    <w:multiLevelType w:val="hybridMultilevel"/>
    <w:tmpl w:val="0A9EB89A"/>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cs="Courier New" w:hAnsi="Courier New" w:hint="default"/>
      </w:rPr>
    </w:lvl>
    <w:lvl w:ilvl="2">
      <w:start w:val="1"/>
      <w:numFmt w:val="bullet"/>
      <w:lvlText w:val=""/>
      <w:lvlJc w:val="left"/>
      <w:pPr>
        <w:ind w:left="2880" w:hanging="360"/>
      </w:pPr>
      <w:rPr>
        <w:rFonts w:ascii="Wingdings" w:hAnsi="Wingdings" w:hint="default"/>
      </w:rPr>
    </w:lvl>
    <w:lvl w:ilvl="3" w:tplc="04090003">
      <w:start w:val="1"/>
      <w:numFmt w:val="bullet"/>
      <w:lvlText w:val="o"/>
      <w:lvlJc w:val="left"/>
      <w:pPr>
        <w:ind w:left="3600" w:hanging="360"/>
      </w:pPr>
      <w:rPr>
        <w:rFonts w:ascii="Courier New" w:cs="Courier New" w:hAnsi="Courier New" w:hint="default"/>
      </w:rPr>
    </w:lvl>
    <w:lvl w:ilvl="4" w:tentative="1">
      <w:start w:val="1"/>
      <w:numFmt w:val="bullet"/>
      <w:lvlText w:val="o"/>
      <w:lvlJc w:val="left"/>
      <w:pPr>
        <w:ind w:left="4320" w:hanging="360"/>
      </w:pPr>
      <w:rPr>
        <w:rFonts w:ascii="Courier New" w:cs="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cs="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8">
    <w:nsid w:val="00000008"/>
    <w:multiLevelType w:val="hybridMultilevel"/>
    <w:tmpl w:val="A39AE3D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5"/>
  </w:num>
  <w:num w:numId="4">
    <w:abstractNumId w:val="6"/>
  </w:num>
  <w:num w:numId="5">
    <w:abstractNumId w:val="3"/>
  </w:num>
  <w:num w:numId="6">
    <w:abstractNumId w:val="1"/>
  </w:num>
  <w:num w:numId="7">
    <w:abstractNumId w:val="8"/>
  </w:num>
  <w:num w:numId="8">
    <w:abstractNumId w:val="7"/>
  </w:num>
  <w:num w:numId="9">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等线" w:hAnsi="Calibri"/>
        <w:kern w:val="2"/>
        <w:sz w:val="24"/>
        <w:szCs w:val="24"/>
        <w:lang w:val="en-US" w:bidi="ar-SA" w:eastAsia="zh-CN"/>
        <w14:ligatures xmlns:w14="http://schemas.microsoft.com/office/word/2010/wordml" w14:val="standardContextual"/>
      </w:rPr>
    </w:rPrDefault>
    <w:pPrDefault>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Words>1529</Words>
  <Pages>3</Pages>
  <Characters>8505</Characters>
  <Application>WPS Office</Application>
  <DocSecurity>0</DocSecurity>
  <Paragraphs>267</Paragraphs>
  <ScaleCrop>false</ScaleCrop>
  <LinksUpToDate>false</LinksUpToDate>
  <CharactersWithSpaces>9920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2025-02-22T17:52:00Z</dcterms:created>
  <dc:creator>Jianlin Zhai</dc:creator>
  <lastModifiedBy>M2006C3MG</lastModifiedBy>
  <dcterms:modified xsi:type="dcterms:W3CDTF">2026-02-22T21:13:45Z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658c17de2efc4495a88079b2a422b2cf</vt:lpwstr>
  </property>
</Properties>
</file>