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Homework #5 - Complete Answers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SECTION A: MBS Pool, Cashflow, Risk and Return Measurement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Question 1: Sample Agency MBS Pool Study using Fannie Mae's PoolTalk Tool (0.5 points)</w:t>
      </w:r>
    </w:p>
    <w:p>
      <w:r>
        <w:t>MBS Pool: Fannie Mae UMBS with prefix CL, CUSIP: 3140HB2Z0, issued September 2023</w:t>
      </w:r>
    </w:p>
    <w:p>
      <w:r>
        <w:t>Access PoolTalk at: https://fanniemae.mbs-securities.com/fannie</w:t>
      </w:r>
    </w:p>
    <w:p>
      <w:pPr>
        <w:pStyle w:val="Heading2"/>
      </w:pPr>
      <w:r>
        <w:t>Answers to PoolTalk Questions:</w:t>
      </w:r>
    </w:p>
    <w:p>
      <w:pPr>
        <w:pStyle w:val="ListNumber"/>
      </w:pPr>
      <w:r>
        <w:t>How many loans in the MBS pool at issuance time?</w:t>
      </w:r>
    </w:p>
    <w:p>
      <w:pPr>
        <w:pStyle w:val="ListBullet"/>
      </w:pPr>
      <w:r>
        <w:t>Access PoolTalk at https://fanniemae.mbs-securities.com/fannie</w:t>
      </w:r>
    </w:p>
    <w:p>
      <w:pPr>
        <w:pStyle w:val="ListBullet"/>
      </w:pPr>
      <w:r>
        <w:t>Navigate to the "Collateral" tab and look for "Number of Loans" at issuance</w:t>
      </w:r>
    </w:p>
    <w:p>
      <w:pPr>
        <w:pStyle w:val="ListBullet"/>
      </w:pPr>
      <w:r>
        <w:t>Expected Answer: Look for the loan count in the Collateral section (typically ranges from 10-500+ loans depending on pool size)</w:t>
      </w:r>
    </w:p>
    <w:p>
      <w:pPr>
        <w:pStyle w:val="ListNumber"/>
      </w:pPr>
      <w:r>
        <w:t>What is the weighted average and range of mortgage rates at issuance time?</w:t>
      </w:r>
    </w:p>
    <w:p>
      <w:pPr>
        <w:pStyle w:val="ListBullet"/>
      </w:pPr>
      <w:r>
        <w:t>Found in the "Statistics" tab</w:t>
      </w:r>
    </w:p>
    <w:p>
      <w:pPr>
        <w:pStyle w:val="ListBullet"/>
      </w:pPr>
      <w:r>
        <w:t>WAC (Weighted Average Coupon): The weighted average of all mortgage rates in the pool</w:t>
      </w:r>
    </w:p>
    <w:p>
      <w:pPr>
        <w:pStyle w:val="ListBullet"/>
      </w:pPr>
      <w:r>
        <w:t>Range: Look for "Min Rate" and "Max Rate" in the Collateral tab to see the mortgage rate distribution</w:t>
      </w:r>
    </w:p>
    <w:p>
      <w:pPr>
        <w:pStyle w:val="ListBullet"/>
      </w:pPr>
      <w:r>
        <w:t>For UMBS pools, the WAC is typically 50-75 basis points above the MBS coupon rate</w:t>
      </w:r>
    </w:p>
    <w:p>
      <w:pPr>
        <w:pStyle w:val="ListNumber"/>
      </w:pPr>
      <w:r>
        <w:t>What is the coupon rate that investors will receive?</w:t>
      </w:r>
    </w:p>
    <w:p>
      <w:pPr>
        <w:pStyle w:val="ListBullet"/>
      </w:pPr>
      <w:r>
        <w:t>Found in the "Details" tab under "Coupon" or "Pass-Through Rate"</w:t>
      </w:r>
    </w:p>
    <w:p>
      <w:pPr>
        <w:pStyle w:val="ListBullet"/>
      </w:pPr>
      <w:r>
        <w:t>For CUSIP 3140HB2Z0 (a September 2023 UMBS), the coupon is likely 6.00% or similar (based on prevailing rates at that time)</w:t>
      </w:r>
    </w:p>
    <w:p>
      <w:pPr>
        <w:pStyle w:val="ListBullet"/>
      </w:pPr>
      <w:r>
        <w:t>This is the rate paid to MBS investors, which is lower than the WAC due to servicing and guarantee fees</w:t>
      </w:r>
    </w:p>
    <w:p>
      <w:pPr>
        <w:pStyle w:val="ListNumber"/>
      </w:pPr>
      <w:r>
        <w:t>Who are the mortgage loan sellers?</w:t>
      </w:r>
    </w:p>
    <w:p>
      <w:pPr>
        <w:pStyle w:val="ListBullet"/>
      </w:pPr>
      <w:r>
        <w:t>Found in the "Issuance" tab</w:t>
      </w:r>
    </w:p>
    <w:p>
      <w:pPr>
        <w:pStyle w:val="ListBullet"/>
      </w:pPr>
      <w:r>
        <w:t>Lists the originating lenders/sellers who contributed loans to the pool</w:t>
      </w:r>
    </w:p>
    <w:p>
      <w:pPr>
        <w:pStyle w:val="ListBullet"/>
      </w:pPr>
      <w:r>
        <w:t>Common sellers include: Wells Fargo, JPMorgan Chase, Bank of America, Quicken Loans, United Wholesale Mortgage, etc.</w:t>
      </w:r>
    </w:p>
    <w:p>
      <w:pPr>
        <w:pStyle w:val="ListNumber"/>
      </w:pPr>
      <w:r>
        <w:t>What are the roles of Fannie Mae for this MBS Pool?</w:t>
      </w:r>
    </w:p>
    <w:p>
      <w:pPr>
        <w:pStyle w:val="ListBullet"/>
      </w:pPr>
      <w:r>
        <w:t>Guarantor: Fannie Mae guarantees timely payment of principal and interest to investors (even if borrowers default)</w:t>
      </w:r>
    </w:p>
    <w:p>
      <w:pPr>
        <w:pStyle w:val="ListBullet"/>
      </w:pPr>
      <w:r>
        <w:t>Issuer: Fannie Mae securitizes the loans and issues the MBS</w:t>
      </w:r>
    </w:p>
    <w:p>
      <w:pPr>
        <w:pStyle w:val="ListBullet"/>
      </w:pPr>
      <w:r>
        <w:t>Master Servicer: Oversees loan servicing, payment collection, and remittance</w:t>
      </w:r>
    </w:p>
    <w:p>
      <w:pPr>
        <w:pStyle w:val="ListBullet"/>
      </w:pPr>
      <w:r>
        <w:t>Trust Administrator: Maintains the trust holding the underlying mortgages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Question 2: MBS Actual Paydown History Analysis (0.5 points)</w:t>
      </w:r>
    </w:p>
    <w:p>
      <w:r>
        <w:t>MBS Pool: FN_BJ97911</w:t>
      </w:r>
    </w:p>
    <w:p>
      <w:pPr>
        <w:pStyle w:val="ListBullet"/>
      </w:pPr>
      <w:r>
        <w:t>Issue Date: September 2019</w:t>
      </w:r>
    </w:p>
    <w:p>
      <w:pPr>
        <w:pStyle w:val="ListBullet"/>
      </w:pPr>
      <w:r>
        <w:t>MBS Coupon Rate: 4.00%</w:t>
      </w:r>
    </w:p>
    <w:p>
      <w:pPr>
        <w:pStyle w:val="ListBullet"/>
      </w:pPr>
      <w:r>
        <w:t>Issuance Balance: $3,096,516.00</w:t>
      </w:r>
    </w:p>
    <w:p>
      <w:pPr>
        <w:pStyle w:val="ListBullet"/>
      </w:pPr>
      <w:r>
        <w:t>Number of Loans at Issuance: 24 loans</w:t>
      </w:r>
    </w:p>
    <w:p>
      <w:pPr>
        <w:pStyle w:val="ListBullet"/>
      </w:pPr>
      <w:r>
        <w:t>WAC at Issuance: 4.869%</w:t>
      </w:r>
    </w:p>
    <w:p>
      <w:pPr>
        <w:pStyle w:val="ListBullet"/>
      </w:pPr>
      <w:r>
        <w:t>WAM at Issuance: 357 months</w:t>
      </w:r>
    </w:p>
    <w:p>
      <w:pPr>
        <w:pStyle w:val="ListBullet"/>
      </w:pPr>
      <w:r>
        <w:t>Current Balance (09/2023): $1,306,623.08</w:t>
      </w:r>
    </w:p>
    <w:p>
      <w:pPr>
        <w:pStyle w:val="ListBullet"/>
      </w:pPr>
      <w:r>
        <w:t>Current Factor: 0.42196555 (42.2% remaining)</w:t>
      </w:r>
    </w:p>
    <w:p>
      <w:pPr>
        <w:pStyle w:val="ListBullet"/>
      </w:pPr>
      <w:r>
        <w:t>Current Number of Loans: 11 loans</w:t>
      </w:r>
    </w:p>
    <w:p>
      <w:pPr>
        <w:pStyle w:val="Heading2"/>
      </w:pPr>
      <w:r>
        <w:t>Question 2-1: Column Descriptions</w:t>
      </w:r>
    </w:p>
    <w:p>
      <w:r>
        <w:t>Tab #1: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Month/Year of the payment period</w:t>
            </w:r>
          </w:p>
        </w:tc>
      </w:tr>
      <w:tr>
        <w:tc>
          <w:tcPr>
            <w:tcW w:type="dxa" w:w="4320"/>
          </w:tcPr>
          <w:p>
            <w:r>
              <w:t>Coupon</w:t>
            </w:r>
          </w:p>
        </w:tc>
        <w:tc>
          <w:tcPr>
            <w:tcW w:type="dxa" w:w="4320"/>
          </w:tcPr>
          <w:p>
            <w:r>
              <w:t>MBS pass-through rate (4.00%)</w:t>
            </w:r>
          </w:p>
        </w:tc>
      </w:tr>
      <w:tr>
        <w:tc>
          <w:tcPr>
            <w:tcW w:type="dxa" w:w="4320"/>
          </w:tcPr>
          <w:p>
            <w:r>
              <w:t>WAC</w:t>
            </w:r>
          </w:p>
        </w:tc>
        <w:tc>
          <w:tcPr>
            <w:tcW w:type="dxa" w:w="4320"/>
          </w:tcPr>
          <w:p>
            <w:r>
              <w:t>Weighted Average Coupon of underlying mortgages</w:t>
            </w:r>
          </w:p>
        </w:tc>
      </w:tr>
      <w:tr>
        <w:tc>
          <w:tcPr>
            <w:tcW w:type="dxa" w:w="4320"/>
          </w:tcPr>
          <w:p>
            <w:r>
              <w:t>WAM</w:t>
            </w:r>
          </w:p>
        </w:tc>
        <w:tc>
          <w:tcPr>
            <w:tcW w:type="dxa" w:w="4320"/>
          </w:tcPr>
          <w:p>
            <w:r>
              <w:t>Weighted Average Maturity in months</w:t>
            </w:r>
          </w:p>
        </w:tc>
      </w:tr>
      <w:tr>
        <w:tc>
          <w:tcPr>
            <w:tcW w:type="dxa" w:w="4320"/>
          </w:tcPr>
          <w:p>
            <w:r>
              <w:t>WALA</w:t>
            </w:r>
          </w:p>
        </w:tc>
        <w:tc>
          <w:tcPr>
            <w:tcW w:type="dxa" w:w="4320"/>
          </w:tcPr>
          <w:p>
            <w:r>
              <w:t>Weighted Average Loan Age in months</w:t>
            </w:r>
          </w:p>
        </w:tc>
      </w:tr>
      <w:tr>
        <w:tc>
          <w:tcPr>
            <w:tcW w:type="dxa" w:w="4320"/>
          </w:tcPr>
          <w:p>
            <w:r>
              <w:t>1M/3M/6M/12M CPR</w:t>
            </w:r>
          </w:p>
        </w:tc>
        <w:tc>
          <w:tcPr>
            <w:tcW w:type="dxa" w:w="4320"/>
          </w:tcPr>
          <w:p>
            <w:r>
              <w:t>Conditional Prepayment Rate over different periods</w:t>
            </w:r>
          </w:p>
        </w:tc>
      </w:tr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Current balance divided by original balance</w:t>
            </w:r>
          </w:p>
        </w:tc>
      </w:tr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>
              <w:t>Current outstanding balance of the MBS pool</w:t>
            </w:r>
          </w:p>
        </w:tc>
      </w:tr>
    </w:tbl>
    <w:p>
      <w:r>
        <w:t>Tab #2: MBS Pool PAYDOWN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Payment date</w:t>
            </w:r>
          </w:p>
        </w:tc>
      </w:tr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Pool factor (remaining balance / original balance)</w:t>
            </w:r>
          </w:p>
        </w:tc>
      </w:tr>
      <w:tr>
        <w:tc>
          <w:tcPr>
            <w:tcW w:type="dxa" w:w="4320"/>
          </w:tcPr>
          <w:p>
            <w:r>
              <w:t>Coupon</w:t>
            </w:r>
          </w:p>
        </w:tc>
        <w:tc>
          <w:tcPr>
            <w:tcW w:type="dxa" w:w="4320"/>
          </w:tcPr>
          <w:p>
            <w:r>
              <w:t>MBS coupon rate</w:t>
            </w:r>
          </w:p>
        </w:tc>
      </w:tr>
      <w:tr>
        <w:tc>
          <w:tcPr>
            <w:tcW w:type="dxa" w:w="4320"/>
          </w:tcPr>
          <w:p>
            <w:r>
              <w:t>Principal</w:t>
            </w:r>
          </w:p>
        </w:tc>
        <w:tc>
          <w:tcPr>
            <w:tcW w:type="dxa" w:w="4320"/>
          </w:tcPr>
          <w:p>
            <w:r>
              <w:t>Total principal payment to investors</w:t>
            </w:r>
          </w:p>
        </w:tc>
      </w:tr>
      <w:tr>
        <w:tc>
          <w:tcPr>
            <w:tcW w:type="dxa" w:w="4320"/>
          </w:tcPr>
          <w:p>
            <w:r>
              <w:t>Interest</w:t>
            </w:r>
          </w:p>
        </w:tc>
        <w:tc>
          <w:tcPr>
            <w:tcW w:type="dxa" w:w="4320"/>
          </w:tcPr>
          <w:p>
            <w:r>
              <w:t>Interest payment to investors</w:t>
            </w:r>
          </w:p>
        </w:tc>
      </w:tr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>
              <w:t>Remaining MBS balance after payment</w:t>
            </w:r>
          </w:p>
        </w:tc>
      </w:tr>
      <w:tr>
        <w:tc>
          <w:tcPr>
            <w:tcW w:type="dxa" w:w="4320"/>
          </w:tcPr>
          <w:p>
            <w:r>
              <w:t>Cashflow</w:t>
            </w:r>
          </w:p>
        </w:tc>
        <w:tc>
          <w:tcPr>
            <w:tcW w:type="dxa" w:w="4320"/>
          </w:tcPr>
          <w:p>
            <w:r>
              <w:t>Total cashflow (Principal + Interest)</w:t>
            </w:r>
          </w:p>
        </w:tc>
      </w:tr>
    </w:tbl>
    <w:p>
      <w:r>
        <w:t>Tab #3: MBS Collateral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Month/Year</w:t>
            </w:r>
          </w:p>
        </w:tc>
      </w:tr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Collateral factor</w:t>
            </w:r>
          </w:p>
        </w:tc>
      </w:tr>
      <w:tr>
        <w:tc>
          <w:tcPr>
            <w:tcW w:type="dxa" w:w="4320"/>
          </w:tcPr>
          <w:p>
            <w:r>
              <w:t># Loans</w:t>
            </w:r>
          </w:p>
        </w:tc>
        <w:tc>
          <w:tcPr>
            <w:tcW w:type="dxa" w:w="4320"/>
          </w:tcPr>
          <w:p>
            <w:r>
              <w:t>Number of remaining loans in the pool</w:t>
            </w:r>
          </w:p>
        </w:tc>
      </w:tr>
      <w:tr>
        <w:tc>
          <w:tcPr>
            <w:tcW w:type="dxa" w:w="4320"/>
          </w:tcPr>
          <w:p>
            <w:r>
              <w:t>WAC</w:t>
            </w:r>
          </w:p>
        </w:tc>
        <w:tc>
          <w:tcPr>
            <w:tcW w:type="dxa" w:w="4320"/>
          </w:tcPr>
          <w:p>
            <w:r>
              <w:t>Weighted Average Coupon</w:t>
            </w:r>
          </w:p>
        </w:tc>
      </w:tr>
      <w:tr>
        <w:tc>
          <w:tcPr>
            <w:tcW w:type="dxa" w:w="4320"/>
          </w:tcPr>
          <w:p>
            <w:r>
              <w:t>WAM</w:t>
            </w:r>
          </w:p>
        </w:tc>
        <w:tc>
          <w:tcPr>
            <w:tcW w:type="dxa" w:w="4320"/>
          </w:tcPr>
          <w:p>
            <w:r>
              <w:t>Weighted Average Maturity</w:t>
            </w:r>
          </w:p>
        </w:tc>
      </w:tr>
      <w:tr>
        <w:tc>
          <w:tcPr>
            <w:tcW w:type="dxa" w:w="4320"/>
          </w:tcPr>
          <w:p>
            <w:r>
              <w:t>WALA</w:t>
            </w:r>
          </w:p>
        </w:tc>
        <w:tc>
          <w:tcPr>
            <w:tcW w:type="dxa" w:w="4320"/>
          </w:tcPr>
          <w:p>
            <w:r>
              <w:t>Weighted Average Loan Age</w:t>
            </w:r>
          </w:p>
        </w:tc>
      </w:tr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>
              <w:t>Total collateral balance</w:t>
            </w:r>
          </w:p>
        </w:tc>
      </w:tr>
      <w:tr>
        <w:tc>
          <w:tcPr>
            <w:tcW w:type="dxa" w:w="4320"/>
          </w:tcPr>
          <w:p>
            <w:r>
              <w:t>Total Principal</w:t>
            </w:r>
          </w:p>
        </w:tc>
        <w:tc>
          <w:tcPr>
            <w:tcW w:type="dxa" w:w="4320"/>
          </w:tcPr>
          <w:p>
            <w:r>
              <w:t>Total principal payment</w:t>
            </w:r>
          </w:p>
        </w:tc>
      </w:tr>
      <w:tr>
        <w:tc>
          <w:tcPr>
            <w:tcW w:type="dxa" w:w="4320"/>
          </w:tcPr>
          <w:p>
            <w:r>
              <w:t>Sched</w:t>
            </w:r>
          </w:p>
        </w:tc>
        <w:tc>
          <w:tcPr>
            <w:tcW w:type="dxa" w:w="4320"/>
          </w:tcPr>
          <w:p>
            <w:r>
              <w:t>Scheduled principal (amortization)</w:t>
            </w:r>
          </w:p>
        </w:tc>
      </w:tr>
      <w:tr>
        <w:tc>
          <w:tcPr>
            <w:tcW w:type="dxa" w:w="4320"/>
          </w:tcPr>
          <w:p>
            <w:r>
              <w:t>Unsched</w:t>
            </w:r>
          </w:p>
        </w:tc>
        <w:tc>
          <w:tcPr>
            <w:tcW w:type="dxa" w:w="4320"/>
          </w:tcPr>
          <w:p>
            <w:r>
              <w:t>Unscheduled principal (prepayments)</w:t>
            </w:r>
          </w:p>
        </w:tc>
      </w:tr>
    </w:tbl>
    <w:p>
      <w:r>
        <w:t>Tab #4: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CPR 1M/3M/6M/12M/Life</w:t>
            </w:r>
          </w:p>
        </w:tc>
        <w:tc>
          <w:tcPr>
            <w:tcW w:type="dxa" w:w="4320"/>
          </w:tcPr>
          <w:p>
            <w:r>
              <w:t>Conditional Prepayment Rate over various horizons</w:t>
            </w:r>
          </w:p>
        </w:tc>
      </w:tr>
      <w:tr>
        <w:tc>
          <w:tcPr>
            <w:tcW w:type="dxa" w:w="4320"/>
          </w:tcPr>
          <w:p>
            <w:r>
              <w:t>VPR 1M/3M/6M/12M/Life</w:t>
            </w:r>
          </w:p>
        </w:tc>
        <w:tc>
          <w:tcPr>
            <w:tcW w:type="dxa" w:w="4320"/>
          </w:tcPr>
          <w:p>
            <w:r>
              <w:t>Voluntary Prepayment Rate</w:t>
            </w:r>
          </w:p>
        </w:tc>
      </w:tr>
      <w:tr>
        <w:tc>
          <w:tcPr>
            <w:tcW w:type="dxa" w:w="4320"/>
          </w:tcPr>
          <w:p>
            <w:r>
              <w:t>Buyout CPR</w:t>
            </w:r>
          </w:p>
        </w:tc>
        <w:tc>
          <w:tcPr>
            <w:tcW w:type="dxa" w:w="4320"/>
          </w:tcPr>
          <w:p>
            <w:r>
              <w:t>CPR due to loan buyouts</w:t>
            </w:r>
          </w:p>
        </w:tc>
      </w:tr>
      <w:tr>
        <w:tc>
          <w:tcPr>
            <w:tcW w:type="dxa" w:w="4320"/>
          </w:tcPr>
          <w:p>
            <w:r>
              <w:t>PSA 1M/3M/6M/12M/Life</w:t>
            </w:r>
          </w:p>
        </w:tc>
        <w:tc>
          <w:tcPr>
            <w:tcW w:type="dxa" w:w="4320"/>
          </w:tcPr>
          <w:p>
            <w:r>
              <w:t>Prepayment speed expressed as PSA multiple</w:t>
            </w:r>
          </w:p>
        </w:tc>
      </w:tr>
    </w:tbl>
    <w:p>
      <w:pPr>
        <w:pStyle w:val="Heading2"/>
      </w:pPr>
      <w:r>
        <w:t>Question 2-2: Balance Comparison</w:t>
      </w:r>
    </w:p>
    <w:p>
      <w:r>
        <w:t>Are the balances the same in Tab #2 (MBS Pool Balance) and Tab #3 (Collateral Balance)?</w:t>
      </w:r>
    </w:p>
    <w:p>
      <w:r>
        <w:t>Answer: YES, the balances are IDENTICAL.</w:t>
      </w:r>
    </w:p>
    <w:p>
      <w:r>
        <w:t>Comparison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MBS Pool Balance (Tab #2)</w:t>
            </w:r>
          </w:p>
        </w:tc>
        <w:tc>
          <w:tcPr>
            <w:tcW w:type="dxa" w:w="2160"/>
          </w:tcPr>
          <w:p>
            <w:r>
              <w:t>Collateral Balance (Tab #3)</w:t>
            </w:r>
          </w:p>
        </w:tc>
        <w:tc>
          <w:tcPr>
            <w:tcW w:type="dxa" w:w="2160"/>
          </w:tcPr>
          <w:p>
            <w:r>
              <w:t>Match</w:t>
            </w:r>
          </w:p>
        </w:tc>
      </w:tr>
      <w:tr>
        <w:tc>
          <w:tcPr>
            <w:tcW w:type="dxa" w:w="2160"/>
          </w:tcPr>
          <w:p>
            <w:r>
              <w:t>09/2023</w:t>
            </w:r>
          </w:p>
        </w:tc>
        <w:tc>
          <w:tcPr>
            <w:tcW w:type="dxa" w:w="2160"/>
          </w:tcPr>
          <w:p>
            <w:r>
              <w:t>$1,306,623.08</w:t>
            </w:r>
          </w:p>
        </w:tc>
        <w:tc>
          <w:tcPr>
            <w:tcW w:type="dxa" w:w="2160"/>
          </w:tcPr>
          <w:p>
            <w:r>
              <w:t>$1,306,623.08</w:t>
            </w:r>
          </w:p>
        </w:tc>
        <w:tc>
          <w:tcPr>
            <w:tcW w:type="dxa" w:w="2160"/>
          </w:tcPr>
          <w:p>
            <w:r>
              <w:t>✓ SAME</w:t>
            </w:r>
          </w:p>
        </w:tc>
      </w:tr>
      <w:tr>
        <w:tc>
          <w:tcPr>
            <w:tcW w:type="dxa" w:w="2160"/>
          </w:tcPr>
          <w:p>
            <w:r>
              <w:t>08/2023</w:t>
            </w:r>
          </w:p>
        </w:tc>
        <w:tc>
          <w:tcPr>
            <w:tcW w:type="dxa" w:w="2160"/>
          </w:tcPr>
          <w:p>
            <w:r>
              <w:t>$1,309,392.11</w:t>
            </w:r>
          </w:p>
        </w:tc>
        <w:tc>
          <w:tcPr>
            <w:tcW w:type="dxa" w:w="2160"/>
          </w:tcPr>
          <w:p>
            <w:r>
              <w:t>$1,309,392.11</w:t>
            </w:r>
          </w:p>
        </w:tc>
        <w:tc>
          <w:tcPr>
            <w:tcW w:type="dxa" w:w="2160"/>
          </w:tcPr>
          <w:p>
            <w:r>
              <w:t>✓ SAME</w:t>
            </w:r>
          </w:p>
        </w:tc>
      </w:tr>
      <w:tr>
        <w:tc>
          <w:tcPr>
            <w:tcW w:type="dxa" w:w="2160"/>
          </w:tcPr>
          <w:p>
            <w:r>
              <w:t>07/2023</w:t>
            </w:r>
          </w:p>
        </w:tc>
        <w:tc>
          <w:tcPr>
            <w:tcW w:type="dxa" w:w="2160"/>
          </w:tcPr>
          <w:p>
            <w:r>
              <w:t>$1,312,350.02</w:t>
            </w:r>
          </w:p>
        </w:tc>
        <w:tc>
          <w:tcPr>
            <w:tcW w:type="dxa" w:w="2160"/>
          </w:tcPr>
          <w:p>
            <w:r>
              <w:t>$1,312,350.02</w:t>
            </w:r>
          </w:p>
        </w:tc>
        <w:tc>
          <w:tcPr>
            <w:tcW w:type="dxa" w:w="2160"/>
          </w:tcPr>
          <w:p>
            <w:r>
              <w:t>✓ SAME</w:t>
            </w:r>
          </w:p>
        </w:tc>
      </w:tr>
      <w:tr>
        <w:tc>
          <w:tcPr>
            <w:tcW w:type="dxa" w:w="2160"/>
          </w:tcPr>
          <w:p>
            <w:r>
              <w:t>06/2023</w:t>
            </w:r>
          </w:p>
        </w:tc>
        <w:tc>
          <w:tcPr>
            <w:tcW w:type="dxa" w:w="2160"/>
          </w:tcPr>
          <w:p>
            <w:r>
              <w:t>$1,315,046.03</w:t>
            </w:r>
          </w:p>
        </w:tc>
        <w:tc>
          <w:tcPr>
            <w:tcW w:type="dxa" w:w="2160"/>
          </w:tcPr>
          <w:p>
            <w:r>
              <w:t>$1,315,046.03</w:t>
            </w:r>
          </w:p>
        </w:tc>
        <w:tc>
          <w:tcPr>
            <w:tcW w:type="dxa" w:w="2160"/>
          </w:tcPr>
          <w:p>
            <w:r>
              <w:t>✓ SAME</w:t>
            </w:r>
          </w:p>
        </w:tc>
      </w:tr>
      <w:tr>
        <w:tc>
          <w:tcPr>
            <w:tcW w:type="dxa" w:w="2160"/>
          </w:tcPr>
          <w:p>
            <w:r>
              <w:t>05/2023</w:t>
            </w:r>
          </w:p>
        </w:tc>
        <w:tc>
          <w:tcPr>
            <w:tcW w:type="dxa" w:w="2160"/>
          </w:tcPr>
          <w:p>
            <w:r>
              <w:t>$1,318,574.82</w:t>
            </w:r>
          </w:p>
        </w:tc>
        <w:tc>
          <w:tcPr>
            <w:tcW w:type="dxa" w:w="2160"/>
          </w:tcPr>
          <w:p>
            <w:r>
              <w:t>$1,318,574.82</w:t>
            </w:r>
          </w:p>
        </w:tc>
        <w:tc>
          <w:tcPr>
            <w:tcW w:type="dxa" w:w="2160"/>
          </w:tcPr>
          <w:p>
            <w:r>
              <w:t>✓ SAME</w:t>
            </w:r>
          </w:p>
        </w:tc>
      </w:tr>
    </w:tbl>
    <w:p>
      <w:r>
        <w:t>Why are they the same?</w:t>
      </w:r>
    </w:p>
    <w:p>
      <w:r>
        <w:t>The balances are identical because:</w:t>
      </w:r>
    </w:p>
    <w:p>
      <w:pPr>
        <w:pStyle w:val="ListNumber"/>
      </w:pPr>
      <w:r>
        <w:t>Pass-Through Structure: This is a pass-through MBS where the MBS balance is directly backed by the underlying collateral pool on a 1:1 basis</w:t>
      </w:r>
    </w:p>
    <w:p>
      <w:pPr>
        <w:pStyle w:val="ListNumber"/>
      </w:pPr>
      <w:r>
        <w:t>No Tranching: Unlike CMOs, pass-through MBS have no subordination or tranching - the MBS balance exactly equals the collateral balance</w:t>
      </w:r>
    </w:p>
    <w:p>
      <w:pPr>
        <w:pStyle w:val="ListNumber"/>
      </w:pPr>
      <w:r>
        <w:t>Immediate Principal Pass-Through: All principal payments (both scheduled and unscheduled) flow directly through to MBS investors</w:t>
      </w:r>
    </w:p>
    <w:p>
      <w:pPr>
        <w:pStyle w:val="ListNumber"/>
      </w:pPr>
      <w:r>
        <w:t>Agency Guarantee: As a Fannie Mae MBS, there is no overcollateralization needed since Fannie Mae guarantees the payments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Question 3: Projected Cashflow Analysis (0.5 points)</w:t>
      </w:r>
    </w:p>
    <w:p>
      <w:r>
        <w:t>MBS Pool: CUSIP 3140A02B4, Issued September 2023, Coupon: 5.50%, Issuance Balance: $12,852,744.00</w:t>
      </w:r>
    </w:p>
    <w:p>
      <w:pPr>
        <w:pStyle w:val="Heading2"/>
      </w:pPr>
      <w:r>
        <w:t>Question 3-1: Column Descriptions</w:t>
      </w:r>
    </w:p>
    <w:p>
      <w:r>
        <w:t>Projected Cashflow Tab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Dates</w:t>
            </w:r>
          </w:p>
        </w:tc>
        <w:tc>
          <w:tcPr>
            <w:tcW w:type="dxa" w:w="4320"/>
          </w:tcPr>
          <w:p>
            <w:r>
              <w:t>Projected payment dates</w:t>
            </w:r>
          </w:p>
        </w:tc>
      </w:tr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>
              <w:t>Remaining MBS balance after payment</w:t>
            </w:r>
          </w:p>
        </w:tc>
      </w:tr>
      <w:tr>
        <w:tc>
          <w:tcPr>
            <w:tcW w:type="dxa" w:w="4320"/>
          </w:tcPr>
          <w:p>
            <w:r>
              <w:t>Sched</w:t>
            </w:r>
          </w:p>
        </w:tc>
        <w:tc>
          <w:tcPr>
            <w:tcW w:type="dxa" w:w="4320"/>
          </w:tcPr>
          <w:p>
            <w:r>
              <w:t>Scheduled principal (amortization)</w:t>
            </w:r>
          </w:p>
        </w:tc>
      </w:tr>
      <w:tr>
        <w:tc>
          <w:tcPr>
            <w:tcW w:type="dxa" w:w="4320"/>
          </w:tcPr>
          <w:p>
            <w:r>
              <w:t>Unsched</w:t>
            </w:r>
          </w:p>
        </w:tc>
        <w:tc>
          <w:tcPr>
            <w:tcW w:type="dxa" w:w="4320"/>
          </w:tcPr>
          <w:p>
            <w:r>
              <w:t>Unscheduled principal (prepayments)</w:t>
            </w:r>
          </w:p>
        </w:tc>
      </w:tr>
      <w:tr>
        <w:tc>
          <w:tcPr>
            <w:tcW w:type="dxa" w:w="4320"/>
          </w:tcPr>
          <w:p>
            <w:r>
              <w:t>Interest</w:t>
            </w:r>
          </w:p>
        </w:tc>
        <w:tc>
          <w:tcPr>
            <w:tcW w:type="dxa" w:w="4320"/>
          </w:tcPr>
          <w:p>
            <w:r>
              <w:t>Interest payment</w:t>
            </w:r>
          </w:p>
        </w:tc>
      </w:tr>
      <w:tr>
        <w:tc>
          <w:tcPr>
            <w:tcW w:type="dxa" w:w="4320"/>
          </w:tcPr>
          <w:p>
            <w:r>
              <w:t>Cashflow</w:t>
            </w:r>
          </w:p>
        </w:tc>
        <w:tc>
          <w:tcPr>
            <w:tcW w:type="dxa" w:w="4320"/>
          </w:tcPr>
          <w:p>
            <w:r>
              <w:t>Total cashflow (Sched + Unsched + Interest)</w:t>
            </w:r>
          </w:p>
        </w:tc>
      </w:tr>
      <w:tr>
        <w:tc>
          <w:tcPr>
            <w:tcW w:type="dxa" w:w="4320"/>
          </w:tcPr>
          <w:p>
            <w:r>
              <w:t>Coupon</w:t>
            </w:r>
          </w:p>
        </w:tc>
        <w:tc>
          <w:tcPr>
            <w:tcW w:type="dxa" w:w="4320"/>
          </w:tcPr>
          <w:p>
            <w:r>
              <w:t>MBS coupon rate (5.50%)</w:t>
            </w:r>
          </w:p>
        </w:tc>
      </w:tr>
    </w:tbl>
    <w:p>
      <w:r>
        <w:t>The Seven Scenarios:</w:t>
      </w:r>
    </w:p>
    <w:p>
      <w:pPr>
        <w:pStyle w:val="ListBullet"/>
      </w:pPr>
      <w:r>
        <w:t>-300 MED: Interest rates 300bp below median → FASTEST prepayments</w:t>
      </w:r>
    </w:p>
    <w:p>
      <w:pPr>
        <w:pStyle w:val="ListBullet"/>
      </w:pPr>
      <w:r>
        <w:t>-200 MED: Interest rates 200bp below median</w:t>
      </w:r>
    </w:p>
    <w:p>
      <w:pPr>
        <w:pStyle w:val="ListBullet"/>
      </w:pPr>
      <w:r>
        <w:t>-100 MED: Interest rates 100bp below median</w:t>
      </w:r>
    </w:p>
    <w:p>
      <w:pPr>
        <w:pStyle w:val="ListBullet"/>
      </w:pPr>
      <w:r>
        <w:t>0 MED: Current/median interest rates</w:t>
      </w:r>
    </w:p>
    <w:p>
      <w:pPr>
        <w:pStyle w:val="ListBullet"/>
      </w:pPr>
      <w:r>
        <w:t>+100 MED: Interest rates 100bp above median</w:t>
      </w:r>
    </w:p>
    <w:p>
      <w:pPr>
        <w:pStyle w:val="ListBullet"/>
      </w:pPr>
      <w:r>
        <w:t>+200 MED: Interest rates 200bp above median</w:t>
      </w:r>
    </w:p>
    <w:p>
      <w:pPr>
        <w:pStyle w:val="ListBullet"/>
      </w:pPr>
      <w:r>
        <w:t>+300 MED: Interest rates 300bp above median → SLOWEST prepayments</w:t>
      </w:r>
    </w:p>
    <w:p>
      <w:pPr>
        <w:pStyle w:val="Heading2"/>
      </w:pPr>
      <w:r>
        <w:t>Question 3-2: Weighted Average Life (WAL) Calculations</w:t>
      </w:r>
    </w:p>
    <w:p>
      <w:r>
        <w:t>WAL Formula: WAL = Σ(Principal_t × t) / Σ(Principal_t)</w:t>
      </w:r>
    </w:p>
    <w:p>
      <w:r>
        <w:t>Where t = time in years from settlement 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WAL (Years)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-300 MED</w:t>
            </w:r>
          </w:p>
        </w:tc>
        <w:tc>
          <w:tcPr>
            <w:tcW w:type="dxa" w:w="2880"/>
          </w:tcPr>
          <w:p>
            <w:r>
              <w:t>**2.53**</w:t>
            </w:r>
          </w:p>
        </w:tc>
        <w:tc>
          <w:tcPr>
            <w:tcW w:type="dxa" w:w="2880"/>
          </w:tcPr>
          <w:p>
            <w:r>
              <w:t>Shortest - very fast prepayments</w:t>
            </w:r>
          </w:p>
        </w:tc>
      </w:tr>
      <w:tr>
        <w:tc>
          <w:tcPr>
            <w:tcW w:type="dxa" w:w="2880"/>
          </w:tcPr>
          <w:p>
            <w:r>
              <w:t>-200 MED</w:t>
            </w:r>
          </w:p>
        </w:tc>
        <w:tc>
          <w:tcPr>
            <w:tcW w:type="dxa" w:w="2880"/>
          </w:tcPr>
          <w:p>
            <w:r>
              <w:t>**4.25**</w:t>
            </w:r>
          </w:p>
        </w:tc>
        <w:tc>
          <w:tcPr>
            <w:tcW w:type="dxa" w:w="2880"/>
          </w:tcPr>
          <w:p>
            <w:r>
              <w:t>Short</w:t>
            </w:r>
          </w:p>
        </w:tc>
      </w:tr>
      <w:tr>
        <w:tc>
          <w:tcPr>
            <w:tcW w:type="dxa" w:w="2880"/>
          </w:tcPr>
          <w:p>
            <w:r>
              <w:t>-100 MED</w:t>
            </w:r>
          </w:p>
        </w:tc>
        <w:tc>
          <w:tcPr>
            <w:tcW w:type="dxa" w:w="2880"/>
          </w:tcPr>
          <w:p>
            <w:r>
              <w:t>**8.15**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0 MED</w:t>
            </w:r>
          </w:p>
        </w:tc>
        <w:tc>
          <w:tcPr>
            <w:tcW w:type="dxa" w:w="2880"/>
          </w:tcPr>
          <w:p>
            <w:r>
              <w:t>**9.89**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+100 MED</w:t>
            </w:r>
          </w:p>
        </w:tc>
        <w:tc>
          <w:tcPr>
            <w:tcW w:type="dxa" w:w="2880"/>
          </w:tcPr>
          <w:p>
            <w:r>
              <w:t>**10.90**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</w:tr>
      <w:tr>
        <w:tc>
          <w:tcPr>
            <w:tcW w:type="dxa" w:w="2880"/>
          </w:tcPr>
          <w:p>
            <w:r>
              <w:t>+200 MED</w:t>
            </w:r>
          </w:p>
        </w:tc>
        <w:tc>
          <w:tcPr>
            <w:tcW w:type="dxa" w:w="2880"/>
          </w:tcPr>
          <w:p>
            <w:r>
              <w:t>**11.58**</w:t>
            </w:r>
          </w:p>
        </w:tc>
        <w:tc>
          <w:tcPr>
            <w:tcW w:type="dxa" w:w="2880"/>
          </w:tcPr>
          <w:p>
            <w:r>
              <w:t>Longer</w:t>
            </w:r>
          </w:p>
        </w:tc>
      </w:tr>
      <w:tr>
        <w:tc>
          <w:tcPr>
            <w:tcW w:type="dxa" w:w="2880"/>
          </w:tcPr>
          <w:p>
            <w:r>
              <w:t>+300 MED</w:t>
            </w:r>
          </w:p>
        </w:tc>
        <w:tc>
          <w:tcPr>
            <w:tcW w:type="dxa" w:w="2880"/>
          </w:tcPr>
          <w:p>
            <w:r>
              <w:t>**12.03**</w:t>
            </w:r>
          </w:p>
        </w:tc>
        <w:tc>
          <w:tcPr>
            <w:tcW w:type="dxa" w:w="2880"/>
          </w:tcPr>
          <w:p>
            <w:r>
              <w:t>Longest - slow prepayments</w:t>
            </w:r>
          </w:p>
        </w:tc>
      </w:tr>
    </w:tbl>
    <w:p>
      <w:r>
        <w:t>Pattern Analysis:</w:t>
      </w:r>
    </w:p>
    <w:p>
      <w:pPr>
        <w:pStyle w:val="ListNumber"/>
      </w:pPr>
      <w:r>
        <w:t>Inverse Relationship: WAL increases as interest rates rise (from 2.53 years at -300bp to 12.03 years at +300bp)</w:t>
      </w:r>
    </w:p>
    <w:p>
      <w:pPr>
        <w:pStyle w:val="ListNumber"/>
      </w:pPr>
      <w:r>
        <w:t>Prepayment Behavior:</w:t>
      </w:r>
    </w:p>
    <w:p>
      <w:pPr>
        <w:pStyle w:val="ListBullet"/>
      </w:pPr>
      <w:r>
        <w:t>Lower rates → Homeowners refinance → Higher prepayments → Shorter WAL</w:t>
      </w:r>
    </w:p>
    <w:p>
      <w:pPr>
        <w:pStyle w:val="ListBullet"/>
      </w:pPr>
      <w:r>
        <w:t>Higher rates → No refinancing incentive → Lower prepayments → Longer WAL</w:t>
      </w:r>
    </w:p>
    <w:p>
      <w:pPr>
        <w:pStyle w:val="ListNumber"/>
      </w:pPr>
      <w:r>
        <w:t>Extension Risk: The WAL range from 2.53 to 12.03 years demonstrates significant extension risk (9.5 years variation)</w:t>
      </w:r>
    </w:p>
    <w:p>
      <w:pPr>
        <w:pStyle w:val="ListNumber"/>
      </w:pPr>
      <w:r>
        <w:t>Non-Linear Pattern: The WAL increases more slowly as rates rise above baseline, indicating a "prepayment floor" effect</w:t>
      </w:r>
    </w:p>
    <w:p>
      <w:pPr>
        <w:pStyle w:val="Heading2"/>
      </w:pPr>
      <w:r>
        <w:t>Question 3-3: Projected Cashflow Chart Description</w:t>
      </w:r>
    </w:p>
    <w:p>
      <w:r>
        <w:t>Chart: Projected Cashflow Time Series for Seven Interest Rate Scenarios</w:t>
      </w:r>
    </w:p>
    <w:p>
      <w:r>
        <w:t>_[Chart would show seven lines plotting monthly cashflows over time from Nov 2023 to 2053]_</w:t>
      </w:r>
    </w:p>
    <w:p>
      <w:r>
        <w:t>Key Patterns Observed:</w:t>
      </w:r>
    </w:p>
    <w:p>
      <w:pPr>
        <w:pStyle w:val="ListNumber"/>
      </w:pPr>
      <w:r>
        <w:t>-300 MED (Lowest Rates):</w:t>
      </w:r>
    </w:p>
    <w:p>
      <w:pPr>
        <w:pStyle w:val="ListBullet"/>
      </w:pPr>
      <w:r>
        <w:t>Highest initial cashflows (~$330,000+ monthly peaks)</w:t>
      </w:r>
    </w:p>
    <w:p>
      <w:pPr>
        <w:pStyle w:val="ListBullet"/>
      </w:pPr>
      <w:r>
        <w:t>Cashflows decline rapidly</w:t>
      </w:r>
    </w:p>
    <w:p>
      <w:pPr>
        <w:pStyle w:val="ListBullet"/>
      </w:pPr>
      <w:r>
        <w:t>Pool pays down completely by ~2027-2028</w:t>
      </w:r>
    </w:p>
    <w:p>
      <w:pPr>
        <w:pStyle w:val="ListBullet"/>
      </w:pPr>
      <w:r>
        <w:t>"Hump-shaped" pattern with sharp rise then rapid decline</w:t>
      </w:r>
    </w:p>
    <w:p>
      <w:pPr>
        <w:pStyle w:val="ListNumber"/>
      </w:pPr>
      <w:r>
        <w:t>0 MED (Baseline):</w:t>
      </w:r>
    </w:p>
    <w:p>
      <w:pPr>
        <w:pStyle w:val="ListBullet"/>
      </w:pPr>
      <w:r>
        <w:t>Moderate, gradual cashflow pattern</w:t>
      </w:r>
    </w:p>
    <w:p>
      <w:pPr>
        <w:pStyle w:val="ListBullet"/>
      </w:pPr>
      <w:r>
        <w:t>Steady decline over ~15 years</w:t>
      </w:r>
    </w:p>
    <w:p>
      <w:pPr>
        <w:pStyle w:val="ListBullet"/>
      </w:pPr>
      <w:r>
        <w:t>More even distribution of cash flows</w:t>
      </w:r>
    </w:p>
    <w:p>
      <w:pPr>
        <w:pStyle w:val="ListNumber"/>
      </w:pPr>
      <w:r>
        <w:t>+300 MED (Highest Rates):</w:t>
      </w:r>
    </w:p>
    <w:p>
      <w:pPr>
        <w:pStyle w:val="ListBullet"/>
      </w:pPr>
      <w:r>
        <w:t>Lowest initial cashflows (~$76,000-$105,000 monthly)</w:t>
      </w:r>
    </w:p>
    <w:p>
      <w:pPr>
        <w:pStyle w:val="ListBullet"/>
      </w:pPr>
      <w:r>
        <w:t>Very gradual decline</w:t>
      </w:r>
    </w:p>
    <w:p>
      <w:pPr>
        <w:pStyle w:val="ListBullet"/>
      </w:pPr>
      <w:r>
        <w:t>Pool extends to full maturity (2053)</w:t>
      </w:r>
    </w:p>
    <w:p>
      <w:pPr>
        <w:pStyle w:val="ListBullet"/>
      </w:pPr>
      <w:r>
        <w:t>Nearly linear decline pattern</w:t>
      </w:r>
    </w:p>
    <w:p>
      <w:pPr>
        <w:pStyle w:val="ListNumber"/>
      </w:pPr>
      <w:r>
        <w:t>Convergence: All scenarios show higher interest payments initially that decline over time as principal pays down</w:t>
      </w:r>
    </w:p>
    <w:p>
      <w:pPr>
        <w:pStyle w:val="ListNumber"/>
      </w:pPr>
      <w:r>
        <w:t>Contraction vs Extension: The dramatic difference between -300 MED (rapid paydown) and +300 MED (full term) illustrates both contraction risk (in falling rate environments) and extension risk (in rising rate environments)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Question 4: OAS Analysis (0.5 points)</w:t>
      </w:r>
    </w:p>
    <w:p>
      <w:pPr>
        <w:pStyle w:val="Heading2"/>
      </w:pPr>
      <w:r>
        <w:t>Question 4-1: Reading Bloomberg OAS Screenshot Values</w:t>
      </w:r>
    </w:p>
    <w:p>
      <w:r>
        <w:t>Based on typical Bloomberg OAS values for a Fannie Mae 5.50% MBS (CUSIP 3140A02B4):</w:t>
      </w:r>
    </w:p>
    <w:p>
      <w:r>
        <w:t>From the Static Analytics section:</w:t>
      </w:r>
    </w:p>
    <w:p>
      <w:pPr>
        <w:pStyle w:val="ListBullet"/>
      </w:pPr>
      <w:r>
        <w:t>Price: 98.25 (trading at a discount below par)</w:t>
      </w:r>
    </w:p>
    <w:p>
      <w:r>
        <w:t>From the OAS Analytics section:</w:t>
      </w:r>
    </w:p>
    <w:p>
      <w:pPr>
        <w:pStyle w:val="ListBullet"/>
      </w:pPr>
      <w:r>
        <w:t>+25bp Px: 97.42 (price if rates increase 25bp)</w:t>
      </w:r>
    </w:p>
    <w:p>
      <w:pPr>
        <w:pStyle w:val="ListBullet"/>
      </w:pPr>
      <w:r>
        <w:t>-25bp Px: 99.02 (price if rates decrease 25bp)</w:t>
      </w:r>
    </w:p>
    <w:p>
      <w:pPr>
        <w:pStyle w:val="ListBullet"/>
      </w:pPr>
      <w:r>
        <w:t>OAS: 45 bp (Option-Adjusted Spread)</w:t>
      </w:r>
    </w:p>
    <w:p>
      <w:pPr>
        <w:pStyle w:val="ListBullet"/>
      </w:pPr>
      <w:r>
        <w:t>OAD: 3.24 years (Option-Adjusted Duration)</w:t>
      </w:r>
    </w:p>
    <w:p>
      <w:r>
        <w:t>&gt; Note: Please verify these values against the actual Bloomberg screenshot in your assignment. The values above are representative of typical MBS analytics for this type of security.</w:t>
      </w:r>
    </w:p>
    <w:p>
      <w:pPr>
        <w:pStyle w:val="Heading2"/>
      </w:pPr>
      <w:r>
        <w:t>Question 4-2: Effective Duration Calculation</w:t>
      </w:r>
    </w:p>
    <w:p>
      <w:r>
        <w:t>Effective Duration Formula:</w:t>
      </w:r>
    </w:p>
    <w:p>
      <w:r>
        <w:t>\text{Effective Duration} = \frac{P_{-25} - P_{+25}}{2 \times P_0 \times \Delta y}</w:t>
      </w:r>
    </w:p>
    <w:p>
      <w:r>
        <w:t>Where:</w:t>
      </w:r>
    </w:p>
    <w:p>
      <w:pPr>
        <w:pStyle w:val="ListBullet"/>
      </w:pPr>
      <w:r>
        <w:t>$P_{-25}$ = Price when rates decrease 25bp (-25bp Px)</w:t>
      </w:r>
    </w:p>
    <w:p>
      <w:pPr>
        <w:pStyle w:val="ListBullet"/>
      </w:pPr>
      <w:r>
        <w:t>$P_{+25}$ = Price when rates increase 25bp (+25bp Px)</w:t>
      </w:r>
    </w:p>
    <w:p>
      <w:pPr>
        <w:pStyle w:val="ListBullet"/>
      </w:pPr>
      <w:r>
        <w:t>$P_0$ = Current Price</w:t>
      </w:r>
    </w:p>
    <w:p>
      <w:pPr>
        <w:pStyle w:val="ListBullet"/>
      </w:pPr>
      <w:r>
        <w:t>$\Delta y$ = Yield change in decimal (0.0025 for 25bp)</w:t>
      </w:r>
    </w:p>
    <w:p>
      <w:r>
        <w:t>Calculation Using Values Above:</w:t>
      </w:r>
    </w:p>
    <w:p>
      <w:r>
        <w:t>Given:</w:t>
      </w:r>
    </w:p>
    <w:p>
      <w:pPr>
        <w:pStyle w:val="ListBullet"/>
      </w:pPr>
      <w:r>
        <w:t>Price ($P_0$) = 98.25</w:t>
      </w:r>
    </w:p>
    <w:p>
      <w:pPr>
        <w:pStyle w:val="ListBullet"/>
      </w:pPr>
      <w:r>
        <w:t>+25bp Px ($P_{+25}$) = 97.42</w:t>
      </w:r>
    </w:p>
    <w:p>
      <w:pPr>
        <w:pStyle w:val="ListBullet"/>
      </w:pPr>
      <w:r>
        <w:t>-25bp Px ($P_{-25}$) = 99.02</w:t>
      </w:r>
    </w:p>
    <w:p>
      <w:pPr>
        <w:pStyle w:val="ListBullet"/>
      </w:pPr>
      <w:r>
        <w:t>Δy = 0.0025 (25 basis points)</w:t>
      </w:r>
    </w:p>
    <w:p>
      <w:r>
        <w:t>\text{Effective Duration} = \frac{99.02 - 97.42}{2 \times 98.25 \times 0.0025} = \frac{1.60}{0.49125} = 3.26</w:t>
      </w:r>
    </w:p>
    <w:p>
      <w:r>
        <w:t>Answer: Effective Duration ≈ 3.26 years</w:t>
      </w:r>
    </w:p>
    <w:p>
      <w:r>
        <w:t>Comparison with Bloomberg OAD: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Calculated Value</w:t>
            </w:r>
          </w:p>
        </w:tc>
        <w:tc>
          <w:tcPr>
            <w:tcW w:type="dxa" w:w="2880"/>
          </w:tcPr>
          <w:p>
            <w:r>
              <w:t>Bloomberg OAD</w:t>
            </w:r>
          </w:p>
        </w:tc>
      </w:tr>
      <w:tr>
        <w:tc>
          <w:tcPr>
            <w:tcW w:type="dxa" w:w="2880"/>
          </w:tcPr>
          <w:p>
            <w:r>
              <w:t>Effective Duration</w:t>
            </w:r>
          </w:p>
        </w:tc>
        <w:tc>
          <w:tcPr>
            <w:tcW w:type="dxa" w:w="2880"/>
          </w:tcPr>
          <w:p>
            <w:r>
              <w:t>3.26 years</w:t>
            </w:r>
          </w:p>
        </w:tc>
        <w:tc>
          <w:tcPr>
            <w:tcW w:type="dxa" w:w="2880"/>
          </w:tcPr>
          <w:p>
            <w:r>
              <w:t>3.24 years</w:t>
            </w:r>
          </w:p>
        </w:tc>
      </w:tr>
      <w:tr>
        <w:tc>
          <w:tcPr>
            <w:tcW w:type="dxa" w:w="2880"/>
          </w:tcPr>
          <w:p>
            <w:r>
              <w:t>Difference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0.02 years</w:t>
            </w:r>
          </w:p>
        </w:tc>
      </w:tr>
    </w:tbl>
    <w:p>
      <w:r>
        <w:t>Answer: The calculated Effective Duration (3.26 years) is very close to Bloomberg's OAD (3.24 years).</w:t>
      </w:r>
    </w:p>
    <w:p>
      <w:r>
        <w:t>Small differences arise from:</w:t>
      </w:r>
    </w:p>
    <w:p>
      <w:pPr>
        <w:pStyle w:val="ListNumber"/>
      </w:pPr>
      <w:r>
        <w:t>Bloomberg uses more sophisticated yield curve models</w:t>
      </w:r>
    </w:p>
    <w:p>
      <w:pPr>
        <w:pStyle w:val="ListNumber"/>
      </w:pPr>
      <w:r>
        <w:t>OAS analytics account for the embedded prepayment option more precisely</w:t>
      </w:r>
    </w:p>
    <w:p>
      <w:pPr>
        <w:pStyle w:val="ListNumber"/>
      </w:pPr>
      <w:r>
        <w:t>Different day count conventions or settlement assumptions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le"/>
      </w:pPr>
      <w:r>
        <w:t>SECTION B: External Economies of Scale &amp; International Location of Production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I: Data Analysis (FRED Average Hourly Earnings)</w:t>
      </w:r>
    </w:p>
    <w:p>
      <w:pPr>
        <w:pStyle w:val="Heading2"/>
      </w:pPr>
      <w:r>
        <w:t>Part A: Data Download Instructions</w:t>
      </w:r>
    </w:p>
    <w:p>
      <w:r>
        <w:t>FRED Tickers:</w:t>
      </w:r>
    </w:p>
    <w:p>
      <w:pPr>
        <w:pStyle w:val="ListBullet"/>
      </w:pPr>
      <w:r>
        <w:t>United States (Total Private): CES0500000003</w:t>
      </w:r>
    </w:p>
    <w:p>
      <w:pPr>
        <w:pStyle w:val="ListBullet"/>
      </w:pPr>
      <w:r>
        <w:t>California (Total Private): SMU06000000500000003</w:t>
      </w:r>
    </w:p>
    <w:p>
      <w:pPr>
        <w:pStyle w:val="ListBullet"/>
      </w:pPr>
      <w:r>
        <w:t>Ohio (Total Private): SMU39000000500000003</w:t>
      </w:r>
    </w:p>
    <w:p>
      <w:r>
        <w:t>Steps to Download:</w:t>
      </w:r>
    </w:p>
    <w:p>
      <w:pPr>
        <w:pStyle w:val="ListNumber"/>
      </w:pPr>
      <w:r>
        <w:t>Go to https://fred.stlouisfed.org</w:t>
      </w:r>
    </w:p>
    <w:p>
      <w:pPr>
        <w:pStyle w:val="ListNumber"/>
      </w:pPr>
      <w:r>
        <w:t>Search for each ticker</w:t>
      </w:r>
    </w:p>
    <w:p>
      <w:pPr>
        <w:pStyle w:val="ListNumber"/>
      </w:pPr>
      <w:r>
        <w:t>Set date range: January 2007 to latest</w:t>
      </w:r>
    </w:p>
    <w:p>
      <w:pPr>
        <w:pStyle w:val="ListNumber"/>
      </w:pPr>
      <w:r>
        <w:t>Download as Excel (.xlsx)</w:t>
      </w:r>
    </w:p>
    <w:p>
      <w:pPr>
        <w:pStyle w:val="ListNumber"/>
      </w:pPr>
      <w:r>
        <w:t>Combine into single workbook with columns: Date, US_AHE, CA_AHE, OH_AHE</w:t>
      </w:r>
    </w:p>
    <w:p>
      <w:pPr>
        <w:pStyle w:val="Heading2"/>
      </w:pPr>
      <w:r>
        <w:t>Part B: Computed Differences and Wage Gap</w:t>
      </w:r>
    </w:p>
    <w:p>
      <w:r>
        <w:t>Month-to-Month Changes:</w:t>
      </w:r>
    </w:p>
    <w:p>
      <w:pPr>
        <w:pStyle w:val="ListBullet"/>
      </w:pPr>
      <w:r>
        <w:t>ΔUS_AHE = US_AHE(t) − US_AHE(t−1)</w:t>
      </w:r>
    </w:p>
    <w:p>
      <w:pPr>
        <w:pStyle w:val="ListBullet"/>
      </w:pPr>
      <w:r>
        <w:t>ΔCA_AHE = CA_AHE(t) − CA_AHE(t−1)</w:t>
      </w:r>
    </w:p>
    <w:p>
      <w:pPr>
        <w:pStyle w:val="ListBullet"/>
      </w:pPr>
      <w:r>
        <w:t>ΔOH_AHE = OH_AHE(t) − OH_AHE(t−1)</w:t>
      </w:r>
    </w:p>
    <w:p>
      <w:r>
        <w:t>Wage Gap Calculations:</w:t>
      </w:r>
    </w:p>
    <w:p>
      <w:pPr>
        <w:pStyle w:val="ListBullet"/>
      </w:pPr>
      <w:r>
        <w:t>Gap_CA_OH = CA_AHE − OH_AHE</w:t>
      </w:r>
    </w:p>
    <w:p>
      <w:pPr>
        <w:pStyle w:val="ListBullet"/>
      </w:pPr>
      <w:r>
        <w:t>Gap% = (CA_AHE / OH_AHE) − 1</w:t>
      </w:r>
    </w:p>
    <w:p>
      <w:r>
        <w:t>_As of 2025-2026 data, the typical values would show:_</w:t>
      </w:r>
    </w:p>
    <w:p>
      <w:pPr>
        <w:pStyle w:val="ListBullet"/>
      </w:pPr>
      <w:r>
        <w:t>US_AHE: ~$35-37/hour</w:t>
      </w:r>
    </w:p>
    <w:p>
      <w:pPr>
        <w:pStyle w:val="ListBullet"/>
      </w:pPr>
      <w:r>
        <w:t>CA_AHE: ~$38-42/hour</w:t>
      </w:r>
    </w:p>
    <w:p>
      <w:pPr>
        <w:pStyle w:val="ListBullet"/>
      </w:pPr>
      <w:r>
        <w:t>OH_AHE: ~$30-33/hour</w:t>
      </w:r>
    </w:p>
    <w:p>
      <w:pPr>
        <w:pStyle w:val="ListBullet"/>
      </w:pPr>
      <w:r>
        <w:t>Gap_CA_OH: ~$7-10/hour (approximately 25-30% higher)</w:t>
      </w:r>
    </w:p>
    <w:p>
      <w:pPr>
        <w:pStyle w:val="Heading2"/>
      </w:pPr>
      <w:r>
        <w:t>Part C: Time Series Chart</w:t>
      </w:r>
    </w:p>
    <w:p>
      <w:r>
        <w:t>Chart Title: Average Hourly Earnings (US, CA, OH) and CA–OH Wage Gap (2007–Latest)</w:t>
      </w:r>
    </w:p>
    <w:p>
      <w:r>
        <w:t>_[Chart should include four lines: US_AHE, CA_AHE, OH_AHE, and Gap_CA_OH]_</w:t>
      </w:r>
    </w:p>
    <w:p>
      <w:pPr>
        <w:pStyle w:val="Heading2"/>
      </w:pPr>
      <w:r>
        <w:t>Part D: Written Analysis</w:t>
      </w:r>
    </w:p>
    <w:p>
      <w:pPr>
        <w:pStyle w:val="Heading3"/>
      </w:pPr>
      <w:r>
        <w:t>1) What trends do you observe?</w:t>
      </w:r>
    </w:p>
    <w:p>
      <w:r>
        <w:t>Long-run Trends:</w:t>
      </w:r>
    </w:p>
    <w:p>
      <w:pPr>
        <w:pStyle w:val="ListBullet"/>
      </w:pPr>
      <w:r>
        <w:t>All three series show persistent upward drift from 2007 to present</w:t>
      </w:r>
    </w:p>
    <w:p>
      <w:pPr>
        <w:pStyle w:val="ListBullet"/>
      </w:pPr>
      <w:r>
        <w:t>US AHE increased from ~$17/hour (2007) to ~$35/hour (2025)</w:t>
      </w:r>
    </w:p>
    <w:p>
      <w:pPr>
        <w:pStyle w:val="ListBullet"/>
      </w:pPr>
      <w:r>
        <w:t>California consistently maintained the highest AHE levels</w:t>
      </w:r>
    </w:p>
    <w:p>
      <w:pPr>
        <w:pStyle w:val="ListBullet"/>
      </w:pPr>
      <w:r>
        <w:t>Ohio remained below the national average throughout</w:t>
      </w:r>
    </w:p>
    <w:p>
      <w:r>
        <w:t>Acceleration Periods:</w:t>
      </w:r>
    </w:p>
    <w:p>
      <w:pPr>
        <w:pStyle w:val="ListBullet"/>
      </w:pPr>
      <w:r>
        <w:t>Post-2020 wage growth accelerated significantly (COVID-era labor market tightness)</w:t>
      </w:r>
    </w:p>
    <w:p>
      <w:pPr>
        <w:pStyle w:val="ListBullet"/>
      </w:pPr>
      <w:r>
        <w:t>2015-2019 showed moderate, steady growth</w:t>
      </w:r>
    </w:p>
    <w:p>
      <w:pPr>
        <w:pStyle w:val="ListBullet"/>
      </w:pPr>
      <w:r>
        <w:t>2008-2010 growth slowed during the Great Recession</w:t>
      </w:r>
    </w:p>
    <w:p>
      <w:r>
        <w:t>Convergence/Divergence:</w:t>
      </w:r>
    </w:p>
    <w:p>
      <w:pPr>
        <w:pStyle w:val="ListBullet"/>
      </w:pPr>
      <w:r>
        <w:t>CA and OH generally move together but CA has pulled further ahead over time</w:t>
      </w:r>
    </w:p>
    <w:p>
      <w:pPr>
        <w:pStyle w:val="ListBullet"/>
      </w:pPr>
      <w:r>
        <w:t>The wage gap has widened, especially post-2015</w:t>
      </w:r>
    </w:p>
    <w:p>
      <w:pPr>
        <w:pStyle w:val="ListBullet"/>
      </w:pPr>
      <w:r>
        <w:t>California's tech boom and minimum wage increases expanded the differential</w:t>
      </w:r>
    </w:p>
    <w:p>
      <w:pPr>
        <w:pStyle w:val="Heading3"/>
      </w:pPr>
      <w:r>
        <w:t>2) Why might AHE differ between CA and OH?</w:t>
      </w:r>
    </w:p>
    <w:p>
      <w:r>
        <w:t>Factor 1: Industry Mix Differences</w:t>
      </w:r>
    </w:p>
    <w:p>
      <w:pPr>
        <w:pStyle w:val="ListBullet"/>
      </w:pPr>
      <w:r>
        <w:t>California: Heavy concentration in tech, entertainment, biotech, professional services (high-paying sectors)</w:t>
      </w:r>
    </w:p>
    <w:p>
      <w:pPr>
        <w:pStyle w:val="ListBullet"/>
      </w:pPr>
      <w:r>
        <w:t>Ohio: Manufacturing, logistics, healthcare, retail (lower average wages)</w:t>
      </w:r>
    </w:p>
    <w:p>
      <w:pPr>
        <w:pStyle w:val="ListBullet"/>
      </w:pPr>
      <w:r>
        <w:t>Tech sector workers earn 40-60% premiums over manufacturing</w:t>
      </w:r>
    </w:p>
    <w:p>
      <w:r>
        <w:t>Factor 2: Cost of Living &amp; Labor Market Tightness</w:t>
      </w:r>
    </w:p>
    <w:p>
      <w:pPr>
        <w:pStyle w:val="ListBullet"/>
      </w:pPr>
      <w:r>
        <w:t>California has much higher housing costs ($600K+ median home vs $200K in OH)</w:t>
      </w:r>
    </w:p>
    <w:p>
      <w:pPr>
        <w:pStyle w:val="ListBullet"/>
      </w:pPr>
      <w:r>
        <w:t>Employers must pay higher wages to attract workers to high-cost areas</w:t>
      </w:r>
    </w:p>
    <w:p>
      <w:pPr>
        <w:pStyle w:val="ListBullet"/>
      </w:pPr>
      <w:r>
        <w:t>California's unemployment has often been lower, creating wage pressure</w:t>
      </w:r>
    </w:p>
    <w:p>
      <w:r>
        <w:t>Factor 3: Policy Differences</w:t>
      </w:r>
    </w:p>
    <w:p>
      <w:pPr>
        <w:pStyle w:val="ListBullet"/>
      </w:pPr>
      <w:r>
        <w:t>California: $16+ minimum wage (among highest in US)</w:t>
      </w:r>
    </w:p>
    <w:p>
      <w:pPr>
        <w:pStyle w:val="ListBullet"/>
      </w:pPr>
      <w:r>
        <w:t>Ohio: Federal minimum wage ($7.25) or slightly above</w:t>
      </w:r>
    </w:p>
    <w:p>
      <w:pPr>
        <w:pStyle w:val="ListBullet"/>
      </w:pPr>
      <w:r>
        <w:t>Stronger union presence in certain CA sectors</w:t>
      </w:r>
    </w:p>
    <w:p>
      <w:pPr>
        <w:pStyle w:val="ListBullet"/>
      </w:pPr>
      <w:r>
        <w:t>More aggressive labor regulations in CA</w:t>
      </w:r>
    </w:p>
    <w:p>
      <w:r>
        <w:t>Factor 4: Worker Composition</w:t>
      </w:r>
    </w:p>
    <w:p>
      <w:pPr>
        <w:pStyle w:val="ListBullet"/>
      </w:pPr>
      <w:r>
        <w:t>California has higher educational attainment rates</w:t>
      </w:r>
    </w:p>
    <w:p>
      <w:pPr>
        <w:pStyle w:val="ListBullet"/>
      </w:pPr>
      <w:r>
        <w:t>Greater concentration of college-educated professionals</w:t>
      </w:r>
    </w:p>
    <w:p>
      <w:pPr>
        <w:pStyle w:val="ListBullet"/>
      </w:pPr>
      <w:r>
        <w:t>Different occupational mix (more engineers, programmers, managers)</w:t>
      </w:r>
    </w:p>
    <w:p>
      <w:pPr>
        <w:pStyle w:val="Heading3"/>
      </w:pPr>
      <w:r>
        <w:t>3) Will the CA–OH gap expand or shrink?</w:t>
      </w:r>
    </w:p>
    <w:p>
      <w:r>
        <w:t>Prediction: The gap will MODESTLY SHRINK over the next few years</w:t>
      </w:r>
    </w:p>
    <w:p>
      <w:r>
        <w:t>Supporting Reasons:</w:t>
      </w:r>
    </w:p>
    <w:p>
      <w:pPr>
        <w:pStyle w:val="ListNumber"/>
      </w:pPr>
      <w:r>
        <w:t>Remote Work Migration: Tech workers leaving California for lower-cost states, including Ohio, bringing wage inflation to destination states</w:t>
      </w:r>
    </w:p>
    <w:p>
      <w:pPr>
        <w:pStyle w:val="ListNumber"/>
      </w:pPr>
      <w:r>
        <w:t>Ohio's Manufacturing Renaissance: Reshoring initiatives (especially EV/battery manufacturing, e.g., Intel's Ohio fab) are bringing higher-wage jobs to Ohio</w:t>
      </w:r>
    </w:p>
    <w:p>
      <w:pPr>
        <w:pStyle w:val="ListNumber"/>
      </w:pPr>
      <w:r>
        <w:t>California's Affordability Crisis: Ongoing outmigration of businesses and workers due to high costs may moderate California wage growth</w:t>
      </w:r>
    </w:p>
    <w:p>
      <w:r>
        <w:t>What Could Prove Me Wrong:</w:t>
      </w:r>
    </w:p>
    <w:p>
      <w:pPr>
        <w:pStyle w:val="ListBullet"/>
      </w:pPr>
      <w:r>
        <w:t>If AI/tech boom creates another wave of California-centric hiring</w:t>
      </w:r>
    </w:p>
    <w:p>
      <w:pPr>
        <w:pStyle w:val="ListBullet"/>
      </w:pPr>
      <w:r>
        <w:t>If Ohio's manufacturing investments underperform or face setbacks</w:t>
      </w:r>
    </w:p>
    <w:p>
      <w:pPr>
        <w:pStyle w:val="ListBullet"/>
      </w:pPr>
      <w:r>
        <w:t>If remote work trends reverse and companies mandate return-to-office in high-cost hubs</w:t>
      </w:r>
    </w:p>
    <w:p>
      <w:pPr>
        <w:pStyle w:val="Heading3"/>
      </w:pPr>
      <w:r>
        <w:t>4) Why don't workers in lower-wage states move to higher-wage states?</w:t>
      </w:r>
    </w:p>
    <w:p>
      <w:r>
        <w:t>Factor 1: Housing Costs and Real Wages</w:t>
      </w:r>
    </w:p>
    <w:p>
      <w:pPr>
        <w:pStyle w:val="ListBullet"/>
      </w:pPr>
      <w:r>
        <w:t>Nominal wages are higher in CA, but housing costs consume the difference</w:t>
      </w:r>
    </w:p>
    <w:p>
      <w:pPr>
        <w:pStyle w:val="ListBullet"/>
      </w:pPr>
      <w:r>
        <w:t>$40/hour in CA with $3,000/month rent may yield lower disposable income than $30/hour in OH with $1,200 rent</w:t>
      </w:r>
    </w:p>
    <w:p>
      <w:pPr>
        <w:pStyle w:val="ListBullet"/>
      </w:pPr>
      <w:r>
        <w:t>Real purchasing power may actually favor Ohio</w:t>
      </w:r>
    </w:p>
    <w:p>
      <w:r>
        <w:t>Factor 2: Moving Costs and Family Constraints</w:t>
      </w:r>
    </w:p>
    <w:p>
      <w:pPr>
        <w:pStyle w:val="ListBullet"/>
      </w:pPr>
      <w:r>
        <w:t>Relocation costs $5,000-$15,000+ for cross-country moves</w:t>
      </w:r>
    </w:p>
    <w:p>
      <w:pPr>
        <w:pStyle w:val="ListBullet"/>
      </w:pPr>
      <w:r>
        <w:t>Dual-income households must find two jobs</w:t>
      </w:r>
    </w:p>
    <w:p>
      <w:pPr>
        <w:pStyle w:val="ListBullet"/>
      </w:pPr>
      <w:r>
        <w:t>Children's schooling, aging parents, spousal employment limit mobility</w:t>
      </w:r>
    </w:p>
    <w:p>
      <w:pPr>
        <w:pStyle w:val="ListBullet"/>
      </w:pPr>
      <w:r>
        <w:t>Social networks and community ties are economically valuable</w:t>
      </w:r>
    </w:p>
    <w:p>
      <w:r>
        <w:t>Factor 3: Search Frictions and Information Asymmetry</w:t>
      </w:r>
    </w:p>
    <w:p>
      <w:pPr>
        <w:pStyle w:val="ListBullet"/>
      </w:pPr>
      <w:r>
        <w:t>Workers may not know about opportunities in distant markets</w:t>
      </w:r>
    </w:p>
    <w:p>
      <w:pPr>
        <w:pStyle w:val="ListBullet"/>
      </w:pPr>
      <w:r>
        <w:t>Employers prefer local candidates they can easily interview</w:t>
      </w:r>
    </w:p>
    <w:p>
      <w:pPr>
        <w:pStyle w:val="ListBullet"/>
      </w:pPr>
      <w:r>
        <w:t>Job search is costly and uncertain</w:t>
      </w:r>
    </w:p>
    <w:p>
      <w:r>
        <w:t>Factor 4: Occupational Licensing and Credential Barriers</w:t>
      </w:r>
    </w:p>
    <w:p>
      <w:pPr>
        <w:pStyle w:val="ListBullet"/>
      </w:pPr>
      <w:r>
        <w:t>30%+ of workers need state-specific licenses</w:t>
      </w:r>
    </w:p>
    <w:p>
      <w:pPr>
        <w:pStyle w:val="ListBullet"/>
      </w:pPr>
      <w:r>
        <w:t>Healthcare, education, legal, trades workers cannot easily transfer credentials</w:t>
      </w:r>
    </w:p>
    <w:p>
      <w:pPr>
        <w:pStyle w:val="ListBullet"/>
      </w:pPr>
      <w:r>
        <w:t>Relicensing can take months and thousands of dollars</w:t>
      </w:r>
    </w:p>
    <w:p>
      <w:r>
        <w:t>Factor 5: Amenity Preferences</w:t>
      </w:r>
    </w:p>
    <w:p>
      <w:pPr>
        <w:pStyle w:val="ListBullet"/>
      </w:pPr>
      <w:r>
        <w:t>Workers value climate, culture, recreational opportunities</w:t>
      </w:r>
    </w:p>
    <w:p>
      <w:pPr>
        <w:pStyle w:val="ListBullet"/>
      </w:pPr>
      <w:r>
        <w:t>Some workers prefer Ohio's seasons, lifestyle, community feel</w:t>
      </w:r>
    </w:p>
    <w:p>
      <w:pPr>
        <w:pStyle w:val="ListBullet"/>
      </w:pPr>
      <w:r>
        <w:t>California's traffic, crowds, and stress are negative amenities</w:t>
      </w:r>
    </w:p>
    <w:p>
      <w:pPr>
        <w:pStyle w:val="Heading3"/>
      </w:pPr>
      <w:r>
        <w:t>5) Potential flaws/limitations of BLS AHE data</w:t>
      </w:r>
    </w:p>
    <w:p>
      <w:r>
        <w:t>Limitation 1: Composition Effects</w:t>
      </w:r>
    </w:p>
    <w:p>
      <w:pPr>
        <w:pStyle w:val="ListBullet"/>
      </w:pPr>
      <w:r>
        <w:t>AHE is an average across all workers</w:t>
      </w:r>
    </w:p>
    <w:p>
      <w:pPr>
        <w:pStyle w:val="ListBullet"/>
      </w:pPr>
      <w:r>
        <w:t>If low-wage workers exit (e.g., during COVID), AHE rises without anyone getting a raise</w:t>
      </w:r>
    </w:p>
    <w:p>
      <w:pPr>
        <w:pStyle w:val="ListBullet"/>
      </w:pPr>
      <w:r>
        <w:t>Shifts in industry or occupation mix can drive changes without actual wage growth</w:t>
      </w:r>
    </w:p>
    <w:p>
      <w:r>
        <w:t>Limitation 2: Excludes Benefits</w:t>
      </w:r>
    </w:p>
    <w:p>
      <w:pPr>
        <w:pStyle w:val="ListBullet"/>
      </w:pPr>
      <w:r>
        <w:t>AHE captures cash wages only</w:t>
      </w:r>
    </w:p>
    <w:p>
      <w:pPr>
        <w:pStyle w:val="ListBullet"/>
      </w:pPr>
      <w:r>
        <w:t>Ignores employer-paid health insurance, retirement contributions, paid leave</w:t>
      </w:r>
    </w:p>
    <w:p>
      <w:pPr>
        <w:pStyle w:val="ListBullet"/>
      </w:pPr>
      <w:r>
        <w:t>OH workers might have better benefits packages dollar-for-dollar</w:t>
      </w:r>
    </w:p>
    <w:p>
      <w:r>
        <w:t>Limitation 3: Not Inflation-Adjusted</w:t>
      </w:r>
    </w:p>
    <w:p>
      <w:pPr>
        <w:pStyle w:val="ListBullet"/>
      </w:pPr>
      <w:r>
        <w:t>Data is in nominal dollars</w:t>
      </w:r>
    </w:p>
    <w:p>
      <w:pPr>
        <w:pStyle w:val="ListBullet"/>
      </w:pPr>
      <w:r>
        <w:t>Rising AHE may simply reflect inflation, not real wage gains</w:t>
      </w:r>
    </w:p>
    <w:p>
      <w:pPr>
        <w:pStyle w:val="ListBullet"/>
      </w:pPr>
      <w:r>
        <w:t>Real wage analysis requires deflating by CPI</w:t>
      </w:r>
    </w:p>
    <w:p>
      <w:r>
        <w:t>Limitation 4: Sampling/Measurement Error</w:t>
      </w:r>
    </w:p>
    <w:p>
      <w:pPr>
        <w:pStyle w:val="ListBullet"/>
      </w:pPr>
      <w:r>
        <w:t>Based on establishment surveys with sampling error</w:t>
      </w:r>
    </w:p>
    <w:p>
      <w:pPr>
        <w:pStyle w:val="ListBullet"/>
      </w:pPr>
      <w:r>
        <w:t>Data revisions can change historical figures</w:t>
      </w:r>
    </w:p>
    <w:p>
      <w:pPr>
        <w:pStyle w:val="ListBullet"/>
      </w:pPr>
      <w:r>
        <w:t>State-level data has wider confidence intervals than national</w:t>
      </w:r>
    </w:p>
    <w:p>
      <w:r>
        <w:t>Limitation 5: Seasonality Issues (State Series)</w:t>
      </w:r>
    </w:p>
    <w:p>
      <w:pPr>
        <w:pStyle w:val="ListBullet"/>
      </w:pPr>
      <w:r>
        <w:t>State AHE series are often Not Seasonally Adjusted (NSA)</w:t>
      </w:r>
    </w:p>
    <w:p>
      <w:pPr>
        <w:pStyle w:val="ListBullet"/>
      </w:pPr>
      <w:r>
        <w:t>Month-to-month changes may reflect seasonal patterns (holiday hiring, summer employment)</w:t>
      </w:r>
    </w:p>
    <w:p>
      <w:pPr>
        <w:pStyle w:val="ListBullet"/>
      </w:pPr>
      <w:r>
        <w:t>Year-over-year comparisons are more reliable</w:t>
      </w:r>
    </w:p>
    <w:p>
      <w:r>
        <w:t>Limitation 6: Average vs. Median</w:t>
      </w:r>
    </w:p>
    <w:p>
      <w:pPr>
        <w:pStyle w:val="ListBullet"/>
      </w:pPr>
      <w:r>
        <w:t>High earners can pull up the average</w:t>
      </w:r>
    </w:p>
    <w:p>
      <w:pPr>
        <w:pStyle w:val="ListBullet"/>
      </w:pPr>
      <w:r>
        <w:t>Median would better represent "typical" worker experience</w:t>
      </w:r>
    </w:p>
    <w:p>
      <w:pPr>
        <w:pStyle w:val="ListBullet"/>
      </w:pPr>
      <w:r>
        <w:t>AHE rising could mask stagnant or falling wages for most workers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Part II: Conceptual Questions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1: Agglomeration and the Wine Industry Paradox</w:t>
      </w:r>
    </w:p>
    <w:p>
      <w:pPr>
        <w:pStyle w:val="Heading3"/>
      </w:pPr>
      <w:r>
        <w:t>Part A: External Economies of Scale in Wine Clusters</w:t>
      </w:r>
    </w:p>
    <w:p>
      <w:r>
        <w:t>Type 1: Knowledge Spillovers</w:t>
      </w:r>
    </w:p>
    <w:p>
      <w:pPr>
        <w:pStyle w:val="ListBullet"/>
      </w:pPr>
      <w:r>
        <w:t>Definition: Informal transfer of expertise and innovation between firms through worker interactions, conferences, and observation</w:t>
      </w:r>
    </w:p>
    <w:p>
      <w:pPr>
        <w:pStyle w:val="ListBullet"/>
      </w:pPr>
      <w:r>
        <w:t>Wine Industry Application:</w:t>
      </w:r>
    </w:p>
    <w:p>
      <w:pPr>
        <w:pStyle w:val="ListBullet"/>
      </w:pPr>
      <w:r>
        <w:t>Winemakers in Napa/Bordeaux share viticulture techniques, fermentation innovations, pest management strategies</w:t>
      </w:r>
    </w:p>
    <w:p>
      <w:pPr>
        <w:pStyle w:val="ListBullet"/>
      </w:pPr>
      <w:r>
        <w:t>UC Davis enology program provides research benefiting all local producers</w:t>
      </w:r>
    </w:p>
    <w:p>
      <w:pPr>
        <w:pStyle w:val="ListBullet"/>
      </w:pPr>
      <w:r>
        <w:t>"Learning by watching" neighboring vineyards' experiments</w:t>
      </w:r>
    </w:p>
    <w:p>
      <w:pPr>
        <w:pStyle w:val="ListBullet"/>
      </w:pPr>
      <w:r>
        <w:t>Annual harvest discussions spread best practices quickly</w:t>
      </w:r>
    </w:p>
    <w:p>
      <w:r>
        <w:t>Type 2: Labor Market Pooling</w:t>
      </w:r>
    </w:p>
    <w:p>
      <w:pPr>
        <w:pStyle w:val="ListBullet"/>
      </w:pPr>
      <w:r>
        <w:t>Definition: Concentrated labor markets that benefit both workers (job opportunities) and firms (specialized talent availability)</w:t>
      </w:r>
    </w:p>
    <w:p>
      <w:pPr>
        <w:pStyle w:val="ListBullet"/>
      </w:pPr>
      <w:r>
        <w:t>Wine Industry Application:</w:t>
      </w:r>
    </w:p>
    <w:p>
      <w:pPr>
        <w:pStyle w:val="ListBullet"/>
      </w:pPr>
      <w:r>
        <w:t>Deep pool of skilled vineyard managers, sommeliers, cellar workers, tasting room staff</w:t>
      </w:r>
    </w:p>
    <w:p>
      <w:pPr>
        <w:pStyle w:val="ListBullet"/>
      </w:pPr>
      <w:r>
        <w:t>Workers can move between wineries without relocating</w:t>
      </w:r>
    </w:p>
    <w:p>
      <w:pPr>
        <w:pStyle w:val="ListBullet"/>
      </w:pPr>
      <w:r>
        <w:t>Training investments by one firm benefit competitors when workers change jobs</w:t>
      </w:r>
    </w:p>
    <w:p>
      <w:pPr>
        <w:pStyle w:val="ListBullet"/>
      </w:pPr>
      <w:r>
        <w:t>Specialized occupations (wine chemists, cooperage experts) only viable with many employers nearby</w:t>
      </w:r>
    </w:p>
    <w:p>
      <w:r>
        <w:t>Type 3: Specialized Suppliers and Services</w:t>
      </w:r>
    </w:p>
    <w:p>
      <w:pPr>
        <w:pStyle w:val="ListBullet"/>
      </w:pPr>
      <w:r>
        <w:t>Definition: Development of industry-specific input providers only viable at scale</w:t>
      </w:r>
    </w:p>
    <w:p>
      <w:pPr>
        <w:pStyle w:val="ListBullet"/>
      </w:pPr>
      <w:r>
        <w:t>Wine Industry Application:</w:t>
      </w:r>
    </w:p>
    <w:p>
      <w:pPr>
        <w:pStyle w:val="ListBullet"/>
      </w:pPr>
      <w:r>
        <w:t>Cooperages (barrel makers) clustered near wineries</w:t>
      </w:r>
    </w:p>
    <w:p>
      <w:pPr>
        <w:pStyle w:val="ListBullet"/>
      </w:pPr>
      <w:r>
        <w:t>Specialized bottling, label printing, cork suppliers</w:t>
      </w:r>
    </w:p>
    <w:p>
      <w:pPr>
        <w:pStyle w:val="ListBullet"/>
      </w:pPr>
      <w:r>
        <w:t>Custom crush facilities for small producers</w:t>
      </w:r>
    </w:p>
    <w:p>
      <w:pPr>
        <w:pStyle w:val="ListBullet"/>
      </w:pPr>
      <w:r>
        <w:t>Wine-focused legal, accounting, marketing services</w:t>
      </w:r>
    </w:p>
    <w:p>
      <w:pPr>
        <w:pStyle w:val="ListBullet"/>
      </w:pPr>
      <w:r>
        <w:t>Equipment repair and maintenance specialists</w:t>
      </w:r>
    </w:p>
    <w:p>
      <w:r>
        <w:t>Type 4: Brand Reputation and Collective Marketing</w:t>
      </w:r>
    </w:p>
    <w:p>
      <w:pPr>
        <w:pStyle w:val="ListBullet"/>
      </w:pPr>
      <w:r>
        <w:t>Definition: Regional reputation that benefits all producers regardless of individual efforts</w:t>
      </w:r>
    </w:p>
    <w:p>
      <w:pPr>
        <w:pStyle w:val="ListBullet"/>
      </w:pPr>
      <w:r>
        <w:t>Wine Industry Application:</w:t>
      </w:r>
    </w:p>
    <w:p>
      <w:pPr>
        <w:pStyle w:val="ListBullet"/>
      </w:pPr>
      <w:r>
        <w:t>"Napa Valley" or "Bordeaux" appellation commands premium pricing</w:t>
      </w:r>
    </w:p>
    <w:p>
      <w:pPr>
        <w:pStyle w:val="ListBullet"/>
      </w:pPr>
      <w:r>
        <w:t>Wine tourism infrastructure benefits all local producers</w:t>
      </w:r>
    </w:p>
    <w:p>
      <w:pPr>
        <w:pStyle w:val="ListBullet"/>
      </w:pPr>
      <w:r>
        <w:t>Collective marketing associations (Napa Valley Vintners) spread costs</w:t>
      </w:r>
    </w:p>
    <w:p>
      <w:pPr>
        <w:pStyle w:val="ListBullet"/>
      </w:pPr>
      <w:r>
        <w:t>Quality standards maintained through peer pressure and regulations</w:t>
      </w:r>
    </w:p>
    <w:p>
      <w:pPr>
        <w:pStyle w:val="Heading3"/>
      </w:pPr>
      <w:r>
        <w:t>Part B: Critical Evaluation of New Wine Cluster Investment</w:t>
      </w:r>
    </w:p>
    <w:p>
      <w:r>
        <w:t>Challenges Facing New Entrants:</w:t>
      </w:r>
    </w:p>
    <w:p>
      <w:pPr>
        <w:pStyle w:val="ListNumber"/>
      </w:pPr>
      <w:r>
        <w:t>Chicken-and-Egg Problem: Knowledge spillovers require existing firms; firms won't locate without knowledge ecosystem</w:t>
      </w:r>
    </w:p>
    <w:p>
      <w:pPr>
        <w:pStyle w:val="ListNumber"/>
      </w:pPr>
      <w:r>
        <w:t>Reputation Deficit: New regions lack brand recognition; consumers pay premiums for established appellations</w:t>
      </w:r>
    </w:p>
    <w:p>
      <w:pPr>
        <w:pStyle w:val="ListBullet"/>
      </w:pPr>
      <w:r>
        <w:t>Takes 20-30 years to build regional reputation</w:t>
      </w:r>
    </w:p>
    <w:p>
      <w:pPr>
        <w:pStyle w:val="ListBullet"/>
      </w:pPr>
      <w:r>
        <w:t>First movers bear full marketing costs without external benefits</w:t>
      </w:r>
    </w:p>
    <w:p>
      <w:pPr>
        <w:pStyle w:val="ListNumber"/>
      </w:pPr>
      <w:r>
        <w:t>Labor Market Thinness: Few specialized workers will relocate to unproven location</w:t>
      </w:r>
    </w:p>
    <w:p>
      <w:pPr>
        <w:pStyle w:val="ListBullet"/>
      </w:pPr>
      <w:r>
        <w:t>Must train workforce from scratch</w:t>
      </w:r>
    </w:p>
    <w:p>
      <w:pPr>
        <w:pStyle w:val="ListBullet"/>
      </w:pPr>
      <w:r>
        <w:t>Higher turnover risk as workers lack local alternatives</w:t>
      </w:r>
    </w:p>
    <w:p>
      <w:pPr>
        <w:pStyle w:val="ListNumber"/>
      </w:pPr>
      <w:r>
        <w:t>Input Supply Gaps: Specialized suppliers won't invest without critical mass of buyers</w:t>
      </w:r>
    </w:p>
    <w:p>
      <w:pPr>
        <w:pStyle w:val="ListBullet"/>
      </w:pPr>
      <w:r>
        <w:t>Must import barrels, equipment at higher cost</w:t>
      </w:r>
    </w:p>
    <w:p>
      <w:pPr>
        <w:pStyle w:val="ListBullet"/>
      </w:pPr>
      <w:r>
        <w:t>Logistics disadvantages for fragile inputs</w:t>
      </w:r>
    </w:p>
    <w:p>
      <w:pPr>
        <w:pStyle w:val="ListNumber"/>
      </w:pPr>
      <w:r>
        <w:t>Institutional Vacuum: No established DO/appellation systems, quality standards, or trade associations</w:t>
      </w:r>
    </w:p>
    <w:p>
      <w:r>
        <w:t>Strategies to Overcome First-Mover Advantage:</w:t>
      </w:r>
    </w:p>
    <w:p>
      <w:pPr>
        <w:pStyle w:val="ListNumber"/>
      </w:pPr>
      <w:r>
        <w:t>Cornerstone Investment: Attract one major established winery to anchor the cluster (e.g., Robert Mondavi's Opus One model)</w:t>
      </w:r>
    </w:p>
    <w:p>
      <w:pPr>
        <w:pStyle w:val="ListNumber"/>
      </w:pPr>
      <w:r>
        <w:t>Niche Positioning: Focus on wines that established regions don't make well</w:t>
      </w:r>
    </w:p>
    <w:p>
      <w:pPr>
        <w:pStyle w:val="ListBullet"/>
      </w:pPr>
      <w:r>
        <w:t>Example: Argentina's Malbec, New Zealand's Sauvignon Blanc</w:t>
      </w:r>
    </w:p>
    <w:p>
      <w:pPr>
        <w:pStyle w:val="ListBullet"/>
      </w:pPr>
      <w:r>
        <w:t>Avoid direct competition with Bordeaux Cabernet</w:t>
      </w:r>
    </w:p>
    <w:p>
      <w:pPr>
        <w:pStyle w:val="ListNumber"/>
      </w:pPr>
      <w:r>
        <w:t>Institutional Investment: Create wine school, research center, appellation system upfront</w:t>
      </w:r>
    </w:p>
    <w:p>
      <w:pPr>
        <w:pStyle w:val="ListNumber"/>
      </w:pPr>
      <w:r>
        <w:t>Wine Tourism Integration: Develop tourism infrastructure to generate demand and build brand</w:t>
      </w:r>
    </w:p>
    <w:p>
      <w:pPr>
        <w:pStyle w:val="ListNumber"/>
      </w:pPr>
      <w:r>
        <w:t>Diaspora Networks: Recruit experienced winemakers from established regions</w:t>
      </w:r>
    </w:p>
    <w:p>
      <w:r>
        <w:t>Investment Recommendation:</w:t>
      </w:r>
    </w:p>
    <w:p>
      <w:r>
        <w:t>Conditional YES - but with significant caveats:</w:t>
      </w:r>
    </w:p>
    <w:p>
      <w:pPr>
        <w:pStyle w:val="ListBullet"/>
      </w:pPr>
      <w:r>
        <w:t>Required: Long investment horizon (15-25 years), patient capital</w:t>
      </w:r>
    </w:p>
    <w:p>
      <w:pPr>
        <w:pStyle w:val="ListBullet"/>
      </w:pPr>
      <w:r>
        <w:t>Required: Genuine terroir advantages for specific varietals</w:t>
      </w:r>
    </w:p>
    <w:p>
      <w:pPr>
        <w:pStyle w:val="ListBullet"/>
      </w:pPr>
      <w:r>
        <w:t>Required: Government co-investment in infrastructure, education, marketing</w:t>
      </w:r>
    </w:p>
    <w:p>
      <w:pPr>
        <w:pStyle w:val="ListBullet"/>
      </w:pPr>
      <w:r>
        <w:t>Best Strategy: Focus on underserved niche rather than competing with established regions</w:t>
      </w:r>
    </w:p>
    <w:p>
      <w:pPr>
        <w:pStyle w:val="ListBullet"/>
      </w:pPr>
      <w:r>
        <w:t>Risk Mitigation: Start with joint ventures with established producers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2: The Shifting Geography of Semiconductor Manufacturing</w:t>
      </w:r>
    </w:p>
    <w:p>
      <w:pPr>
        <w:pStyle w:val="Heading3"/>
      </w:pPr>
      <w:r>
        <w:t>Part A: Why Semiconductor Production Concentrated Despite Globalization</w:t>
      </w:r>
    </w:p>
    <w:p>
      <w:r>
        <w:t>External Economy 1: Extreme Knowledge Spillovers</w:t>
      </w:r>
    </w:p>
    <w:p>
      <w:pPr>
        <w:pStyle w:val="ListBullet"/>
      </w:pPr>
      <w:r>
        <w:t>Semiconductor manufacturing requires tacit knowledge impossible to codify</w:t>
      </w:r>
    </w:p>
    <w:p>
      <w:pPr>
        <w:pStyle w:val="ListBullet"/>
      </w:pPr>
      <w:r>
        <w:t>Engineers learn cutting-edge techniques through job mobility within clusters</w:t>
      </w:r>
    </w:p>
    <w:p>
      <w:pPr>
        <w:pStyle w:val="ListBullet"/>
      </w:pPr>
      <w:r>
        <w:t>TSMC's rise in Taiwan built on spillovers from Texas Instruments, Phillips operations</w:t>
      </w:r>
    </w:p>
    <w:p>
      <w:pPr>
        <w:pStyle w:val="ListBullet"/>
      </w:pPr>
      <w:r>
        <w:t>Process innovations spread through supplier networks, equipment vendors</w:t>
      </w:r>
    </w:p>
    <w:p>
      <w:r>
        <w:t>External Economy 2: Ultra-Specialized Labor Market</w:t>
      </w:r>
    </w:p>
    <w:p>
      <w:pPr>
        <w:pStyle w:val="ListBullet"/>
      </w:pPr>
      <w:r>
        <w:t>Leading-edge fabs require thousands of PhD-level engineers, specialized technicians</w:t>
      </w:r>
    </w:p>
    <w:p>
      <w:pPr>
        <w:pStyle w:val="ListBullet"/>
      </w:pPr>
      <w:r>
        <w:t>Taiwan: 100,000+ semiconductor engineers in Hsinchu Science Park</w:t>
      </w:r>
    </w:p>
    <w:p>
      <w:pPr>
        <w:pStyle w:val="ListBullet"/>
      </w:pPr>
      <w:r>
        <w:t>Neither India nor Vietnam has sufficient density of qualified workers</w:t>
      </w:r>
    </w:p>
    <w:p>
      <w:pPr>
        <w:pStyle w:val="ListBullet"/>
      </w:pPr>
      <w:r>
        <w:t>Training programs developed over decades at neighboring universities</w:t>
      </w:r>
    </w:p>
    <w:p>
      <w:r>
        <w:t>External Economy 3: Tightly Coupled Supplier Networks</w:t>
      </w:r>
    </w:p>
    <w:p>
      <w:pPr>
        <w:pStyle w:val="ListBullet"/>
      </w:pPr>
      <w:r>
        <w:t>Equipment makers (ASML, Applied Materials) station engineers on-site at major clusters</w:t>
      </w:r>
    </w:p>
    <w:p>
      <w:pPr>
        <w:pStyle w:val="ListBullet"/>
      </w:pPr>
      <w:r>
        <w:t>Raw material suppliers require proximity for just-in-time delivery</w:t>
      </w:r>
    </w:p>
    <w:p>
      <w:pPr>
        <w:pStyle w:val="ListBullet"/>
      </w:pPr>
      <w:r>
        <w:t>Maintenance and repair must be instantaneous— hours of downtime cost millions</w:t>
      </w:r>
    </w:p>
    <w:p>
      <w:pPr>
        <w:pStyle w:val="ListBullet"/>
      </w:pPr>
      <w:r>
        <w:t>Subcontractor ecosystem for packaging, testing, chemical processing</w:t>
      </w:r>
    </w:p>
    <w:p>
      <w:r>
        <w:t>External Economy 4: Customer Proximity</w:t>
      </w:r>
    </w:p>
    <w:p>
      <w:pPr>
        <w:pStyle w:val="ListBullet"/>
      </w:pPr>
      <w:r>
        <w:t>Design companies (fabless) located near foundries for rapid iteration</w:t>
      </w:r>
    </w:p>
    <w:p>
      <w:pPr>
        <w:pStyle w:val="ListBullet"/>
      </w:pPr>
      <w:r>
        <w:t>Silicon Valley-Taiwan axis minimized communication friction</w:t>
      </w:r>
    </w:p>
    <w:p>
      <w:pPr>
        <w:pStyle w:val="ListBullet"/>
      </w:pPr>
      <w:r>
        <w:t>Physical samples, debugging requires geographic proximity</w:t>
      </w:r>
    </w:p>
    <w:p>
      <w:r>
        <w:t>Why Lowest-Cost Locations Were Not Chosen:</w:t>
      </w:r>
    </w:p>
    <w:p>
      <w:pPr>
        <w:pStyle w:val="ListBullet"/>
      </w:pPr>
      <w:r>
        <w:t>Labor is 10-15% of advanced fab costs— capital dominates</w:t>
      </w:r>
    </w:p>
    <w:p>
      <w:pPr>
        <w:pStyle w:val="ListBullet"/>
      </w:pPr>
      <w:r>
        <w:t>Process complexity means even small errors destroy millions in wafers</w:t>
      </w:r>
    </w:p>
    <w:p>
      <w:pPr>
        <w:pStyle w:val="ListBullet"/>
      </w:pPr>
      <w:r>
        <w:t>Skilled workforce and supplier ecosystem more valuable than labor savings</w:t>
      </w:r>
    </w:p>
    <w:p>
      <w:pPr>
        <w:pStyle w:val="ListBullet"/>
      </w:pPr>
      <w:r>
        <w:t>Risk of IP theft deterred investment in some low-cost regions</w:t>
      </w:r>
    </w:p>
    <w:p>
      <w:pPr>
        <w:pStyle w:val="Heading3"/>
      </w:pPr>
      <w:r>
        <w:t>Part B: Can Subsidies Recreate External Economies?</w:t>
      </w:r>
    </w:p>
    <w:p>
      <w:r>
        <w:t>Critical Assessment: Subsidies Are NECESSARY but NOT SUFFICIENT</w:t>
      </w:r>
    </w:p>
    <w:p>
      <w:r>
        <w:t>What Subsidies Can Achieve:</w:t>
      </w:r>
    </w:p>
    <w:p>
      <w:pPr>
        <w:pStyle w:val="ListBullet"/>
      </w:pPr>
      <w:r>
        <w:t>Offset capital cost disadvantage ($15-20B per leading-edge fab)</w:t>
      </w:r>
    </w:p>
    <w:p>
      <w:pPr>
        <w:pStyle w:val="ListBullet"/>
      </w:pPr>
      <w:r>
        <w:t>Attract anchor investments that may catalyze broader ecosystem</w:t>
      </w:r>
    </w:p>
    <w:p>
      <w:pPr>
        <w:pStyle w:val="ListBullet"/>
      </w:pPr>
      <w:r>
        <w:t>Signal government commitment, reducing investor uncertainty</w:t>
      </w:r>
    </w:p>
    <w:p>
      <w:pPr>
        <w:pStyle w:val="ListBullet"/>
      </w:pPr>
      <w:r>
        <w:t>Fund workforce development programs</w:t>
      </w:r>
    </w:p>
    <w:p>
      <w:r>
        <w:t>What Subsidies Cannot Easily Recreate:</w:t>
      </w:r>
    </w:p>
    <w:p>
      <w:pPr>
        <w:pStyle w:val="ListNumber"/>
      </w:pPr>
      <w:r>
        <w:t>Tacit Knowledge Networks</w:t>
      </w:r>
    </w:p>
    <w:p>
      <w:pPr>
        <w:pStyle w:val="ListBullet"/>
      </w:pPr>
      <w:r>
        <w:t>Knowledge spillovers require decades of accumulated experience</w:t>
      </w:r>
    </w:p>
    <w:p>
      <w:pPr>
        <w:pStyle w:val="ListBullet"/>
      </w:pPr>
      <w:r>
        <w:t>Cannot simply hire it— must be developed through practice</w:t>
      </w:r>
    </w:p>
    <w:p>
      <w:pPr>
        <w:pStyle w:val="ListBullet"/>
      </w:pPr>
      <w:r>
        <w:t>Intel's Ohio fab will import expertise from Arizona/Oregon, not generate it locally</w:t>
      </w:r>
    </w:p>
    <w:p>
      <w:pPr>
        <w:pStyle w:val="ListNumber"/>
      </w:pPr>
      <w:r>
        <w:t>Supplier Ecosystem Density</w:t>
      </w:r>
    </w:p>
    <w:p>
      <w:pPr>
        <w:pStyle w:val="ListBullet"/>
      </w:pPr>
      <w:r>
        <w:t>Single fab cannot support local specialized suppliers</w:t>
      </w:r>
    </w:p>
    <w:p>
      <w:pPr>
        <w:pStyle w:val="ListBullet"/>
      </w:pPr>
      <w:r>
        <w:t>Even CHIPS Act investments of $50B+ create perhaps 5-10 fabs</w:t>
      </w:r>
    </w:p>
    <w:p>
      <w:pPr>
        <w:pStyle w:val="ListBullet"/>
      </w:pPr>
      <w:r>
        <w:t>Taiwan has 100+ fabs supporting world-class supplier base</w:t>
      </w:r>
    </w:p>
    <w:p>
      <w:pPr>
        <w:pStyle w:val="ListNumber"/>
      </w:pPr>
      <w:r>
        <w:t>Labor Market Depth</w:t>
      </w:r>
    </w:p>
    <w:p>
      <w:pPr>
        <w:pStyle w:val="ListBullet"/>
      </w:pPr>
      <w:r>
        <w:t>Training programs take 5-10 years to produce qualified engineers</w:t>
      </w:r>
    </w:p>
    <w:p>
      <w:pPr>
        <w:pStyle w:val="ListBullet"/>
      </w:pPr>
      <w:r>
        <w:t>US produces 30,000 EE graduates/year vs. Taiwan's 50,000+ in semiconductor focus</w:t>
      </w:r>
    </w:p>
    <w:p>
      <w:pPr>
        <w:pStyle w:val="ListBullet"/>
      </w:pPr>
      <w:r>
        <w:t>International talent recruitment faces visa constraints</w:t>
      </w:r>
    </w:p>
    <w:p>
      <w:r>
        <w:t>Necessary Complementary Policies: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Required Policies</w:t>
            </w:r>
          </w:p>
        </w:tc>
      </w:tr>
      <w:tr>
        <w:tc>
          <w:tcPr>
            <w:tcW w:type="dxa" w:w="4320"/>
          </w:tcPr>
          <w:p>
            <w:r>
              <w:t>Supply-Side</w:t>
            </w:r>
          </w:p>
        </w:tc>
        <w:tc>
          <w:tcPr>
            <w:tcW w:type="dxa" w:w="4320"/>
          </w:tcPr>
          <w:p>
            <w:r>
              <w:t>R&amp;D tax credits, accelerated depreciation for equipment, IP protection, relaxed visa rules for engineers</w:t>
            </w:r>
          </w:p>
        </w:tc>
      </w:tr>
      <w:tr>
        <w:tc>
          <w:tcPr>
            <w:tcW w:type="dxa" w:w="4320"/>
          </w:tcPr>
          <w:p>
            <w:r>
              <w:t>Demand-Side</w:t>
            </w:r>
          </w:p>
        </w:tc>
        <w:tc>
          <w:tcPr>
            <w:tcW w:type="dxa" w:w="4320"/>
          </w:tcPr>
          <w:p>
            <w:r>
              <w:t>Government procurement preferences, "designed in US" requirements, defense/critical infrastructure mandates</w:t>
            </w:r>
          </w:p>
        </w:tc>
      </w:tr>
      <w:tr>
        <w:tc>
          <w:tcPr>
            <w:tcW w:type="dxa" w:w="4320"/>
          </w:tcPr>
          <w:p>
            <w:r>
              <w:t>Labor</w:t>
            </w:r>
          </w:p>
        </w:tc>
        <w:tc>
          <w:tcPr>
            <w:tcW w:type="dxa" w:w="4320"/>
          </w:tcPr>
          <w:p>
            <w:r>
              <w:t>STEM education investment, community college partnerships, immigration reform for skilled workers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Clean water supply, stable power grid, high-speed transport to airports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Streamlined permitting, environmental review process certainty</w:t>
            </w:r>
          </w:p>
        </w:tc>
      </w:tr>
    </w:tbl>
    <w:p>
      <w:r>
        <w:t>Prognosis:</w:t>
      </w:r>
    </w:p>
    <w:p>
      <w:pPr>
        <w:pStyle w:val="ListBullet"/>
      </w:pPr>
      <w:r>
        <w:t>5-10 Year Horizon: Subsidies will successfully establish manufacturing capacity but with higher costs and lower yields than Asian competitors</w:t>
      </w:r>
    </w:p>
    <w:p>
      <w:pPr>
        <w:pStyle w:val="ListBullet"/>
      </w:pPr>
      <w:r>
        <w:t>10-20 Year Horizon: Possible development of genuine cluster effects IF policy support continues AND multiple firms invest AND workforce pipeline develops</w:t>
      </w:r>
    </w:p>
    <w:p>
      <w:pPr>
        <w:pStyle w:val="ListBullet"/>
      </w:pPr>
      <w:r>
        <w:t>Risk: Subsidies expire, political priority shifts, and investments become stranded assets without ecosystem support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3: Platform Workers and the New Geography of Services</w:t>
      </w:r>
    </w:p>
    <w:p>
      <w:pPr>
        <w:pStyle w:val="Heading3"/>
      </w:pPr>
      <w:r>
        <w:t>Part A: Why Geographic Clustering Persists Despite Remote Work Technology</w:t>
      </w:r>
    </w:p>
    <w:p>
      <w:r>
        <w:t>Manifestations of External Economies in Tech Service Clusters:</w:t>
      </w:r>
    </w:p>
    <w:p>
      <w:r>
        <w:t>1. Face-to-Face Remains Critical for High-Value Work</w:t>
      </w:r>
    </w:p>
    <w:p>
      <w:pPr>
        <w:pStyle w:val="ListBullet"/>
      </w:pPr>
      <w:r>
        <w:t>Complex projects require intensive collaboration, brainstorming, debugging</w:t>
      </w:r>
    </w:p>
    <w:p>
      <w:pPr>
        <w:pStyle w:val="ListBullet"/>
      </w:pPr>
      <w:r>
        <w:t>Client relationships built through in-person meetings</w:t>
      </w:r>
    </w:p>
    <w:p>
      <w:pPr>
        <w:pStyle w:val="ListBullet"/>
      </w:pPr>
      <w:r>
        <w:t>Career advancement depends on visibility and mentorship (hard to replicate remotely)</w:t>
      </w:r>
    </w:p>
    <w:p>
      <w:pPr>
        <w:pStyle w:val="ListBullet"/>
      </w:pPr>
      <w:r>
        <w:t>Innovation correlates with serendipitous encounters ("water cooler" effects)</w:t>
      </w:r>
    </w:p>
    <w:p>
      <w:r>
        <w:t>2. Knowledge Spillovers More Important for Services</w:t>
      </w:r>
    </w:p>
    <w:p>
      <w:pPr>
        <w:pStyle w:val="ListBullet"/>
      </w:pPr>
      <w:r>
        <w:t>Manufacturing knowledge embodied in equipment and processes (transferable)</w:t>
      </w:r>
    </w:p>
    <w:p>
      <w:pPr>
        <w:pStyle w:val="ListBullet"/>
      </w:pPr>
      <w:r>
        <w:t>Service knowledge embodied in people (requires proximity)</w:t>
      </w:r>
    </w:p>
    <w:p>
      <w:pPr>
        <w:pStyle w:val="ListBullet"/>
      </w:pPr>
      <w:r>
        <w:t>Tech workers learn from colleagues, meetups, conferences concentrated in hubs</w:t>
      </w:r>
    </w:p>
    <w:p>
      <w:pPr>
        <w:pStyle w:val="ListBullet"/>
      </w:pPr>
      <w:r>
        <w:t>New frameworks, tools, practices spread through local networks</w:t>
      </w:r>
    </w:p>
    <w:p>
      <w:r>
        <w:t>3. Labor Market Signaling</w:t>
      </w:r>
    </w:p>
    <w:p>
      <w:pPr>
        <w:pStyle w:val="ListBullet"/>
      </w:pPr>
      <w:r>
        <w:t>San Francisco/London address signals quality to clients</w:t>
      </w:r>
    </w:p>
    <w:p>
      <w:pPr>
        <w:pStyle w:val="ListBullet"/>
      </w:pPr>
      <w:r>
        <w:t>Platform workers in established hubs command premium rates</w:t>
      </w:r>
    </w:p>
    <w:p>
      <w:pPr>
        <w:pStyle w:val="ListBullet"/>
      </w:pPr>
      <w:r>
        <w:t>Physical presence provides credibility for high-stakes projects</w:t>
      </w:r>
    </w:p>
    <w:p>
      <w:r>
        <w:t>4. Complementary Services Ecosystem</w:t>
      </w:r>
    </w:p>
    <w:p>
      <w:pPr>
        <w:pStyle w:val="ListBullet"/>
      </w:pPr>
      <w:r>
        <w:t>Coworking spaces, accelerators, legal/accounting specialists for tech</w:t>
      </w:r>
    </w:p>
    <w:p>
      <w:pPr>
        <w:pStyle w:val="ListBullet"/>
      </w:pPr>
      <w:r>
        <w:t>Venture capital concentrated in hubs (funding follows talent)</w:t>
      </w:r>
    </w:p>
    <w:p>
      <w:pPr>
        <w:pStyle w:val="ListBullet"/>
      </w:pPr>
      <w:r>
        <w:t>Specialized recruiters, networking events, industry conferences</w:t>
      </w:r>
    </w:p>
    <w:p>
      <w:r>
        <w:t>How External Economies Differ for Services vs. Manufacturing: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Manufacturing</w:t>
            </w:r>
          </w:p>
        </w:tc>
        <w:tc>
          <w:tcPr>
            <w:tcW w:type="dxa" w:w="2880"/>
          </w:tcPr>
          <w:p>
            <w:r>
              <w:t>Services</w:t>
            </w:r>
          </w:p>
        </w:tc>
      </w:tr>
      <w:tr>
        <w:tc>
          <w:tcPr>
            <w:tcW w:type="dxa" w:w="2880"/>
          </w:tcPr>
          <w:p>
            <w:r>
              <w:t>Knowledge Type</w:t>
            </w:r>
          </w:p>
        </w:tc>
        <w:tc>
          <w:tcPr>
            <w:tcW w:type="dxa" w:w="2880"/>
          </w:tcPr>
          <w:p>
            <w:r>
              <w:t>Codified, embedded in equipment</w:t>
            </w:r>
          </w:p>
        </w:tc>
        <w:tc>
          <w:tcPr>
            <w:tcW w:type="dxa" w:w="2880"/>
          </w:tcPr>
          <w:p>
            <w:r>
              <w:t>Tacit, embedded in people</w:t>
            </w:r>
          </w:p>
        </w:tc>
      </w:tr>
      <w:tr>
        <w:tc>
          <w:tcPr>
            <w:tcW w:type="dxa" w:w="2880"/>
          </w:tcPr>
          <w:p>
            <w:r>
              <w:t>Supplier Linkages</w:t>
            </w:r>
          </w:p>
        </w:tc>
        <w:tc>
          <w:tcPr>
            <w:tcW w:type="dxa" w:w="2880"/>
          </w:tcPr>
          <w:p>
            <w:r>
              <w:t>Physical component delivery</w:t>
            </w:r>
          </w:p>
        </w:tc>
        <w:tc>
          <w:tcPr>
            <w:tcW w:type="dxa" w:w="2880"/>
          </w:tcPr>
          <w:p>
            <w:r>
              <w:t>Digital tool providers (less location-sensitive)</w:t>
            </w:r>
          </w:p>
        </w:tc>
      </w:tr>
      <w:tr>
        <w:tc>
          <w:tcPr>
            <w:tcW w:type="dxa" w:w="2880"/>
          </w:tcPr>
          <w:p>
            <w:r>
              <w:t>Labor Mobility</w:t>
            </w:r>
          </w:p>
        </w:tc>
        <w:tc>
          <w:tcPr>
            <w:tcW w:type="dxa" w:w="2880"/>
          </w:tcPr>
          <w:p>
            <w:r>
              <w:t>Limited (specialized to facility)</w:t>
            </w:r>
          </w:p>
        </w:tc>
        <w:tc>
          <w:tcPr>
            <w:tcW w:type="dxa" w:w="2880"/>
          </w:tcPr>
          <w:p>
            <w:r>
              <w:t>High (skills portable across firms)</w:t>
            </w:r>
          </w:p>
        </w:tc>
      </w:tr>
      <w:tr>
        <w:tc>
          <w:tcPr>
            <w:tcW w:type="dxa" w:w="2880"/>
          </w:tcPr>
          <w:p>
            <w:r>
              <w:t>Client Interaction</w:t>
            </w:r>
          </w:p>
        </w:tc>
        <w:tc>
          <w:tcPr>
            <w:tcW w:type="dxa" w:w="2880"/>
          </w:tcPr>
          <w:p>
            <w:r>
              <w:t>Infrequent, contractual</w:t>
            </w:r>
          </w:p>
        </w:tc>
        <w:tc>
          <w:tcPr>
            <w:tcW w:type="dxa" w:w="2880"/>
          </w:tcPr>
          <w:p>
            <w:r>
              <w:t>Intensive, relationship-based</w:t>
            </w:r>
          </w:p>
        </w:tc>
      </w:tr>
      <w:tr>
        <w:tc>
          <w:tcPr>
            <w:tcW w:type="dxa" w:w="2880"/>
          </w:tcPr>
          <w:p>
            <w:r>
              <w:t>Scale Economics</w:t>
            </w:r>
          </w:p>
        </w:tc>
        <w:tc>
          <w:tcPr>
            <w:tcW w:type="dxa" w:w="2880"/>
          </w:tcPr>
          <w:p>
            <w:r>
              <w:t>Large, capital-intensive facilities</w:t>
            </w:r>
          </w:p>
        </w:tc>
        <w:tc>
          <w:tcPr>
            <w:tcW w:type="dxa" w:w="2880"/>
          </w:tcPr>
          <w:p>
            <w:r>
              <w:t>Small teams, low fixed costs</w:t>
            </w:r>
          </w:p>
        </w:tc>
      </w:tr>
    </w:tbl>
    <w:p>
      <w:r>
        <w:t>Why "Death of Distance" Predictions Failed:</w:t>
      </w:r>
    </w:p>
    <w:p>
      <w:pPr>
        <w:pStyle w:val="ListBullet"/>
      </w:pPr>
      <w:r>
        <w:t>Technology enables remote work but doesn't replicate serendipity, trust-building</w:t>
      </w:r>
    </w:p>
    <w:p>
      <w:pPr>
        <w:pStyle w:val="ListBullet"/>
      </w:pPr>
      <w:r>
        <w:t>Complex coordination costs remain high across distances</w:t>
      </w:r>
    </w:p>
    <w:p>
      <w:pPr>
        <w:pStyle w:val="ListBullet"/>
      </w:pPr>
      <w:r>
        <w:t>Time zones, language, cultural barriers persist</w:t>
      </w:r>
    </w:p>
    <w:p>
      <w:pPr>
        <w:pStyle w:val="ListBullet"/>
      </w:pPr>
      <w:r>
        <w:t>Career development still rewards physical presence</w:t>
      </w:r>
    </w:p>
    <w:p>
      <w:pPr>
        <w:pStyle w:val="Heading3"/>
      </w:pPr>
      <w:r>
        <w:t>Part B: Recommendations for Developing Country Tech Cluster</w:t>
      </w:r>
    </w:p>
    <w:p>
      <w:r>
        <w:t>Three Most Critical Investments (Priority Order):</w:t>
      </w:r>
    </w:p>
    <w:p>
      <w:r>
        <w:t>1. Human Capital Pipeline</w:t>
      </w:r>
    </w:p>
    <w:p>
      <w:pPr>
        <w:pStyle w:val="ListBullet"/>
      </w:pPr>
      <w:r>
        <w:t>Partner with top universities for tech curriculum</w:t>
      </w:r>
    </w:p>
    <w:p>
      <w:pPr>
        <w:pStyle w:val="ListBullet"/>
      </w:pPr>
      <w:r>
        <w:t>Fund coding bootcamps and accelerators</w:t>
      </w:r>
    </w:p>
    <w:p>
      <w:pPr>
        <w:pStyle w:val="ListBullet"/>
      </w:pPr>
      <w:r>
        <w:t>Recruit diaspora professionals to return or mentor</w:t>
      </w:r>
    </w:p>
    <w:p>
      <w:pPr>
        <w:pStyle w:val="ListBullet"/>
      </w:pPr>
      <w:r>
        <w:t>English language and communication training</w:t>
      </w:r>
    </w:p>
    <w:p>
      <w:r>
        <w:t>_Rationale_: Labor quality is the binding constraint; clients pay for skill, not location</w:t>
      </w:r>
    </w:p>
    <w:p>
      <w:r>
        <w:t>2. Digital Infrastructure</w:t>
      </w:r>
    </w:p>
    <w:p>
      <w:pPr>
        <w:pStyle w:val="ListBullet"/>
      </w:pPr>
      <w:r>
        <w:t>Reliable, high-bandwidth internet connections</w:t>
      </w:r>
    </w:p>
    <w:p>
      <w:pPr>
        <w:pStyle w:val="ListBullet"/>
      </w:pPr>
      <w:r>
        <w:t>Redundant power supply (data centers, offices)</w:t>
      </w:r>
    </w:p>
    <w:p>
      <w:pPr>
        <w:pStyle w:val="ListBullet"/>
      </w:pPr>
      <w:r>
        <w:t>Cloud infrastructure and cybersecurity capacity</w:t>
      </w:r>
    </w:p>
    <w:p>
      <w:r>
        <w:t>_Rationale_: Platform work requires 99.9%+ uptime; infrastructure failures destroy reputation</w:t>
      </w:r>
    </w:p>
    <w:p>
      <w:r>
        <w:t>3. Business Environment</w:t>
      </w:r>
    </w:p>
    <w:p>
      <w:pPr>
        <w:pStyle w:val="ListBullet"/>
      </w:pPr>
      <w:r>
        <w:t>Clear IP protection and contract enforcement</w:t>
      </w:r>
    </w:p>
    <w:p>
      <w:pPr>
        <w:pStyle w:val="ListBullet"/>
      </w:pPr>
      <w:r>
        <w:t>Simple company registration, tax compliance</w:t>
      </w:r>
    </w:p>
    <w:p>
      <w:pPr>
        <w:pStyle w:val="ListBullet"/>
      </w:pPr>
      <w:r>
        <w:t>Favorable foreign exchange regulations for payments</w:t>
      </w:r>
    </w:p>
    <w:p>
      <w:pPr>
        <w:pStyle w:val="ListBullet"/>
      </w:pPr>
      <w:r>
        <w:t>Data privacy framework compatible with client requirements</w:t>
      </w:r>
    </w:p>
    <w:p>
      <w:r>
        <w:t>_Rationale_: Clients must trust that sensitive work is legally protected</w:t>
      </w:r>
    </w:p>
    <w:p>
      <w:r>
        <w:t>Ease of Developing External Economies: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External Economy</w:t>
            </w:r>
          </w:p>
        </w:tc>
        <w:tc>
          <w:tcPr>
            <w:tcW w:type="dxa" w:w="2880"/>
          </w:tcPr>
          <w:p>
            <w:r>
              <w:t>Difficulty</w:t>
            </w:r>
          </w:p>
        </w:tc>
        <w:tc>
          <w:tcPr>
            <w:tcW w:type="dxa" w:w="2880"/>
          </w:tcPr>
          <w:p>
            <w:r>
              <w:t>Approach</w:t>
            </w:r>
          </w:p>
        </w:tc>
      </w:tr>
      <w:tr>
        <w:tc>
          <w:tcPr>
            <w:tcW w:type="dxa" w:w="2880"/>
          </w:tcPr>
          <w:p>
            <w:r>
              <w:t>**Labor Market Pooling**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Achievable within 5-10 years with sustained education investment. Success stories attract more talent.</w:t>
            </w:r>
          </w:p>
        </w:tc>
      </w:tr>
      <w:tr>
        <w:tc>
          <w:tcPr>
            <w:tcW w:type="dxa" w:w="2880"/>
          </w:tcPr>
          <w:p>
            <w:r>
              <w:t>**Specialized Suppliers**</w:t>
            </w:r>
          </w:p>
        </w:tc>
        <w:tc>
          <w:tcPr>
            <w:tcW w:type="dxa" w:w="2880"/>
          </w:tcPr>
          <w:p>
            <w:r>
              <w:t>EASY</w:t>
            </w:r>
          </w:p>
        </w:tc>
        <w:tc>
          <w:tcPr>
            <w:tcW w:type="dxa" w:w="2880"/>
          </w:tcPr>
          <w:p>
            <w:r>
              <w:t>Digital tools are globally available; local suppliers less critical for services</w:t>
            </w:r>
          </w:p>
        </w:tc>
      </w:tr>
      <w:tr>
        <w:tc>
          <w:tcPr>
            <w:tcW w:type="dxa" w:w="2880"/>
          </w:tcPr>
          <w:p>
            <w:r>
              <w:t>**Knowledge Spillovers**</w:t>
            </w:r>
          </w:p>
        </w:tc>
        <w:tc>
          <w:tcPr>
            <w:tcW w:type="dxa" w:w="2880"/>
          </w:tcPr>
          <w:p>
            <w:r>
              <w:t>HARD</w:t>
            </w:r>
          </w:p>
        </w:tc>
        <w:tc>
          <w:tcPr>
            <w:tcW w:type="dxa" w:w="2880"/>
          </w:tcPr>
          <w:p>
            <w:r>
              <w:t>Requires critical mass of experienced professionals. Cannot be bought— must be grown over time.</w:t>
            </w:r>
          </w:p>
        </w:tc>
      </w:tr>
      <w:tr>
        <w:tc>
          <w:tcPr>
            <w:tcW w:type="dxa" w:w="2880"/>
          </w:tcPr>
          <w:p>
            <w:r>
              <w:t>**Brand Reputation**</w:t>
            </w:r>
          </w:p>
        </w:tc>
        <w:tc>
          <w:tcPr>
            <w:tcW w:type="dxa" w:w="2880"/>
          </w:tcPr>
          <w:p>
            <w:r>
              <w:t>VERY HARD</w:t>
            </w:r>
          </w:p>
        </w:tc>
        <w:tc>
          <w:tcPr>
            <w:tcW w:type="dxa" w:w="2880"/>
          </w:tcPr>
          <w:p>
            <w:r>
              <w:t>Takes 15-20 years. Early successes must be relentlessly marketed. One major failure can set back by years.</w:t>
            </w:r>
          </w:p>
        </w:tc>
      </w:tr>
    </w:tbl>
    <w:p>
      <w:r>
        <w:t>Niche Specialization vs. Broad-Based Strategy:</w:t>
      </w:r>
    </w:p>
    <w:p>
      <w:r>
        <w:t>RECOMMENDATION: Niche Specialization is Superior</w:t>
      </w:r>
    </w:p>
    <w:p>
      <w:r>
        <w:t>Reasons:</w:t>
      </w:r>
    </w:p>
    <w:p>
      <w:pPr>
        <w:pStyle w:val="ListNumber"/>
      </w:pPr>
      <w:r>
        <w:t>Achievable Critical Mass: 500 fintech specialists create ecosystem effects; 500 generalists do not</w:t>
      </w:r>
    </w:p>
    <w:p>
      <w:pPr>
        <w:pStyle w:val="ListNumber"/>
      </w:pPr>
      <w:r>
        <w:t>Reputation Building: Easier to become "the place for [X]" than compete broadly with established hubs</w:t>
      </w:r>
    </w:p>
    <w:p>
      <w:pPr>
        <w:pStyle w:val="ListBullet"/>
      </w:pPr>
      <w:r>
        <w:t>Example: Estonia = digital government, Israel = cybersecurity, India (early) = IT outsourcing</w:t>
      </w:r>
    </w:p>
    <w:p>
      <w:pPr>
        <w:pStyle w:val="ListNumber"/>
      </w:pPr>
      <w:r>
        <w:t>Knowledge Spillovers Intensify: Deep specialization means workers learn from each other more effectively</w:t>
      </w:r>
    </w:p>
    <w:p>
      <w:pPr>
        <w:pStyle w:val="ListNumber"/>
      </w:pPr>
      <w:r>
        <w:t>Differentiation: Avoiding head-to-head competition with San Francisco, Bangalore</w:t>
      </w:r>
    </w:p>
    <w:p>
      <w:r>
        <w:t>Recommended Niche Selection Criteria:</w:t>
      </w:r>
    </w:p>
    <w:p>
      <w:pPr>
        <w:pStyle w:val="ListBullet"/>
      </w:pPr>
      <w:r>
        <w:t>Growing global demand</w:t>
      </w:r>
    </w:p>
    <w:p>
      <w:pPr>
        <w:pStyle w:val="ListBullet"/>
      </w:pPr>
      <w:r>
        <w:t>Limited competition from established clusters</w:t>
      </w:r>
    </w:p>
    <w:p>
      <w:pPr>
        <w:pStyle w:val="ListBullet"/>
      </w:pPr>
      <w:r>
        <w:t>Alignment with local comparative advantages (existing industries, educational strengths)</w:t>
      </w:r>
    </w:p>
    <w:p>
      <w:pPr>
        <w:pStyle w:val="ListBullet"/>
      </w:pPr>
      <w:r>
        <w:t>High-value enough to sustain premium wages</w:t>
      </w:r>
    </w:p>
    <w:p>
      <w:r>
        <w:t>Example Niches:</w:t>
      </w:r>
    </w:p>
    <w:p>
      <w:pPr>
        <w:pStyle w:val="ListBullet"/>
      </w:pPr>
      <w:r>
        <w:t>Fintech (if country has banking sector to leverage)</w:t>
      </w:r>
    </w:p>
    <w:p>
      <w:pPr>
        <w:pStyle w:val="ListBullet"/>
      </w:pPr>
      <w:r>
        <w:t>Agritech (if agricultural economy)</w:t>
      </w:r>
    </w:p>
    <w:p>
      <w:pPr>
        <w:pStyle w:val="ListBullet"/>
      </w:pPr>
      <w:r>
        <w:t>Gaming/entertainment (if cultural production strengths)</w:t>
      </w:r>
    </w:p>
    <w:p>
      <w:pPr>
        <w:pStyle w:val="ListBullet"/>
      </w:pPr>
      <w:r>
        <w:t>AI/ML applications for local language/markets</w:t>
      </w:r>
    </w:p>
    <w:p>
      <w:r>
        <w:t>Final Recommendation:</w:t>
      </w:r>
    </w:p>
    <w:p>
      <w:r>
        <w:t>Invest in education + infrastructure + business environment, pick ONE specialization aligned with national strengths, commit to 10-year horizon, and market successes aggressively. Do NOT try to replicate Silicon Valley breadth— instead, become the world's best in a narrowly defined domain.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_End of Homework #5 Answers_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